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8337A">
      <w:pPr>
        <w:ind w:firstLine="435"/>
        <w:rPr>
          <w:color w:val="auto"/>
          <w:highlight w:val="none"/>
        </w:rPr>
      </w:pPr>
      <w:bookmarkStart w:id="0" w:name="_Toc300678060"/>
    </w:p>
    <w:p w14:paraId="0EF7F293">
      <w:pPr>
        <w:ind w:firstLine="435"/>
        <w:rPr>
          <w:color w:val="auto"/>
          <w:highlight w:val="none"/>
        </w:rPr>
      </w:pPr>
    </w:p>
    <w:p w14:paraId="3FF54ACF">
      <w:pPr>
        <w:ind w:firstLine="435"/>
        <w:rPr>
          <w:color w:val="auto"/>
          <w:highlight w:val="none"/>
        </w:rPr>
      </w:pPr>
    </w:p>
    <w:p w14:paraId="7750FBEE">
      <w:pPr>
        <w:spacing w:line="214" w:lineRule="auto"/>
        <w:jc w:val="center"/>
        <w:rPr>
          <w:rFonts w:hint="eastAsia" w:ascii="宋体" w:hAnsi="宋体" w:eastAsia="宋体" w:cs="宋体"/>
          <w:color w:val="auto"/>
          <w:sz w:val="67"/>
          <w:szCs w:val="67"/>
          <w:highlight w:val="none"/>
        </w:rPr>
      </w:pPr>
      <w:r>
        <w:rPr>
          <w:rFonts w:hint="eastAsia" w:ascii="宋体" w:hAnsi="宋体" w:eastAsia="宋体" w:cs="宋体"/>
          <w:color w:val="auto"/>
          <w:sz w:val="67"/>
          <w:szCs w:val="67"/>
          <w:highlight w:val="none"/>
        </w:rPr>
        <w:t>湖南省房屋建筑和市政基础</w:t>
      </w:r>
    </w:p>
    <w:p w14:paraId="50612391">
      <w:pPr>
        <w:spacing w:line="214" w:lineRule="auto"/>
        <w:jc w:val="center"/>
        <w:rPr>
          <w:rFonts w:hint="eastAsia" w:ascii="宋体" w:hAnsi="宋体" w:cs="宋体"/>
          <w:color w:val="auto"/>
          <w:sz w:val="67"/>
          <w:szCs w:val="67"/>
          <w:highlight w:val="none"/>
        </w:rPr>
      </w:pPr>
      <w:r>
        <w:rPr>
          <w:rFonts w:hint="eastAsia" w:ascii="宋体" w:hAnsi="宋体" w:eastAsia="宋体" w:cs="宋体"/>
          <w:color w:val="auto"/>
          <w:sz w:val="67"/>
          <w:szCs w:val="67"/>
          <w:highlight w:val="none"/>
        </w:rPr>
        <w:t>设施工程</w:t>
      </w:r>
      <w:r>
        <w:rPr>
          <w:rFonts w:hint="eastAsia" w:ascii="宋体" w:hAnsi="宋体" w:cs="宋体"/>
          <w:color w:val="auto"/>
          <w:sz w:val="67"/>
          <w:szCs w:val="67"/>
          <w:highlight w:val="none"/>
        </w:rPr>
        <w:t>“机器管招投标”</w:t>
      </w:r>
    </w:p>
    <w:p w14:paraId="172334F4">
      <w:pPr>
        <w:spacing w:line="214" w:lineRule="auto"/>
        <w:jc w:val="center"/>
        <w:outlineLvl w:val="0"/>
        <w:rPr>
          <w:rFonts w:hint="eastAsia" w:ascii="宋体" w:hAnsi="宋体" w:cs="宋体"/>
          <w:color w:val="auto"/>
          <w:sz w:val="67"/>
          <w:szCs w:val="67"/>
          <w:highlight w:val="none"/>
        </w:rPr>
      </w:pPr>
      <w:bookmarkStart w:id="1" w:name="_Toc2618"/>
      <w:bookmarkStart w:id="2" w:name="_Toc6281"/>
      <w:bookmarkStart w:id="3" w:name="_Toc18128"/>
      <w:bookmarkStart w:id="4" w:name="_Toc19955"/>
      <w:bookmarkStart w:id="5" w:name="_Toc193801647"/>
      <w:bookmarkStart w:id="6" w:name="_Toc193802224"/>
      <w:bookmarkStart w:id="7" w:name="_Toc193802604"/>
      <w:bookmarkStart w:id="8" w:name="_Toc211498552"/>
      <w:r>
        <w:rPr>
          <w:rFonts w:hint="eastAsia" w:ascii="宋体" w:hAnsi="宋体" w:cs="宋体"/>
          <w:color w:val="auto"/>
          <w:sz w:val="67"/>
          <w:szCs w:val="67"/>
          <w:highlight w:val="none"/>
        </w:rPr>
        <w:t>模块化</w:t>
      </w:r>
      <w:r>
        <w:rPr>
          <w:rFonts w:ascii="宋体" w:hAnsi="宋体" w:cs="宋体"/>
          <w:color w:val="auto"/>
          <w:sz w:val="67"/>
          <w:szCs w:val="67"/>
          <w:highlight w:val="none"/>
        </w:rPr>
        <w:t>招标文件</w:t>
      </w:r>
      <w:bookmarkEnd w:id="1"/>
      <w:bookmarkEnd w:id="2"/>
      <w:bookmarkEnd w:id="3"/>
      <w:bookmarkEnd w:id="4"/>
      <w:r>
        <w:rPr>
          <w:rFonts w:hint="eastAsia" w:ascii="宋体" w:hAnsi="宋体" w:cs="宋体"/>
          <w:color w:val="auto"/>
          <w:sz w:val="67"/>
          <w:szCs w:val="67"/>
          <w:highlight w:val="none"/>
          <w:lang w:val="en-US" w:eastAsia="zh-CN"/>
        </w:rPr>
        <w:t>示范文本</w:t>
      </w:r>
    </w:p>
    <w:p w14:paraId="17CBA540">
      <w:pPr>
        <w:spacing w:line="214" w:lineRule="auto"/>
        <w:jc w:val="center"/>
        <w:outlineLvl w:val="0"/>
        <w:rPr>
          <w:rFonts w:hint="eastAsia" w:ascii="宋体" w:hAnsi="宋体" w:cs="宋体"/>
          <w:color w:val="auto"/>
          <w:sz w:val="67"/>
          <w:szCs w:val="67"/>
          <w:highlight w:val="none"/>
        </w:rPr>
      </w:pPr>
      <w:r>
        <w:rPr>
          <w:rFonts w:hint="eastAsia" w:ascii="宋体" w:hAnsi="宋体" w:cs="宋体"/>
          <w:color w:val="auto"/>
          <w:sz w:val="67"/>
          <w:szCs w:val="67"/>
          <w:highlight w:val="none"/>
        </w:rPr>
        <w:t>（</w:t>
      </w:r>
      <w:r>
        <w:rPr>
          <w:rFonts w:hint="eastAsia" w:ascii="宋体" w:hAnsi="宋体" w:cs="宋体"/>
          <w:color w:val="auto"/>
          <w:sz w:val="67"/>
          <w:szCs w:val="67"/>
          <w:highlight w:val="none"/>
        </w:rPr>
        <w:t>施工</w:t>
      </w:r>
      <w:r>
        <w:rPr>
          <w:rFonts w:hint="eastAsia" w:ascii="宋体" w:hAnsi="宋体" w:cs="宋体"/>
          <w:color w:val="auto"/>
          <w:sz w:val="67"/>
          <w:szCs w:val="67"/>
          <w:highlight w:val="none"/>
        </w:rPr>
        <w:t>）</w:t>
      </w:r>
      <w:bookmarkEnd w:id="5"/>
      <w:bookmarkEnd w:id="6"/>
      <w:bookmarkEnd w:id="7"/>
      <w:bookmarkEnd w:id="8"/>
    </w:p>
    <w:p w14:paraId="25775AFF">
      <w:pPr>
        <w:spacing w:line="214" w:lineRule="auto"/>
        <w:jc w:val="center"/>
        <w:outlineLvl w:val="0"/>
        <w:rPr>
          <w:rFonts w:hint="eastAsia" w:ascii="宋体" w:hAnsi="宋体" w:cs="宋体"/>
          <w:b w:val="0"/>
          <w:bCs w:val="0"/>
          <w:color w:val="auto"/>
          <w:sz w:val="67"/>
          <w:szCs w:val="67"/>
          <w:highlight w:val="none"/>
        </w:rPr>
      </w:pPr>
    </w:p>
    <w:p w14:paraId="5E95089F">
      <w:pPr>
        <w:spacing w:line="214" w:lineRule="auto"/>
        <w:jc w:val="center"/>
        <w:outlineLvl w:val="0"/>
        <w:rPr>
          <w:rFonts w:hint="eastAsia" w:ascii="宋体" w:hAnsi="宋体" w:cs="宋体"/>
          <w:color w:val="auto"/>
          <w:sz w:val="67"/>
          <w:szCs w:val="67"/>
          <w:highlight w:val="none"/>
        </w:rPr>
      </w:pPr>
      <w:r>
        <w:rPr>
          <w:rFonts w:hint="eastAsia" w:ascii="宋体" w:hAnsi="宋体" w:cs="宋体"/>
          <w:b w:val="0"/>
          <w:bCs w:val="0"/>
          <w:color w:val="auto"/>
          <w:sz w:val="67"/>
          <w:szCs w:val="67"/>
          <w:highlight w:val="none"/>
        </w:rPr>
        <w:t>（</w:t>
      </w:r>
      <w:r>
        <w:rPr>
          <w:rFonts w:hint="eastAsia" w:ascii="宋体" w:hAnsi="宋体" w:eastAsia="宋体" w:cs="宋体"/>
          <w:b w:val="0"/>
          <w:bCs w:val="0"/>
          <w:color w:val="auto"/>
          <w:sz w:val="67"/>
          <w:szCs w:val="67"/>
          <w:highlight w:val="none"/>
        </w:rPr>
        <w:t>202</w:t>
      </w:r>
      <w:r>
        <w:rPr>
          <w:rFonts w:hint="eastAsia" w:ascii="宋体" w:hAnsi="宋体" w:cs="宋体"/>
          <w:b w:val="0"/>
          <w:bCs w:val="0"/>
          <w:color w:val="auto"/>
          <w:sz w:val="67"/>
          <w:szCs w:val="67"/>
          <w:highlight w:val="none"/>
        </w:rPr>
        <w:t>5</w:t>
      </w:r>
      <w:r>
        <w:rPr>
          <w:rFonts w:hint="eastAsia" w:ascii="宋体" w:hAnsi="宋体" w:eastAsia="宋体" w:cs="宋体"/>
          <w:b w:val="0"/>
          <w:bCs w:val="0"/>
          <w:color w:val="auto"/>
          <w:sz w:val="67"/>
          <w:szCs w:val="67"/>
          <w:highlight w:val="none"/>
        </w:rPr>
        <w:t>年1</w:t>
      </w:r>
      <w:r>
        <w:rPr>
          <w:rFonts w:hint="eastAsia" w:ascii="宋体" w:hAnsi="宋体" w:eastAsia="宋体" w:cs="宋体"/>
          <w:b w:val="0"/>
          <w:bCs w:val="0"/>
          <w:color w:val="auto"/>
          <w:sz w:val="67"/>
          <w:szCs w:val="67"/>
          <w:highlight w:val="none"/>
          <w:lang w:val="en-US" w:eastAsia="zh-CN"/>
        </w:rPr>
        <w:t>1</w:t>
      </w:r>
      <w:r>
        <w:rPr>
          <w:rFonts w:hint="eastAsia" w:ascii="宋体" w:hAnsi="宋体" w:eastAsia="宋体" w:cs="宋体"/>
          <w:b w:val="0"/>
          <w:bCs w:val="0"/>
          <w:color w:val="auto"/>
          <w:sz w:val="67"/>
          <w:szCs w:val="67"/>
          <w:highlight w:val="none"/>
        </w:rPr>
        <w:t>月版</w:t>
      </w:r>
      <w:r>
        <w:rPr>
          <w:rFonts w:hint="eastAsia" w:ascii="宋体" w:hAnsi="宋体" w:cs="宋体"/>
          <w:b w:val="0"/>
          <w:bCs w:val="0"/>
          <w:color w:val="auto"/>
          <w:sz w:val="67"/>
          <w:szCs w:val="67"/>
          <w:highlight w:val="none"/>
        </w:rPr>
        <w:t>）</w:t>
      </w:r>
    </w:p>
    <w:p w14:paraId="4CC7AE4A">
      <w:pPr>
        <w:jc w:val="center"/>
        <w:rPr>
          <w:rFonts w:eastAsia="华文新魏"/>
          <w:color w:val="auto"/>
          <w:sz w:val="84"/>
          <w:szCs w:val="84"/>
          <w:highlight w:val="none"/>
        </w:rPr>
      </w:pPr>
    </w:p>
    <w:p w14:paraId="31911FC5">
      <w:pPr>
        <w:ind w:firstLine="435"/>
        <w:rPr>
          <w:color w:val="auto"/>
          <w:highlight w:val="none"/>
        </w:rPr>
      </w:pPr>
    </w:p>
    <w:p w14:paraId="4C7A2BDD">
      <w:pPr>
        <w:ind w:firstLine="435"/>
        <w:rPr>
          <w:color w:val="auto"/>
          <w:highlight w:val="none"/>
        </w:rPr>
      </w:pPr>
    </w:p>
    <w:p w14:paraId="5146340A">
      <w:pPr>
        <w:ind w:firstLine="435"/>
        <w:rPr>
          <w:color w:val="auto"/>
          <w:highlight w:val="none"/>
        </w:rPr>
      </w:pPr>
    </w:p>
    <w:p w14:paraId="2BE18021">
      <w:pPr>
        <w:ind w:firstLine="435"/>
        <w:rPr>
          <w:color w:val="auto"/>
          <w:highlight w:val="none"/>
        </w:rPr>
      </w:pPr>
    </w:p>
    <w:p w14:paraId="6AD1DC6A">
      <w:pPr>
        <w:ind w:firstLine="435"/>
        <w:jc w:val="center"/>
        <w:rPr>
          <w:rFonts w:eastAsia="黑体"/>
          <w:color w:val="auto"/>
          <w:sz w:val="36"/>
          <w:szCs w:val="36"/>
          <w:highlight w:val="none"/>
          <w:u w:val="single"/>
        </w:rPr>
      </w:pPr>
      <w:r>
        <w:rPr>
          <w:rFonts w:hint="eastAsia" w:eastAsia="黑体"/>
          <w:color w:val="auto"/>
          <w:sz w:val="36"/>
          <w:szCs w:val="36"/>
          <w:highlight w:val="none"/>
        </w:rPr>
        <w:t>湖南</w:t>
      </w:r>
      <w:r>
        <w:rPr>
          <w:rFonts w:hint="eastAsia" w:eastAsia="黑体"/>
          <w:color w:val="auto"/>
          <w:sz w:val="36"/>
          <w:szCs w:val="36"/>
          <w:highlight w:val="none"/>
          <w:u w:val="single"/>
        </w:rPr>
        <w:t>省住房和城乡建设厅</w:t>
      </w:r>
    </w:p>
    <w:p w14:paraId="337BFA22">
      <w:pPr>
        <w:spacing w:after="120" w:afterLines="50"/>
        <w:ind w:firstLine="640"/>
        <w:jc w:val="center"/>
        <w:rPr>
          <w:rFonts w:eastAsia="黑体"/>
          <w:color w:val="auto"/>
          <w:sz w:val="32"/>
          <w:szCs w:val="32"/>
          <w:highlight w:val="none"/>
        </w:rPr>
      </w:pPr>
      <w:r>
        <w:rPr>
          <w:rFonts w:hint="eastAsia" w:eastAsia="黑体"/>
          <w:color w:val="auto"/>
          <w:sz w:val="32"/>
          <w:szCs w:val="32"/>
          <w:highlight w:val="none"/>
        </w:rPr>
        <w:t>2025年</w:t>
      </w:r>
      <w:r>
        <w:rPr>
          <w:rFonts w:hint="eastAsia" w:eastAsia="黑体"/>
          <w:color w:val="auto"/>
          <w:sz w:val="32"/>
          <w:szCs w:val="32"/>
          <w:highlight w:val="none"/>
          <w:lang w:val="en-US" w:eastAsia="zh-CN"/>
        </w:rPr>
        <w:t>11</w:t>
      </w:r>
      <w:r>
        <w:rPr>
          <w:rFonts w:hint="eastAsia" w:eastAsia="黑体"/>
          <w:color w:val="auto"/>
          <w:sz w:val="32"/>
          <w:szCs w:val="32"/>
          <w:highlight w:val="none"/>
        </w:rPr>
        <w:t>月</w:t>
      </w:r>
    </w:p>
    <w:p w14:paraId="7D8E375E">
      <w:pPr>
        <w:spacing w:after="0"/>
        <w:jc w:val="left"/>
        <w:rPr>
          <w:rFonts w:eastAsia="黑体"/>
          <w:color w:val="auto"/>
          <w:sz w:val="36"/>
          <w:szCs w:val="36"/>
          <w:highlight w:val="none"/>
        </w:rPr>
      </w:pPr>
      <w:r>
        <w:rPr>
          <w:rFonts w:eastAsia="黑体"/>
          <w:color w:val="auto"/>
          <w:sz w:val="36"/>
          <w:szCs w:val="36"/>
          <w:highlight w:val="none"/>
        </w:rPr>
        <w:br w:type="page"/>
      </w:r>
    </w:p>
    <w:p w14:paraId="694A77E7">
      <w:pPr>
        <w:spacing w:after="120" w:afterLines="50"/>
        <w:jc w:val="center"/>
        <w:rPr>
          <w:rFonts w:eastAsia="黑体"/>
          <w:color w:val="auto"/>
          <w:sz w:val="36"/>
          <w:szCs w:val="36"/>
          <w:highlight w:val="none"/>
        </w:rPr>
      </w:pPr>
    </w:p>
    <w:p w14:paraId="7A79A7AD">
      <w:pPr>
        <w:spacing w:after="120" w:afterLines="50"/>
        <w:jc w:val="center"/>
        <w:rPr>
          <w:rFonts w:eastAsia="黑体"/>
          <w:color w:val="auto"/>
          <w:sz w:val="36"/>
          <w:szCs w:val="36"/>
          <w:highlight w:val="none"/>
        </w:rPr>
      </w:pPr>
      <w:r>
        <w:rPr>
          <w:rFonts w:eastAsia="黑体"/>
          <w:color w:val="auto"/>
          <w:sz w:val="36"/>
          <w:szCs w:val="36"/>
          <w:highlight w:val="none"/>
        </w:rPr>
        <w:t>使 用 说 明</w:t>
      </w:r>
    </w:p>
    <w:p w14:paraId="7F86355A">
      <w:pPr>
        <w:ind w:firstLine="435"/>
        <w:rPr>
          <w:color w:val="auto"/>
          <w:highlight w:val="none"/>
        </w:rPr>
      </w:pPr>
    </w:p>
    <w:p w14:paraId="0A2089B5">
      <w:pPr>
        <w:keepNext w:val="0"/>
        <w:keepLines w:val="0"/>
        <w:pageBreakBefore w:val="0"/>
        <w:widowControl w:val="0"/>
        <w:kinsoku/>
        <w:wordWrap/>
        <w:overflowPunct/>
        <w:topLinePunct w:val="0"/>
        <w:autoSpaceDE/>
        <w:autoSpaceDN/>
        <w:bidi w:val="0"/>
        <w:adjustRightInd/>
        <w:snapToGrid w:val="0"/>
        <w:spacing w:after="0" w:line="360" w:lineRule="auto"/>
        <w:ind w:firstLine="57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一、《湖南省房屋建筑和市政基础设施工程</w:t>
      </w:r>
      <w:bookmarkStart w:id="9" w:name="_Hlk193354584"/>
      <w:r>
        <w:rPr>
          <w:rFonts w:hint="eastAsia" w:ascii="仿宋_GB2312" w:hAnsi="仿宋_GB2312" w:eastAsia="仿宋_GB2312" w:cs="仿宋_GB2312"/>
          <w:color w:val="auto"/>
          <w:sz w:val="28"/>
          <w:szCs w:val="28"/>
          <w:highlight w:val="none"/>
        </w:rPr>
        <w:t>“机器管招投标”</w:t>
      </w:r>
      <w:bookmarkEnd w:id="9"/>
      <w:r>
        <w:rPr>
          <w:rFonts w:hint="eastAsia" w:ascii="仿宋_GB2312" w:hAnsi="仿宋_GB2312" w:eastAsia="仿宋_GB2312" w:cs="仿宋_GB2312"/>
          <w:color w:val="auto"/>
          <w:sz w:val="28"/>
          <w:szCs w:val="28"/>
          <w:highlight w:val="none"/>
        </w:rPr>
        <w:t>模块化招标文件（施工）》（以下简称《模块化招标文件（施工）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》）根据《中华人民共和国招标投标法》及其实施条例、《电子招标投标办法》、</w:t>
      </w:r>
      <w:r>
        <w:rPr>
          <w:rFonts w:hint="eastAsia" w:ascii="仿宋_GB2312" w:hAnsi="仿宋_GB2312" w:eastAsia="仿宋_GB2312" w:cs="仿宋_GB2312"/>
          <w:color w:val="auto"/>
          <w:sz w:val="28"/>
          <w:szCs w:val="28"/>
          <w:highlight w:val="none"/>
          <w:lang w:eastAsia="zh-CN"/>
        </w:rPr>
        <w:t>《国务院办公厅关于创新完善体制机制推动招标投标市场规范健康发展的意见》（国办发【</w:t>
      </w:r>
      <w:r>
        <w:rPr>
          <w:rFonts w:hint="eastAsia" w:ascii="仿宋_GB2312" w:hAnsi="仿宋_GB2312" w:eastAsia="仿宋_GB2312" w:cs="仿宋_GB2312"/>
          <w:color w:val="auto"/>
          <w:sz w:val="28"/>
          <w:szCs w:val="28"/>
          <w:highlight w:val="none"/>
          <w:lang w:val="en-US" w:eastAsia="zh-CN"/>
        </w:rPr>
        <w:t>2024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21号</w:t>
      </w:r>
      <w:r>
        <w:rPr>
          <w:rFonts w:hint="eastAsia" w:ascii="仿宋_GB2312" w:hAnsi="仿宋_GB2312" w:eastAsia="仿宋_GB2312" w:cs="仿宋_GB2312"/>
          <w:color w:val="auto"/>
          <w:sz w:val="28"/>
          <w:szCs w:val="28"/>
          <w:highlight w:val="none"/>
          <w:lang w:eastAsia="zh-CN"/>
        </w:rPr>
        <w:t>）、《国家发展改革委等部门关于印发</w:t>
      </w:r>
      <w:r>
        <w:rPr>
          <w:rFonts w:hint="eastAsia" w:ascii="仿宋_GB2312" w:hAnsi="仿宋_GB2312" w:eastAsia="仿宋_GB2312" w:cs="仿宋_GB2312"/>
          <w:color w:val="auto"/>
          <w:sz w:val="28"/>
          <w:szCs w:val="28"/>
          <w:highlight w:val="none"/>
          <w:lang w:val="en-US" w:eastAsia="zh-CN"/>
        </w:rPr>
        <w:t>&lt;招标人主体责任履行指引&gt;的通知</w:t>
      </w:r>
      <w:r>
        <w:rPr>
          <w:rFonts w:hint="eastAsia" w:ascii="仿宋_GB2312" w:hAnsi="仿宋_GB2312" w:eastAsia="仿宋_GB2312" w:cs="仿宋_GB2312"/>
          <w:color w:val="auto"/>
          <w:sz w:val="28"/>
          <w:szCs w:val="28"/>
          <w:highlight w:val="none"/>
          <w:lang w:eastAsia="zh-CN"/>
        </w:rPr>
        <w:t>》（发改法规【</w:t>
      </w:r>
      <w:r>
        <w:rPr>
          <w:rFonts w:hint="eastAsia" w:ascii="仿宋_GB2312" w:hAnsi="仿宋_GB2312" w:eastAsia="仿宋_GB2312" w:cs="仿宋_GB2312"/>
          <w:color w:val="auto"/>
          <w:sz w:val="28"/>
          <w:szCs w:val="28"/>
          <w:highlight w:val="none"/>
          <w:lang w:val="en-US" w:eastAsia="zh-CN"/>
        </w:rPr>
        <w:t>2025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1358号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《湖南省公共资源交易数字化、模块化招标文件范本框架导引及编制导则》</w:t>
      </w:r>
      <w:r>
        <w:rPr>
          <w:rFonts w:hint="eastAsia" w:ascii="仿宋_GB2312" w:hAnsi="仿宋_GB2312" w:eastAsia="仿宋_GB2312" w:cs="仿宋_GB2312"/>
          <w:color w:val="auto"/>
          <w:sz w:val="28"/>
          <w:szCs w:val="28"/>
          <w:highlight w:val="none"/>
          <w:lang w:val="en"/>
        </w:rPr>
        <w:t>(湘发改法规规〔2024〕958号，以下简称《导则》)、《关于修改&lt;湖南省公共资源交易数字化、模块化招标文件范本框架导引及编制导则&gt;的通知》(湘发改法规规〔2025〕571号)、《关于印发&lt;湖南省工程建设项目招标投标“评定分离”管理办法（试行）&gt;的通知》(湘发改公管规〔2025〕561号)</w:t>
      </w:r>
      <w:r>
        <w:rPr>
          <w:rFonts w:hint="eastAsia" w:ascii="仿宋_GB2312" w:hAnsi="仿宋_GB2312" w:eastAsia="仿宋_GB2312" w:cs="仿宋_GB2312"/>
          <w:color w:val="auto"/>
          <w:sz w:val="28"/>
          <w:szCs w:val="28"/>
          <w:highlight w:val="none"/>
        </w:rPr>
        <w:t>等法律法规、规章和文件编制。</w:t>
      </w:r>
    </w:p>
    <w:p w14:paraId="64FCBA1E">
      <w:pPr>
        <w:keepNext w:val="0"/>
        <w:keepLines w:val="0"/>
        <w:pageBreakBefore w:val="0"/>
        <w:widowControl w:val="0"/>
        <w:kinsoku/>
        <w:wordWrap/>
        <w:overflowPunct/>
        <w:topLinePunct w:val="0"/>
        <w:autoSpaceDE/>
        <w:autoSpaceDN/>
        <w:bidi w:val="0"/>
        <w:adjustRightInd/>
        <w:snapToGrid w:val="0"/>
        <w:spacing w:after="0" w:line="360" w:lineRule="auto"/>
        <w:ind w:firstLine="57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》供招标人选择使用，适用于本省行政区域内依法必须招标的房屋建筑和市政基础设施工程施工“机器管招投标”项目。</w:t>
      </w:r>
    </w:p>
    <w:p w14:paraId="5FCF7431">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》用相同序号标示的章、节、条、款、项、目，供招标人和投标人选择使用。以空格标示和</w:t>
      </w:r>
      <w:r>
        <w:rPr>
          <w:rFonts w:hint="eastAsia" w:ascii="仿宋_GB2312" w:hAnsi="仿宋_GB2312" w:eastAsia="仿宋_GB2312" w:cs="仿宋_GB2312"/>
          <w:color w:val="auto"/>
          <w:szCs w:val="21"/>
          <w:highlight w:val="none"/>
        </w:rPr>
        <w:sym w:font="Wingdings 2" w:char="00A3"/>
      </w:r>
      <w:r>
        <w:rPr>
          <w:rFonts w:hint="eastAsia" w:ascii="仿宋_GB2312" w:hAnsi="仿宋_GB2312" w:eastAsia="仿宋_GB2312" w:cs="仿宋_GB2312"/>
          <w:color w:val="auto"/>
          <w:sz w:val="28"/>
          <w:szCs w:val="28"/>
          <w:highlight w:val="none"/>
        </w:rPr>
        <w:t>标示的由招标人填写和勾选的内容，招标人应根据招标项目具体特点和实际需要具体化，确实没有需要填写的，在空格中用“/”标示。其余内容根据机器管招投标固化模块直接引用。《模块化招标文件（施工）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》中引用的政策文件发生了变化的，由招标人进行调整。</w:t>
      </w:r>
    </w:p>
    <w:p w14:paraId="447B5ACC">
      <w:pPr>
        <w:keepNext w:val="0"/>
        <w:keepLines w:val="0"/>
        <w:pageBreakBefore w:val="0"/>
        <w:widowControl w:val="0"/>
        <w:kinsoku/>
        <w:wordWrap/>
        <w:overflowPunct/>
        <w:topLinePunct w:val="0"/>
        <w:autoSpaceDE/>
        <w:autoSpaceDN/>
        <w:bidi w:val="0"/>
        <w:adjustRightInd/>
        <w:snapToGrid w:val="0"/>
        <w:spacing w:after="0"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四、招标人按照《模块化招标文件（施工）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》第一章的格式发布招标公告、资格预审公告或投标邀请书。</w:t>
      </w:r>
    </w:p>
    <w:p w14:paraId="47D67910">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》以附件方式集中列示的否决投标情形是对投标人须知和评标办法有关条款的总结和补充，是评标办法的组成部分。</w:t>
      </w:r>
    </w:p>
    <w:p w14:paraId="5DDF1ADD">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》第三章“评标办法”规定了经评审的最低投标价法、合理低价法、技术评分最低标价法、综合评估法1、综合评估法2五种评标方法，由招标人根据招标项目规模和《导则》规定选择使用。</w:t>
      </w:r>
    </w:p>
    <w:p w14:paraId="1B91F823">
      <w:pPr>
        <w:keepNext w:val="0"/>
        <w:keepLines w:val="0"/>
        <w:pageBreakBefore w:val="0"/>
        <w:widowControl w:val="0"/>
        <w:kinsoku/>
        <w:wordWrap/>
        <w:overflowPunct/>
        <w:topLinePunct w:val="0"/>
        <w:autoSpaceDE/>
        <w:autoSpaceDN/>
        <w:bidi w:val="0"/>
        <w:adjustRightInd/>
        <w:snapToGrid w:val="0"/>
        <w:spacing w:after="0"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经评审的最低投标价法、合理低价法、技术评分最低标价法适用于：最高投标限价1000万元以下的施工总承包项目；最高投标限价800万元以下的施工专业承包项目。</w:t>
      </w:r>
    </w:p>
    <w:p w14:paraId="08A9A010">
      <w:pPr>
        <w:keepNext w:val="0"/>
        <w:keepLines w:val="0"/>
        <w:pageBreakBefore w:val="0"/>
        <w:widowControl w:val="0"/>
        <w:kinsoku/>
        <w:wordWrap/>
        <w:overflowPunct/>
        <w:topLinePunct w:val="0"/>
        <w:autoSpaceDE/>
        <w:autoSpaceDN/>
        <w:bidi w:val="0"/>
        <w:adjustRightInd/>
        <w:snapToGrid w:val="0"/>
        <w:spacing w:after="0" w:line="36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综合评估法1适用于：最高投标限价1000万元及以上、2亿元以下的施工总承包项目；最高投标限价800万元及以上、3000万元以下的施工专业承包项目。</w:t>
      </w:r>
    </w:p>
    <w:p w14:paraId="6C7C478A">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综合评估法2适用于：最高投标限价2亿元及以上的施工总承包项目；最高投标限价3000万元及以上的施工专业承包项目。</w:t>
      </w:r>
    </w:p>
    <w:p w14:paraId="261B31FF">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pPr>
      <w:bookmarkStart w:id="10" w:name="_Hlk193096490"/>
      <w:r>
        <w:rPr>
          <w:rFonts w:hint="eastAsia" w:ascii="仿宋_GB2312" w:hAnsi="仿宋_GB2312" w:eastAsia="仿宋_GB2312" w:cs="仿宋_GB2312"/>
          <w:color w:val="auto"/>
          <w:sz w:val="28"/>
          <w:szCs w:val="28"/>
          <w:highlight w:val="none"/>
        </w:rPr>
        <w:t>适用综合评估法1的项目，招标人可以自主选择经评审的最低投标价法、合理低价法、技术评分最低标价法；适用综合评估法2的项目，招标人可以自主选择经评审的最低投标价法、合理低价法、技术评分最低标价法、综合评估法1。</w:t>
      </w:r>
    </w:p>
    <w:p w14:paraId="435C8AD2">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采用综合评估法1、综合评估法2的，招标人可以采用评定分离法确定中标人。</w:t>
      </w:r>
    </w:p>
    <w:bookmarkEnd w:id="10"/>
    <w:p w14:paraId="2259A3CA">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》第四章“合同条款及格式”采用</w:t>
      </w:r>
      <w:r>
        <w:rPr>
          <w:rFonts w:hint="eastAsia" w:ascii="仿宋_GB2312" w:hAnsi="仿宋_GB2312" w:eastAsia="仿宋_GB2312" w:cs="仿宋_GB2312"/>
          <w:color w:val="auto"/>
          <w:sz w:val="28"/>
          <w:szCs w:val="28"/>
          <w:highlight w:val="none"/>
          <w:u w:val="single"/>
        </w:rPr>
        <w:t>《建设工程施工合同（示范文本）》（GF-2017-0201）</w:t>
      </w:r>
      <w:r>
        <w:rPr>
          <w:rFonts w:hint="eastAsia" w:ascii="仿宋_GB2312" w:hAnsi="仿宋_GB2312" w:eastAsia="仿宋_GB2312" w:cs="仿宋_GB2312"/>
          <w:color w:val="auto"/>
          <w:sz w:val="28"/>
          <w:szCs w:val="28"/>
          <w:highlight w:val="none"/>
        </w:rPr>
        <w:t>，其中通用合同条款应全文引用，专用合同条款是对通用合同条款进行补充、细化。除通用合同条款明确专用合同条款可作出不同约定外，专用合同条款补充细化的内容不得与通用合同条款规定相抵触，不得违反法律、法规和规章的有关规定和平等、自愿、公平以及诚实信用原则。第一节“合同协议书”、第二节“通用合同条款”、第三节“专用合同条款”和附件应不加修改直接引用（除以空格标示的由招标人填空的内容和选择性内容外）。填空内容由招标人根据国家和省有关法律法规规定以及招标项目具体情况确定。</w:t>
      </w:r>
    </w:p>
    <w:p w14:paraId="11FEFDBF">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第五章“工程量清单”规定适用于采用“24清单标准”的项目和适用于招标人自主确定清单计量计价的项目两种形式，由招标人根据招标项目特点和实际需要选择使用。招标人选择自主确定清单计量计价的，由招标人根据招标项目特点，以及国家和省级、行业建设主管部门相关规定自行编写。</w:t>
      </w:r>
    </w:p>
    <w:p w14:paraId="08C34585">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》第六章“图纸”由招标人根据招标项目具体特点和实际需要编制，并与“投标人须知”、“通用合同条款”、“专用合同条款”、“技术标准和要求”相衔接。</w:t>
      </w:r>
    </w:p>
    <w:p w14:paraId="36DD032D">
      <w:pPr>
        <w:keepNext w:val="0"/>
        <w:keepLines w:val="0"/>
        <w:pageBreakBefore w:val="0"/>
        <w:widowControl w:val="0"/>
        <w:kinsoku/>
        <w:wordWrap/>
        <w:overflowPunct/>
        <w:topLinePunct w:val="0"/>
        <w:autoSpaceDE/>
        <w:autoSpaceDN/>
        <w:bidi w:val="0"/>
        <w:adjustRightInd/>
        <w:snapToGrid w:val="0"/>
        <w:spacing w:after="0" w:line="360" w:lineRule="auto"/>
        <w:ind w:firstLine="437"/>
        <w:textAlignment w:val="auto"/>
        <w:rPr>
          <w:rFonts w:hint="eastAsia" w:ascii="仿宋_GB2312" w:hAnsi="仿宋_GB2312" w:eastAsia="仿宋_GB2312" w:cs="仿宋_GB2312"/>
          <w:color w:val="auto"/>
          <w:sz w:val="28"/>
          <w:szCs w:val="28"/>
          <w:highlight w:val="none"/>
        </w:rPr>
        <w:sectPr>
          <w:footerReference r:id="rId5" w:type="default"/>
          <w:footerReference r:id="rId6" w:type="even"/>
          <w:pgSz w:w="11907" w:h="16840"/>
          <w:pgMar w:top="1418" w:right="1418" w:bottom="1418" w:left="1418" w:header="851" w:footer="850" w:gutter="0"/>
          <w:pgNumType w:start="1"/>
          <w:cols w:space="720" w:num="1"/>
          <w:docGrid w:linePitch="312" w:charSpace="0"/>
        </w:sectPr>
      </w:pPr>
      <w:r>
        <w:rPr>
          <w:rFonts w:hint="eastAsia" w:ascii="仿宋_GB2312" w:hAnsi="仿宋_GB2312" w:eastAsia="仿宋_GB2312" w:cs="仿宋_GB2312"/>
          <w:color w:val="auto"/>
          <w:sz w:val="28"/>
          <w:szCs w:val="28"/>
          <w:highlight w:val="none"/>
        </w:rPr>
        <w:t>十、《模块化招标文件（施工）</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 xml:space="preserve">》第七章“技术标准和要求”招标人应当结合招标项目具体特点和实际需要进行补充。  </w:t>
      </w:r>
    </w:p>
    <w:p w14:paraId="00A1E134">
      <w:pPr>
        <w:ind w:firstLine="435"/>
        <w:rPr>
          <w:color w:val="auto"/>
          <w:highlight w:val="none"/>
        </w:rPr>
      </w:pPr>
    </w:p>
    <w:p w14:paraId="063FFD58">
      <w:pPr>
        <w:ind w:firstLine="435"/>
        <w:rPr>
          <w:color w:val="auto"/>
          <w:highlight w:val="none"/>
        </w:rPr>
      </w:pPr>
    </w:p>
    <w:p w14:paraId="2912618F">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招标</w:t>
      </w:r>
      <w:r>
        <w:rPr>
          <w:rFonts w:eastAsia="黑体"/>
          <w:color w:val="auto"/>
          <w:sz w:val="28"/>
          <w:szCs w:val="28"/>
          <w:highlight w:val="none"/>
        </w:rPr>
        <w:t>项目名称</w:t>
      </w:r>
      <w:r>
        <w:rPr>
          <w:rFonts w:hint="eastAsia" w:eastAsia="黑体"/>
          <w:color w:val="auto"/>
          <w:sz w:val="28"/>
          <w:szCs w:val="28"/>
          <w:highlight w:val="none"/>
        </w:rPr>
        <w:t>及标段</w:t>
      </w:r>
      <w:r>
        <w:rPr>
          <w:rFonts w:eastAsia="黑体"/>
          <w:color w:val="auto"/>
          <w:sz w:val="28"/>
          <w:szCs w:val="28"/>
          <w:highlight w:val="none"/>
        </w:rPr>
        <w:t>）施工招标</w:t>
      </w:r>
    </w:p>
    <w:p w14:paraId="4F122EB2">
      <w:pPr>
        <w:ind w:firstLine="435"/>
        <w:rPr>
          <w:color w:val="auto"/>
          <w:szCs w:val="21"/>
          <w:highlight w:val="none"/>
        </w:rPr>
      </w:pPr>
    </w:p>
    <w:p w14:paraId="48AAB2A9">
      <w:pPr>
        <w:ind w:firstLine="435"/>
        <w:rPr>
          <w:color w:val="auto"/>
          <w:szCs w:val="21"/>
          <w:highlight w:val="none"/>
        </w:rPr>
      </w:pPr>
    </w:p>
    <w:p w14:paraId="6E43F23B">
      <w:pPr>
        <w:ind w:firstLine="435"/>
        <w:rPr>
          <w:color w:val="auto"/>
          <w:szCs w:val="21"/>
          <w:highlight w:val="none"/>
        </w:rPr>
      </w:pPr>
    </w:p>
    <w:p w14:paraId="73C484D9">
      <w:pPr>
        <w:ind w:firstLine="435"/>
        <w:rPr>
          <w:color w:val="auto"/>
          <w:szCs w:val="21"/>
          <w:highlight w:val="none"/>
        </w:rPr>
      </w:pPr>
    </w:p>
    <w:p w14:paraId="0FCF4C34">
      <w:pPr>
        <w:ind w:firstLine="435"/>
        <w:rPr>
          <w:color w:val="auto"/>
          <w:szCs w:val="21"/>
          <w:highlight w:val="none"/>
        </w:rPr>
      </w:pPr>
    </w:p>
    <w:p w14:paraId="19CCF5A9">
      <w:pPr>
        <w:jc w:val="center"/>
        <w:rPr>
          <w:rFonts w:eastAsia="黑体"/>
          <w:color w:val="auto"/>
          <w:sz w:val="72"/>
          <w:szCs w:val="72"/>
          <w:highlight w:val="none"/>
        </w:rPr>
      </w:pPr>
      <w:r>
        <w:rPr>
          <w:rFonts w:eastAsia="黑体"/>
          <w:color w:val="auto"/>
          <w:sz w:val="72"/>
          <w:szCs w:val="72"/>
          <w:highlight w:val="none"/>
        </w:rPr>
        <w:t>招  标  文  件</w:t>
      </w:r>
    </w:p>
    <w:p w14:paraId="62A89393">
      <w:pPr>
        <w:ind w:firstLine="435"/>
        <w:rPr>
          <w:color w:val="auto"/>
          <w:highlight w:val="none"/>
        </w:rPr>
      </w:pPr>
    </w:p>
    <w:p w14:paraId="50A60992">
      <w:pPr>
        <w:ind w:firstLine="435"/>
        <w:rPr>
          <w:color w:val="auto"/>
          <w:highlight w:val="none"/>
        </w:rPr>
      </w:pPr>
    </w:p>
    <w:p w14:paraId="2D829A2B">
      <w:pPr>
        <w:ind w:firstLine="435"/>
        <w:rPr>
          <w:color w:val="auto"/>
          <w:highlight w:val="none"/>
        </w:rPr>
      </w:pPr>
    </w:p>
    <w:p w14:paraId="01A47EE7">
      <w:pPr>
        <w:ind w:firstLine="435"/>
        <w:rPr>
          <w:color w:val="auto"/>
          <w:highlight w:val="none"/>
        </w:rPr>
      </w:pPr>
    </w:p>
    <w:p w14:paraId="6C551A54">
      <w:pPr>
        <w:ind w:firstLine="435"/>
        <w:rPr>
          <w:color w:val="auto"/>
          <w:highlight w:val="none"/>
        </w:rPr>
      </w:pPr>
    </w:p>
    <w:p w14:paraId="0E0FE2F2">
      <w:pPr>
        <w:ind w:firstLine="435"/>
        <w:rPr>
          <w:color w:val="auto"/>
          <w:highlight w:val="none"/>
        </w:rPr>
      </w:pPr>
    </w:p>
    <w:p w14:paraId="4A0D55AB">
      <w:pPr>
        <w:ind w:firstLine="435"/>
        <w:rPr>
          <w:color w:val="auto"/>
          <w:highlight w:val="none"/>
        </w:rPr>
      </w:pPr>
    </w:p>
    <w:p w14:paraId="39BDC401">
      <w:pPr>
        <w:ind w:firstLine="435"/>
        <w:rPr>
          <w:color w:val="auto"/>
          <w:highlight w:val="none"/>
        </w:rPr>
      </w:pPr>
    </w:p>
    <w:p w14:paraId="2D19FED1">
      <w:pPr>
        <w:ind w:firstLine="435"/>
        <w:rPr>
          <w:color w:val="auto"/>
          <w:highlight w:val="none"/>
        </w:rPr>
      </w:pPr>
    </w:p>
    <w:p w14:paraId="20AFFD7B">
      <w:pPr>
        <w:ind w:firstLine="435"/>
        <w:rPr>
          <w:color w:val="auto"/>
          <w:highlight w:val="none"/>
        </w:rPr>
      </w:pPr>
    </w:p>
    <w:p w14:paraId="0179B549">
      <w:pPr>
        <w:ind w:firstLine="435"/>
        <w:rPr>
          <w:color w:val="auto"/>
          <w:highlight w:val="none"/>
        </w:rPr>
      </w:pPr>
    </w:p>
    <w:p w14:paraId="49ECFC8B">
      <w:pPr>
        <w:ind w:firstLine="435"/>
        <w:rPr>
          <w:color w:val="auto"/>
          <w:highlight w:val="none"/>
        </w:rPr>
      </w:pPr>
    </w:p>
    <w:p w14:paraId="6BCCFDE0">
      <w:pPr>
        <w:ind w:firstLine="435"/>
        <w:rPr>
          <w:color w:val="auto"/>
          <w:highlight w:val="none"/>
        </w:rPr>
      </w:pPr>
    </w:p>
    <w:p w14:paraId="39952041">
      <w:pPr>
        <w:ind w:firstLine="435"/>
        <w:rPr>
          <w:color w:val="auto"/>
          <w:highlight w:val="none"/>
        </w:rPr>
      </w:pPr>
    </w:p>
    <w:p w14:paraId="7A75192C">
      <w:pPr>
        <w:ind w:firstLine="435"/>
        <w:rPr>
          <w:color w:val="auto"/>
          <w:highlight w:val="none"/>
        </w:rPr>
      </w:pPr>
    </w:p>
    <w:p w14:paraId="365E717D">
      <w:pPr>
        <w:ind w:firstLine="435"/>
        <w:rPr>
          <w:color w:val="auto"/>
          <w:highlight w:val="none"/>
        </w:rPr>
      </w:pPr>
    </w:p>
    <w:p w14:paraId="05FF7CD9">
      <w:pPr>
        <w:spacing w:line="360" w:lineRule="auto"/>
        <w:ind w:firstLine="437"/>
        <w:jc w:val="center"/>
        <w:rPr>
          <w:rFonts w:eastAsia="黑体"/>
          <w:color w:val="auto"/>
          <w:sz w:val="28"/>
          <w:szCs w:val="28"/>
          <w:highlight w:val="none"/>
        </w:rPr>
      </w:pPr>
      <w:r>
        <w:rPr>
          <w:rFonts w:eastAsia="黑体"/>
          <w:color w:val="auto"/>
          <w:sz w:val="28"/>
          <w:szCs w:val="28"/>
          <w:highlight w:val="none"/>
        </w:rPr>
        <w:t>招 标 人（或招标代理机构）：</w:t>
      </w:r>
      <w:r>
        <w:rPr>
          <w:rFonts w:eastAsia="黑体"/>
          <w:color w:val="auto"/>
          <w:sz w:val="28"/>
          <w:szCs w:val="28"/>
          <w:highlight w:val="none"/>
          <w:u w:val="single"/>
        </w:rPr>
        <w:t xml:space="preserve">        </w:t>
      </w:r>
      <w:r>
        <w:rPr>
          <w:rFonts w:eastAsia="黑体"/>
          <w:color w:val="auto"/>
          <w:sz w:val="28"/>
          <w:szCs w:val="28"/>
          <w:highlight w:val="none"/>
        </w:rPr>
        <w:t>（盖</w:t>
      </w:r>
      <w:r>
        <w:rPr>
          <w:rFonts w:hint="eastAsia" w:eastAsia="黑体"/>
          <w:color w:val="auto"/>
          <w:sz w:val="28"/>
          <w:szCs w:val="28"/>
          <w:highlight w:val="none"/>
        </w:rPr>
        <w:t>单位电子公章</w:t>
      </w:r>
      <w:r>
        <w:rPr>
          <w:rFonts w:eastAsia="黑体"/>
          <w:color w:val="auto"/>
          <w:sz w:val="28"/>
          <w:szCs w:val="28"/>
          <w:highlight w:val="none"/>
        </w:rPr>
        <w:t>）</w:t>
      </w:r>
    </w:p>
    <w:p w14:paraId="0CA265F4">
      <w:pPr>
        <w:spacing w:line="540" w:lineRule="exact"/>
        <w:ind w:firstLine="437"/>
        <w:jc w:val="center"/>
        <w:rPr>
          <w:rFonts w:eastAsia="黑体"/>
          <w:color w:val="auto"/>
          <w:sz w:val="28"/>
          <w:szCs w:val="28"/>
          <w:highlight w:val="none"/>
        </w:rPr>
      </w:pPr>
      <w:r>
        <w:rPr>
          <w:rFonts w:eastAsia="黑体"/>
          <w:color w:val="auto"/>
          <w:sz w:val="28"/>
          <w:szCs w:val="28"/>
          <w:highlight w:val="none"/>
        </w:rPr>
        <w:t>日    期：</w:t>
      </w: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18D392CC">
      <w:pPr>
        <w:ind w:firstLine="435"/>
        <w:rPr>
          <w:color w:val="auto"/>
          <w:highlight w:val="none"/>
        </w:rPr>
      </w:pPr>
    </w:p>
    <w:p w14:paraId="4759B402">
      <w:pPr>
        <w:spacing w:line="540" w:lineRule="exact"/>
        <w:jc w:val="center"/>
        <w:rPr>
          <w:rFonts w:eastAsia="黑体"/>
          <w:bCs/>
          <w:color w:val="auto"/>
          <w:sz w:val="36"/>
          <w:szCs w:val="36"/>
          <w:highlight w:val="none"/>
        </w:rPr>
      </w:pPr>
      <w:r>
        <w:rPr>
          <w:rFonts w:eastAsia="黑体"/>
          <w:bCs/>
          <w:color w:val="auto"/>
          <w:sz w:val="36"/>
          <w:szCs w:val="36"/>
          <w:highlight w:val="none"/>
        </w:rPr>
        <w:br w:type="page"/>
      </w:r>
      <w:r>
        <w:rPr>
          <w:rFonts w:eastAsia="黑体"/>
          <w:bCs/>
          <w:color w:val="auto"/>
          <w:sz w:val="36"/>
          <w:szCs w:val="36"/>
          <w:highlight w:val="none"/>
        </w:rPr>
        <w:t>目  录</w:t>
      </w:r>
    </w:p>
    <w:p w14:paraId="22BFCC24">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0CDE0916">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"_Toc211498553"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  一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_Toc211498553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w:t>
      </w:r>
      <w:r>
        <w:rPr>
          <w:rFonts w:hint="eastAsia"/>
          <w:color w:val="auto"/>
          <w:highlight w:val="none"/>
        </w:rPr>
        <w:fldChar w:fldCharType="end"/>
      </w:r>
      <w:r>
        <w:rPr>
          <w:rStyle w:val="48"/>
          <w:rFonts w:hint="eastAsia"/>
          <w:color w:val="auto"/>
          <w:highlight w:val="none"/>
        </w:rPr>
        <w:fldChar w:fldCharType="end"/>
      </w:r>
    </w:p>
    <w:p w14:paraId="1163140B">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"_Toc211498554"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第一章  招标公告（适用于未进行资格预审的公开招标项目）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_Toc211498554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Style w:val="48"/>
          <w:rFonts w:hint="eastAsia"/>
          <w:color w:val="auto"/>
          <w:highlight w:val="none"/>
        </w:rPr>
        <w:fldChar w:fldCharType="end"/>
      </w:r>
    </w:p>
    <w:p w14:paraId="6D015B7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"_Toc211498555"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_Toc211498555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Style w:val="48"/>
          <w:rFonts w:hint="eastAsia"/>
          <w:color w:val="auto"/>
          <w:highlight w:val="none"/>
        </w:rPr>
        <w:fldChar w:fldCharType="end"/>
      </w:r>
    </w:p>
    <w:p w14:paraId="37311B17">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"_Toc211498556"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2.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_Toc211498556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Style w:val="48"/>
          <w:rFonts w:hint="eastAsia"/>
          <w:color w:val="auto"/>
          <w:highlight w:val="none"/>
        </w:rPr>
        <w:fldChar w:fldCharType="end"/>
      </w:r>
    </w:p>
    <w:p w14:paraId="1F1B3AF9">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"_Toc211498557"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3.招标范围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_Toc211498557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w:t>
      </w:r>
      <w:r>
        <w:rPr>
          <w:rFonts w:hint="eastAsia"/>
          <w:color w:val="auto"/>
          <w:highlight w:val="none"/>
        </w:rPr>
        <w:fldChar w:fldCharType="end"/>
      </w:r>
      <w:r>
        <w:rPr>
          <w:rStyle w:val="48"/>
          <w:rFonts w:hint="eastAsia"/>
          <w:color w:val="auto"/>
          <w:highlight w:val="none"/>
        </w:rPr>
        <w:fldChar w:fldCharType="end"/>
      </w:r>
    </w:p>
    <w:p w14:paraId="2B9CCA4C">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"_Toc211498558"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_Toc211498558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w:t>
      </w:r>
      <w:r>
        <w:rPr>
          <w:rFonts w:hint="eastAsia"/>
          <w:color w:val="auto"/>
          <w:highlight w:val="none"/>
        </w:rPr>
        <w:fldChar w:fldCharType="end"/>
      </w:r>
      <w:r>
        <w:rPr>
          <w:rStyle w:val="48"/>
          <w:rFonts w:hint="eastAsia"/>
          <w:color w:val="auto"/>
          <w:highlight w:val="none"/>
        </w:rPr>
        <w:fldChar w:fldCharType="end"/>
      </w:r>
    </w:p>
    <w:p w14:paraId="5AE11E54">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"_Toc211498560"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5.招标文件的获取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_Toc211498560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05299BAD">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"_Toc211498561"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6.投标文件的递交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_Toc211498561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6BFEB56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"_Toc211498562"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_Toc211498562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46D53F51">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"_Toc211498564"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8.评标办法及确定中标人方式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_Toc211498564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7B782A3A">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"_Toc211498565"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9.发布公告的媒介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_Toc211498565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1E0B410D">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"_Toc211498566"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_Toc211498566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22</w:t>
      </w:r>
      <w:r>
        <w:rPr>
          <w:rFonts w:hint="eastAsia"/>
          <w:color w:val="auto"/>
          <w:highlight w:val="none"/>
        </w:rPr>
        <w:fldChar w:fldCharType="end"/>
      </w:r>
      <w:r>
        <w:rPr>
          <w:rStyle w:val="48"/>
          <w:rFonts w:hint="eastAsia"/>
          <w:color w:val="auto"/>
          <w:highlight w:val="none"/>
        </w:rPr>
        <w:fldChar w:fldCharType="end"/>
      </w:r>
    </w:p>
    <w:p w14:paraId="07DEC803">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"_Toc211498567"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_Toc211498567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22</w:t>
      </w:r>
      <w:r>
        <w:rPr>
          <w:rFonts w:hint="eastAsia"/>
          <w:color w:val="auto"/>
          <w:highlight w:val="none"/>
        </w:rPr>
        <w:fldChar w:fldCharType="end"/>
      </w:r>
      <w:r>
        <w:rPr>
          <w:rStyle w:val="48"/>
          <w:rFonts w:hint="eastAsia"/>
          <w:color w:val="auto"/>
          <w:highlight w:val="none"/>
        </w:rPr>
        <w:fldChar w:fldCharType="end"/>
      </w:r>
    </w:p>
    <w:p w14:paraId="32B04CED">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"_Toc211498568"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第一章  投标邀请书（适用于邀请招标）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_Toc211498568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w:t>
      </w:r>
      <w:r>
        <w:rPr>
          <w:rFonts w:hint="eastAsia"/>
          <w:color w:val="auto"/>
          <w:highlight w:val="none"/>
        </w:rPr>
        <w:fldChar w:fldCharType="end"/>
      </w:r>
      <w:r>
        <w:rPr>
          <w:rStyle w:val="48"/>
          <w:rFonts w:hint="eastAsia"/>
          <w:color w:val="auto"/>
          <w:highlight w:val="none"/>
        </w:rPr>
        <w:fldChar w:fldCharType="end"/>
      </w:r>
    </w:p>
    <w:p w14:paraId="69CF5612">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"_Toc211498569"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_Toc211498569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w:t>
      </w:r>
      <w:r>
        <w:rPr>
          <w:rFonts w:hint="eastAsia"/>
          <w:color w:val="auto"/>
          <w:highlight w:val="none"/>
        </w:rPr>
        <w:fldChar w:fldCharType="end"/>
      </w:r>
      <w:r>
        <w:rPr>
          <w:rStyle w:val="48"/>
          <w:rFonts w:hint="eastAsia"/>
          <w:color w:val="auto"/>
          <w:highlight w:val="none"/>
        </w:rPr>
        <w:fldChar w:fldCharType="end"/>
      </w:r>
    </w:p>
    <w:p w14:paraId="45E0E58E">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"_Toc211498570"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2.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w:t>
      </w:r>
      <w:r>
        <w:rPr>
          <w:rFonts w:hint="eastAsia"/>
          <w:color w:val="auto"/>
          <w:highlight w:val="none"/>
        </w:rPr>
        <w:fldChar w:fldCharType="end"/>
      </w:r>
      <w:r>
        <w:rPr>
          <w:rStyle w:val="48"/>
          <w:rFonts w:hint="eastAsia"/>
          <w:color w:val="auto"/>
          <w:highlight w:val="none"/>
        </w:rPr>
        <w:fldChar w:fldCharType="end"/>
      </w:r>
    </w:p>
    <w:p w14:paraId="57C087EA">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"_Toc211498571"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3.招标范围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_Toc211498571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29</w:t>
      </w:r>
      <w:r>
        <w:rPr>
          <w:rFonts w:hint="eastAsia"/>
          <w:color w:val="auto"/>
          <w:highlight w:val="none"/>
        </w:rPr>
        <w:fldChar w:fldCharType="end"/>
      </w:r>
      <w:r>
        <w:rPr>
          <w:rStyle w:val="48"/>
          <w:rFonts w:hint="eastAsia"/>
          <w:color w:val="auto"/>
          <w:highlight w:val="none"/>
        </w:rPr>
        <w:fldChar w:fldCharType="end"/>
      </w:r>
    </w:p>
    <w:p w14:paraId="2D598CA4">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"_Toc211498572"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29</w:t>
      </w:r>
      <w:r>
        <w:rPr>
          <w:rFonts w:hint="eastAsia"/>
          <w:color w:val="auto"/>
          <w:highlight w:val="none"/>
        </w:rPr>
        <w:fldChar w:fldCharType="end"/>
      </w:r>
      <w:r>
        <w:rPr>
          <w:rStyle w:val="48"/>
          <w:rFonts w:hint="eastAsia"/>
          <w:color w:val="auto"/>
          <w:highlight w:val="none"/>
        </w:rPr>
        <w:fldChar w:fldCharType="end"/>
      </w:r>
    </w:p>
    <w:p w14:paraId="7825CDF3">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"_Toc211498574"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5.招标文件的获取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33</w:t>
      </w:r>
      <w:r>
        <w:rPr>
          <w:rFonts w:hint="eastAsia"/>
          <w:color w:val="auto"/>
          <w:highlight w:val="none"/>
        </w:rPr>
        <w:fldChar w:fldCharType="end"/>
      </w:r>
      <w:r>
        <w:rPr>
          <w:rStyle w:val="48"/>
          <w:rFonts w:hint="eastAsia"/>
          <w:color w:val="auto"/>
          <w:highlight w:val="none"/>
        </w:rPr>
        <w:fldChar w:fldCharType="end"/>
      </w:r>
    </w:p>
    <w:p w14:paraId="54EEF9C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"_Toc211498575"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6.投标文件的递交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33</w:t>
      </w:r>
      <w:r>
        <w:rPr>
          <w:rFonts w:hint="eastAsia"/>
          <w:color w:val="auto"/>
          <w:highlight w:val="none"/>
        </w:rPr>
        <w:fldChar w:fldCharType="end"/>
      </w:r>
      <w:r>
        <w:rPr>
          <w:rStyle w:val="48"/>
          <w:rFonts w:hint="eastAsia"/>
          <w:color w:val="auto"/>
          <w:highlight w:val="none"/>
        </w:rPr>
        <w:fldChar w:fldCharType="end"/>
      </w:r>
    </w:p>
    <w:p w14:paraId="71625E30">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"_Toc211498576"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7.评标办法及确定中标人方式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33</w:t>
      </w:r>
      <w:r>
        <w:rPr>
          <w:rFonts w:hint="eastAsia"/>
          <w:color w:val="auto"/>
          <w:highlight w:val="none"/>
        </w:rPr>
        <w:fldChar w:fldCharType="end"/>
      </w:r>
      <w:r>
        <w:rPr>
          <w:rStyle w:val="48"/>
          <w:rFonts w:hint="eastAsia"/>
          <w:color w:val="auto"/>
          <w:highlight w:val="none"/>
        </w:rPr>
        <w:fldChar w:fldCharType="end"/>
      </w:r>
    </w:p>
    <w:p w14:paraId="0257836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"_Toc211498577"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33</w:t>
      </w:r>
      <w:r>
        <w:rPr>
          <w:rFonts w:hint="eastAsia"/>
          <w:color w:val="auto"/>
          <w:highlight w:val="none"/>
        </w:rPr>
        <w:fldChar w:fldCharType="end"/>
      </w:r>
      <w:r>
        <w:rPr>
          <w:rStyle w:val="48"/>
          <w:rFonts w:hint="eastAsia"/>
          <w:color w:val="auto"/>
          <w:highlight w:val="none"/>
        </w:rPr>
        <w:fldChar w:fldCharType="end"/>
      </w:r>
    </w:p>
    <w:p w14:paraId="5AC1B024">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"_Toc211498578"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Style w:val="48"/>
          <w:rFonts w:hint="eastAsia"/>
          <w:color w:val="auto"/>
          <w:highlight w:val="none"/>
        </w:rPr>
        <w:fldChar w:fldCharType="end"/>
      </w:r>
    </w:p>
    <w:p w14:paraId="2207958E">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"_Toc211498579"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第一章 资格预审公告（适用于进行资格预审的公开招标项目）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Style w:val="48"/>
          <w:rFonts w:hint="eastAsia"/>
          <w:color w:val="auto"/>
          <w:highlight w:val="none"/>
        </w:rPr>
        <w:fldChar w:fldCharType="end"/>
      </w:r>
    </w:p>
    <w:p w14:paraId="1DFCFB9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"_Toc211498580"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Style w:val="48"/>
          <w:rFonts w:hint="eastAsia"/>
          <w:color w:val="auto"/>
          <w:highlight w:val="none"/>
        </w:rPr>
        <w:fldChar w:fldCharType="end"/>
      </w:r>
    </w:p>
    <w:p w14:paraId="54BD5973">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"_Toc211498581"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2.项目概况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Style w:val="48"/>
          <w:rFonts w:hint="eastAsia"/>
          <w:color w:val="auto"/>
          <w:highlight w:val="none"/>
        </w:rPr>
        <w:fldChar w:fldCharType="end"/>
      </w:r>
    </w:p>
    <w:p w14:paraId="71270ED2">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"_Toc211498582"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3.招标范围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_Toc211498582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40</w:t>
      </w:r>
      <w:r>
        <w:rPr>
          <w:rFonts w:hint="eastAsia"/>
          <w:color w:val="auto"/>
          <w:highlight w:val="none"/>
        </w:rPr>
        <w:fldChar w:fldCharType="end"/>
      </w:r>
      <w:r>
        <w:rPr>
          <w:rStyle w:val="48"/>
          <w:rFonts w:hint="eastAsia"/>
          <w:color w:val="auto"/>
          <w:highlight w:val="none"/>
        </w:rPr>
        <w:fldChar w:fldCharType="end"/>
      </w:r>
    </w:p>
    <w:p w14:paraId="4CC9404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"_Toc211498583"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4.申请人资格要求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_Toc211498583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40</w:t>
      </w:r>
      <w:r>
        <w:rPr>
          <w:rFonts w:hint="eastAsia"/>
          <w:color w:val="auto"/>
          <w:highlight w:val="none"/>
        </w:rPr>
        <w:fldChar w:fldCharType="end"/>
      </w:r>
      <w:r>
        <w:rPr>
          <w:rStyle w:val="48"/>
          <w:rFonts w:hint="eastAsia"/>
          <w:color w:val="auto"/>
          <w:highlight w:val="none"/>
        </w:rPr>
        <w:fldChar w:fldCharType="end"/>
      </w:r>
    </w:p>
    <w:p w14:paraId="4F5EF8D3">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"_Toc211498585"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b/>
          <w:bCs/>
          <w:color w:val="auto"/>
          <w:highlight w:val="none"/>
        </w:rPr>
        <w:t>5.资格预审方法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_Toc211498585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44</w:t>
      </w:r>
      <w:r>
        <w:rPr>
          <w:rFonts w:hint="eastAsia"/>
          <w:color w:val="auto"/>
          <w:highlight w:val="none"/>
        </w:rPr>
        <w:fldChar w:fldCharType="end"/>
      </w:r>
      <w:r>
        <w:rPr>
          <w:rStyle w:val="48"/>
          <w:rFonts w:hint="eastAsia"/>
          <w:color w:val="auto"/>
          <w:highlight w:val="none"/>
        </w:rPr>
        <w:fldChar w:fldCharType="end"/>
      </w:r>
    </w:p>
    <w:p w14:paraId="422E8E9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"_Toc211498586"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6.资格预审文件的获取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_Toc211498586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44</w:t>
      </w:r>
      <w:r>
        <w:rPr>
          <w:rFonts w:hint="eastAsia"/>
          <w:color w:val="auto"/>
          <w:highlight w:val="none"/>
        </w:rPr>
        <w:fldChar w:fldCharType="end"/>
      </w:r>
      <w:r>
        <w:rPr>
          <w:rStyle w:val="48"/>
          <w:rFonts w:hint="eastAsia"/>
          <w:color w:val="auto"/>
          <w:highlight w:val="none"/>
        </w:rPr>
        <w:fldChar w:fldCharType="end"/>
      </w:r>
    </w:p>
    <w:p w14:paraId="77D8178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"_Toc211498587"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7.资格预审申请文件的递交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_Toc211498587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44</w:t>
      </w:r>
      <w:r>
        <w:rPr>
          <w:rFonts w:hint="eastAsia"/>
          <w:color w:val="auto"/>
          <w:highlight w:val="none"/>
        </w:rPr>
        <w:fldChar w:fldCharType="end"/>
      </w:r>
      <w:r>
        <w:rPr>
          <w:rStyle w:val="48"/>
          <w:rFonts w:hint="eastAsia"/>
          <w:color w:val="auto"/>
          <w:highlight w:val="none"/>
        </w:rPr>
        <w:fldChar w:fldCharType="end"/>
      </w:r>
    </w:p>
    <w:p w14:paraId="194A954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"_Toc211498588"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8.评标办法及确定中标人方式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_Toc211498588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44</w:t>
      </w:r>
      <w:r>
        <w:rPr>
          <w:rFonts w:hint="eastAsia"/>
          <w:color w:val="auto"/>
          <w:highlight w:val="none"/>
        </w:rPr>
        <w:fldChar w:fldCharType="end"/>
      </w:r>
      <w:r>
        <w:rPr>
          <w:rStyle w:val="48"/>
          <w:rFonts w:hint="eastAsia"/>
          <w:color w:val="auto"/>
          <w:highlight w:val="none"/>
        </w:rPr>
        <w:fldChar w:fldCharType="end"/>
      </w:r>
    </w:p>
    <w:p w14:paraId="229C2F0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"_Toc211498589"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9.发布公告的媒介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_Toc211498589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Style w:val="48"/>
          <w:rFonts w:hint="eastAsia"/>
          <w:color w:val="auto"/>
          <w:highlight w:val="none"/>
        </w:rPr>
        <w:fldChar w:fldCharType="end"/>
      </w:r>
    </w:p>
    <w:p w14:paraId="10700A6E">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Style w:val="48"/>
          <w:rFonts w:hint="eastAsia"/>
          <w:color w:val="auto"/>
          <w:highlight w:val="none"/>
        </w:rPr>
        <w:fldChar w:fldCharType="end"/>
      </w:r>
    </w:p>
    <w:p w14:paraId="1BD30760">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Style w:val="48"/>
          <w:rFonts w:hint="eastAsia"/>
          <w:color w:val="auto"/>
          <w:highlight w:val="none"/>
        </w:rPr>
        <w:fldChar w:fldCharType="end"/>
      </w:r>
    </w:p>
    <w:p w14:paraId="2E0EA16D">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第一章  资格预审通过通知书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47</w:t>
      </w:r>
      <w:r>
        <w:rPr>
          <w:rFonts w:hint="eastAsia"/>
          <w:color w:val="auto"/>
          <w:highlight w:val="none"/>
        </w:rPr>
        <w:fldChar w:fldCharType="end"/>
      </w:r>
      <w:r>
        <w:rPr>
          <w:rStyle w:val="48"/>
          <w:rFonts w:hint="eastAsia"/>
          <w:color w:val="auto"/>
          <w:highlight w:val="none"/>
        </w:rPr>
        <w:fldChar w:fldCharType="end"/>
      </w:r>
    </w:p>
    <w:p w14:paraId="51A3C69F">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48</w:t>
      </w:r>
      <w:r>
        <w:rPr>
          <w:rFonts w:hint="eastAsia"/>
          <w:color w:val="auto"/>
          <w:highlight w:val="none"/>
        </w:rPr>
        <w:fldChar w:fldCharType="end"/>
      </w:r>
      <w:r>
        <w:rPr>
          <w:rStyle w:val="48"/>
          <w:rFonts w:hint="eastAsia"/>
          <w:color w:val="auto"/>
          <w:highlight w:val="none"/>
        </w:rPr>
        <w:fldChar w:fldCharType="end"/>
      </w:r>
    </w:p>
    <w:p w14:paraId="088CE240">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投标人须知前附表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48</w:t>
      </w:r>
      <w:r>
        <w:rPr>
          <w:rFonts w:hint="eastAsia"/>
          <w:color w:val="auto"/>
          <w:highlight w:val="none"/>
        </w:rPr>
        <w:fldChar w:fldCharType="end"/>
      </w:r>
      <w:r>
        <w:rPr>
          <w:rStyle w:val="48"/>
          <w:rFonts w:hint="eastAsia"/>
          <w:color w:val="auto"/>
          <w:highlight w:val="none"/>
        </w:rPr>
        <w:fldChar w:fldCharType="end"/>
      </w:r>
    </w:p>
    <w:p w14:paraId="3355BC5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1.总则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65</w:t>
      </w:r>
      <w:r>
        <w:rPr>
          <w:rFonts w:hint="eastAsia"/>
          <w:color w:val="auto"/>
          <w:highlight w:val="none"/>
        </w:rPr>
        <w:fldChar w:fldCharType="end"/>
      </w:r>
      <w:r>
        <w:rPr>
          <w:rStyle w:val="48"/>
          <w:rFonts w:hint="eastAsia"/>
          <w:color w:val="auto"/>
          <w:highlight w:val="none"/>
        </w:rPr>
        <w:fldChar w:fldCharType="end"/>
      </w:r>
    </w:p>
    <w:p w14:paraId="2819CF56">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2.招标文件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68</w:t>
      </w:r>
      <w:r>
        <w:rPr>
          <w:rFonts w:hint="eastAsia"/>
          <w:color w:val="auto"/>
          <w:highlight w:val="none"/>
        </w:rPr>
        <w:fldChar w:fldCharType="end"/>
      </w:r>
      <w:r>
        <w:rPr>
          <w:rStyle w:val="48"/>
          <w:rFonts w:hint="eastAsia"/>
          <w:color w:val="auto"/>
          <w:highlight w:val="none"/>
        </w:rPr>
        <w:fldChar w:fldCharType="end"/>
      </w:r>
    </w:p>
    <w:p w14:paraId="094C807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3.投标文件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68</w:t>
      </w:r>
      <w:r>
        <w:rPr>
          <w:rFonts w:hint="eastAsia"/>
          <w:color w:val="auto"/>
          <w:highlight w:val="none"/>
        </w:rPr>
        <w:fldChar w:fldCharType="end"/>
      </w:r>
      <w:r>
        <w:rPr>
          <w:rStyle w:val="48"/>
          <w:rFonts w:hint="eastAsia"/>
          <w:color w:val="auto"/>
          <w:highlight w:val="none"/>
        </w:rPr>
        <w:fldChar w:fldCharType="end"/>
      </w:r>
    </w:p>
    <w:p w14:paraId="0C84538C">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4.投标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70</w:t>
      </w:r>
      <w:r>
        <w:rPr>
          <w:rFonts w:hint="eastAsia"/>
          <w:color w:val="auto"/>
          <w:highlight w:val="none"/>
        </w:rPr>
        <w:fldChar w:fldCharType="end"/>
      </w:r>
      <w:r>
        <w:rPr>
          <w:rStyle w:val="48"/>
          <w:rFonts w:hint="eastAsia"/>
          <w:color w:val="auto"/>
          <w:highlight w:val="none"/>
        </w:rPr>
        <w:fldChar w:fldCharType="end"/>
      </w:r>
    </w:p>
    <w:p w14:paraId="4AFC4DDA">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"_Toc211498599"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5.开标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_Toc211498599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71</w:t>
      </w:r>
      <w:r>
        <w:rPr>
          <w:rFonts w:hint="eastAsia"/>
          <w:color w:val="auto"/>
          <w:highlight w:val="none"/>
        </w:rPr>
        <w:fldChar w:fldCharType="end"/>
      </w:r>
      <w:r>
        <w:rPr>
          <w:rStyle w:val="48"/>
          <w:rFonts w:hint="eastAsia"/>
          <w:color w:val="auto"/>
          <w:highlight w:val="none"/>
        </w:rPr>
        <w:fldChar w:fldCharType="end"/>
      </w:r>
    </w:p>
    <w:p w14:paraId="6F94A9CA">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"_Toc211498600"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_Toc211498600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72</w:t>
      </w:r>
      <w:r>
        <w:rPr>
          <w:rFonts w:hint="eastAsia"/>
          <w:color w:val="auto"/>
          <w:highlight w:val="none"/>
        </w:rPr>
        <w:fldChar w:fldCharType="end"/>
      </w:r>
      <w:r>
        <w:rPr>
          <w:rStyle w:val="48"/>
          <w:rFonts w:hint="eastAsia"/>
          <w:color w:val="auto"/>
          <w:highlight w:val="none"/>
        </w:rPr>
        <w:fldChar w:fldCharType="end"/>
      </w:r>
    </w:p>
    <w:p w14:paraId="268B3C2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"_Toc211498601"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7.合同授予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_Toc211498601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72</w:t>
      </w:r>
      <w:r>
        <w:rPr>
          <w:rFonts w:hint="eastAsia"/>
          <w:color w:val="auto"/>
          <w:highlight w:val="none"/>
        </w:rPr>
        <w:fldChar w:fldCharType="end"/>
      </w:r>
      <w:r>
        <w:rPr>
          <w:rStyle w:val="48"/>
          <w:rFonts w:hint="eastAsia"/>
          <w:color w:val="auto"/>
          <w:highlight w:val="none"/>
        </w:rPr>
        <w:fldChar w:fldCharType="end"/>
      </w:r>
    </w:p>
    <w:p w14:paraId="2399F4EE">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"_Toc211498602"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8.重新招标和不再招标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_Toc211498602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73</w:t>
      </w:r>
      <w:r>
        <w:rPr>
          <w:rFonts w:hint="eastAsia"/>
          <w:color w:val="auto"/>
          <w:highlight w:val="none"/>
        </w:rPr>
        <w:fldChar w:fldCharType="end"/>
      </w:r>
      <w:r>
        <w:rPr>
          <w:rStyle w:val="48"/>
          <w:rFonts w:hint="eastAsia"/>
          <w:color w:val="auto"/>
          <w:highlight w:val="none"/>
        </w:rPr>
        <w:fldChar w:fldCharType="end"/>
      </w:r>
    </w:p>
    <w:p w14:paraId="3FA228A3">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"_Toc211498603"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9.纪律和监督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_Toc211498603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74</w:t>
      </w:r>
      <w:r>
        <w:rPr>
          <w:rFonts w:hint="eastAsia"/>
          <w:color w:val="auto"/>
          <w:highlight w:val="none"/>
        </w:rPr>
        <w:fldChar w:fldCharType="end"/>
      </w:r>
      <w:r>
        <w:rPr>
          <w:rStyle w:val="48"/>
          <w:rFonts w:hint="eastAsia"/>
          <w:color w:val="auto"/>
          <w:highlight w:val="none"/>
        </w:rPr>
        <w:fldChar w:fldCharType="end"/>
      </w:r>
    </w:p>
    <w:p w14:paraId="4D1584DE">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"_Toc211498604"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10.需要补充的其他内容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_Toc211498604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75</w:t>
      </w:r>
      <w:r>
        <w:rPr>
          <w:rFonts w:hint="eastAsia"/>
          <w:color w:val="auto"/>
          <w:highlight w:val="none"/>
        </w:rPr>
        <w:fldChar w:fldCharType="end"/>
      </w:r>
      <w:r>
        <w:rPr>
          <w:rStyle w:val="48"/>
          <w:rFonts w:hint="eastAsia"/>
          <w:color w:val="auto"/>
          <w:highlight w:val="none"/>
        </w:rPr>
        <w:fldChar w:fldCharType="end"/>
      </w:r>
    </w:p>
    <w:p w14:paraId="783ACF48">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"_Toc211498614"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评标办法（经评审的最低投标价法）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_Toc211498614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101</w:t>
      </w:r>
      <w:r>
        <w:rPr>
          <w:rFonts w:hint="eastAsia"/>
          <w:color w:val="auto"/>
          <w:highlight w:val="none"/>
        </w:rPr>
        <w:fldChar w:fldCharType="end"/>
      </w:r>
      <w:r>
        <w:rPr>
          <w:rStyle w:val="48"/>
          <w:rFonts w:hint="eastAsia"/>
          <w:color w:val="auto"/>
          <w:highlight w:val="none"/>
        </w:rPr>
        <w:fldChar w:fldCharType="end"/>
      </w:r>
    </w:p>
    <w:p w14:paraId="20102615">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"_Toc211498615"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_Toc211498615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101</w:t>
      </w:r>
      <w:r>
        <w:rPr>
          <w:rFonts w:hint="eastAsia"/>
          <w:color w:val="auto"/>
          <w:highlight w:val="none"/>
        </w:rPr>
        <w:fldChar w:fldCharType="end"/>
      </w:r>
      <w:r>
        <w:rPr>
          <w:rStyle w:val="48"/>
          <w:rFonts w:hint="eastAsia"/>
          <w:color w:val="auto"/>
          <w:highlight w:val="none"/>
        </w:rPr>
        <w:fldChar w:fldCharType="end"/>
      </w:r>
    </w:p>
    <w:p w14:paraId="1CD30A59">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"_Toc211498620"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_Toc211498620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105</w:t>
      </w:r>
      <w:r>
        <w:rPr>
          <w:rFonts w:hint="eastAsia"/>
          <w:color w:val="auto"/>
          <w:highlight w:val="none"/>
        </w:rPr>
        <w:fldChar w:fldCharType="end"/>
      </w:r>
      <w:r>
        <w:rPr>
          <w:rStyle w:val="48"/>
          <w:rFonts w:hint="eastAsia"/>
          <w:color w:val="auto"/>
          <w:highlight w:val="none"/>
        </w:rPr>
        <w:fldChar w:fldCharType="end"/>
      </w:r>
    </w:p>
    <w:p w14:paraId="4A53F47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"_Toc211498621"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_Toc211498621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105</w:t>
      </w:r>
      <w:r>
        <w:rPr>
          <w:rFonts w:hint="eastAsia"/>
          <w:color w:val="auto"/>
          <w:highlight w:val="none"/>
        </w:rPr>
        <w:fldChar w:fldCharType="end"/>
      </w:r>
      <w:r>
        <w:rPr>
          <w:rStyle w:val="48"/>
          <w:rFonts w:hint="eastAsia"/>
          <w:color w:val="auto"/>
          <w:highlight w:val="none"/>
        </w:rPr>
        <w:fldChar w:fldCharType="end"/>
      </w:r>
    </w:p>
    <w:p w14:paraId="6D902DC0">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"_Toc211498622"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3.初步评审（形式、资格、响应性评审）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_Toc211498622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105</w:t>
      </w:r>
      <w:r>
        <w:rPr>
          <w:rFonts w:hint="eastAsia"/>
          <w:color w:val="auto"/>
          <w:highlight w:val="none"/>
        </w:rPr>
        <w:fldChar w:fldCharType="end"/>
      </w:r>
      <w:r>
        <w:rPr>
          <w:rStyle w:val="48"/>
          <w:rFonts w:hint="eastAsia"/>
          <w:color w:val="auto"/>
          <w:highlight w:val="none"/>
        </w:rPr>
        <w:fldChar w:fldCharType="end"/>
      </w:r>
    </w:p>
    <w:p w14:paraId="6618948E">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"_Toc211498629"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4.评标委员会复核</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_Toc211498629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107</w:t>
      </w:r>
      <w:r>
        <w:rPr>
          <w:rFonts w:hint="eastAsia"/>
          <w:color w:val="auto"/>
          <w:highlight w:val="none"/>
        </w:rPr>
        <w:fldChar w:fldCharType="end"/>
      </w:r>
      <w:r>
        <w:rPr>
          <w:rStyle w:val="48"/>
          <w:rFonts w:hint="eastAsia"/>
          <w:color w:val="auto"/>
          <w:highlight w:val="none"/>
        </w:rPr>
        <w:fldChar w:fldCharType="end"/>
      </w:r>
    </w:p>
    <w:p w14:paraId="7BB670DD">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"_Toc211498630"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5.投标价格排序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_Toc211498630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107</w:t>
      </w:r>
      <w:r>
        <w:rPr>
          <w:rFonts w:hint="eastAsia"/>
          <w:color w:val="auto"/>
          <w:highlight w:val="none"/>
        </w:rPr>
        <w:fldChar w:fldCharType="end"/>
      </w:r>
      <w:r>
        <w:rPr>
          <w:rStyle w:val="48"/>
          <w:rFonts w:hint="eastAsia"/>
          <w:color w:val="auto"/>
          <w:highlight w:val="none"/>
        </w:rPr>
        <w:fldChar w:fldCharType="end"/>
      </w:r>
    </w:p>
    <w:p w14:paraId="1691B35D">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"_Toc211498631"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6.投标文件的澄清和补正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_Toc211498631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107</w:t>
      </w:r>
      <w:r>
        <w:rPr>
          <w:rFonts w:hint="eastAsia"/>
          <w:color w:val="auto"/>
          <w:highlight w:val="none"/>
        </w:rPr>
        <w:fldChar w:fldCharType="end"/>
      </w:r>
      <w:r>
        <w:rPr>
          <w:rStyle w:val="48"/>
          <w:rFonts w:hint="eastAsia"/>
          <w:color w:val="auto"/>
          <w:highlight w:val="none"/>
        </w:rPr>
        <w:fldChar w:fldCharType="end"/>
      </w:r>
    </w:p>
    <w:p w14:paraId="5C0CB2B9">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"_Toc211498632"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_Toc211498632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107</w:t>
      </w:r>
      <w:r>
        <w:rPr>
          <w:rFonts w:hint="eastAsia"/>
          <w:color w:val="auto"/>
          <w:highlight w:val="none"/>
        </w:rPr>
        <w:fldChar w:fldCharType="end"/>
      </w:r>
      <w:r>
        <w:rPr>
          <w:rStyle w:val="48"/>
          <w:rFonts w:hint="eastAsia"/>
          <w:color w:val="auto"/>
          <w:highlight w:val="none"/>
        </w:rPr>
        <w:fldChar w:fldCharType="end"/>
      </w:r>
    </w:p>
    <w:p w14:paraId="56D5183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"_Toc211498633"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_Toc211498633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108</w:t>
      </w:r>
      <w:r>
        <w:rPr>
          <w:rFonts w:hint="eastAsia"/>
          <w:color w:val="auto"/>
          <w:highlight w:val="none"/>
        </w:rPr>
        <w:fldChar w:fldCharType="end"/>
      </w:r>
      <w:r>
        <w:rPr>
          <w:rStyle w:val="48"/>
          <w:rFonts w:hint="eastAsia"/>
          <w:color w:val="auto"/>
          <w:highlight w:val="none"/>
        </w:rPr>
        <w:fldChar w:fldCharType="end"/>
      </w:r>
    </w:p>
    <w:p w14:paraId="0E0FC987">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"_Toc211498634"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_Toc211498634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109</w:t>
      </w:r>
      <w:r>
        <w:rPr>
          <w:rFonts w:hint="eastAsia"/>
          <w:color w:val="auto"/>
          <w:highlight w:val="none"/>
        </w:rPr>
        <w:fldChar w:fldCharType="end"/>
      </w:r>
      <w:r>
        <w:rPr>
          <w:rStyle w:val="48"/>
          <w:rFonts w:hint="eastAsia"/>
          <w:color w:val="auto"/>
          <w:highlight w:val="none"/>
        </w:rPr>
        <w:fldChar w:fldCharType="end"/>
      </w:r>
    </w:p>
    <w:p w14:paraId="00685C8C">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"_Toc211498635"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评标办法（合理低价法）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_Toc211498635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110</w:t>
      </w:r>
      <w:r>
        <w:rPr>
          <w:rFonts w:hint="eastAsia"/>
          <w:color w:val="auto"/>
          <w:highlight w:val="none"/>
        </w:rPr>
        <w:fldChar w:fldCharType="end"/>
      </w:r>
      <w:r>
        <w:rPr>
          <w:rStyle w:val="48"/>
          <w:rFonts w:hint="eastAsia"/>
          <w:color w:val="auto"/>
          <w:highlight w:val="none"/>
        </w:rPr>
        <w:fldChar w:fldCharType="end"/>
      </w:r>
    </w:p>
    <w:p w14:paraId="1870BEAD">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"_Toc211498636"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_Toc211498636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110</w:t>
      </w:r>
      <w:r>
        <w:rPr>
          <w:rFonts w:hint="eastAsia"/>
          <w:color w:val="auto"/>
          <w:highlight w:val="none"/>
        </w:rPr>
        <w:fldChar w:fldCharType="end"/>
      </w:r>
      <w:r>
        <w:rPr>
          <w:rStyle w:val="48"/>
          <w:rFonts w:hint="eastAsia"/>
          <w:color w:val="auto"/>
          <w:highlight w:val="none"/>
        </w:rPr>
        <w:fldChar w:fldCharType="end"/>
      </w:r>
    </w:p>
    <w:p w14:paraId="20A20CD6">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"_Toc211498641"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_Toc211498641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113</w:t>
      </w:r>
      <w:r>
        <w:rPr>
          <w:rFonts w:hint="eastAsia"/>
          <w:color w:val="auto"/>
          <w:highlight w:val="none"/>
        </w:rPr>
        <w:fldChar w:fldCharType="end"/>
      </w:r>
      <w:r>
        <w:rPr>
          <w:rStyle w:val="48"/>
          <w:rFonts w:hint="eastAsia"/>
          <w:color w:val="auto"/>
          <w:highlight w:val="none"/>
        </w:rPr>
        <w:fldChar w:fldCharType="end"/>
      </w:r>
    </w:p>
    <w:p w14:paraId="6F1803A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"_Toc211498642"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_Toc211498642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113</w:t>
      </w:r>
      <w:r>
        <w:rPr>
          <w:rFonts w:hint="eastAsia"/>
          <w:color w:val="auto"/>
          <w:highlight w:val="none"/>
        </w:rPr>
        <w:fldChar w:fldCharType="end"/>
      </w:r>
      <w:r>
        <w:rPr>
          <w:rStyle w:val="48"/>
          <w:rFonts w:hint="eastAsia"/>
          <w:color w:val="auto"/>
          <w:highlight w:val="none"/>
        </w:rPr>
        <w:fldChar w:fldCharType="end"/>
      </w:r>
    </w:p>
    <w:p w14:paraId="2F270C2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"_Toc211498643"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_Toc211498643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113</w:t>
      </w:r>
      <w:r>
        <w:rPr>
          <w:rFonts w:hint="eastAsia"/>
          <w:color w:val="auto"/>
          <w:highlight w:val="none"/>
        </w:rPr>
        <w:fldChar w:fldCharType="end"/>
      </w:r>
      <w:r>
        <w:rPr>
          <w:rStyle w:val="48"/>
          <w:rFonts w:hint="eastAsia"/>
          <w:color w:val="auto"/>
          <w:highlight w:val="none"/>
        </w:rPr>
        <w:fldChar w:fldCharType="end"/>
      </w:r>
    </w:p>
    <w:p w14:paraId="099351A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"_Toc211498650"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4信用评审评审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_Toc211498650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115</w:t>
      </w:r>
      <w:r>
        <w:rPr>
          <w:rFonts w:hint="eastAsia"/>
          <w:color w:val="auto"/>
          <w:highlight w:val="none"/>
        </w:rPr>
        <w:fldChar w:fldCharType="end"/>
      </w:r>
      <w:r>
        <w:rPr>
          <w:rStyle w:val="48"/>
          <w:rFonts w:hint="eastAsia"/>
          <w:color w:val="auto"/>
          <w:highlight w:val="none"/>
        </w:rPr>
        <w:fldChar w:fldCharType="end"/>
      </w:r>
    </w:p>
    <w:p w14:paraId="2DF9BC04">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"_Toc211498651"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 评标委员会复核</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_Toc211498651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115</w:t>
      </w:r>
      <w:r>
        <w:rPr>
          <w:rFonts w:hint="eastAsia"/>
          <w:color w:val="auto"/>
          <w:highlight w:val="none"/>
        </w:rPr>
        <w:fldChar w:fldCharType="end"/>
      </w:r>
      <w:r>
        <w:rPr>
          <w:rStyle w:val="48"/>
          <w:rFonts w:hint="eastAsia"/>
          <w:color w:val="auto"/>
          <w:highlight w:val="none"/>
        </w:rPr>
        <w:fldChar w:fldCharType="end"/>
      </w:r>
    </w:p>
    <w:p w14:paraId="026C7BB4">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"_Toc211498652"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_Toc211498652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115</w:t>
      </w:r>
      <w:r>
        <w:rPr>
          <w:rFonts w:hint="eastAsia"/>
          <w:color w:val="auto"/>
          <w:highlight w:val="none"/>
        </w:rPr>
        <w:fldChar w:fldCharType="end"/>
      </w:r>
      <w:r>
        <w:rPr>
          <w:rStyle w:val="48"/>
          <w:rFonts w:hint="eastAsia"/>
          <w:color w:val="auto"/>
          <w:highlight w:val="none"/>
        </w:rPr>
        <w:fldChar w:fldCharType="end"/>
      </w:r>
    </w:p>
    <w:p w14:paraId="4A6D752E">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"_Toc211498653"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_Toc211498653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115</w:t>
      </w:r>
      <w:r>
        <w:rPr>
          <w:rFonts w:hint="eastAsia"/>
          <w:color w:val="auto"/>
          <w:highlight w:val="none"/>
        </w:rPr>
        <w:fldChar w:fldCharType="end"/>
      </w:r>
      <w:r>
        <w:rPr>
          <w:rStyle w:val="48"/>
          <w:rFonts w:hint="eastAsia"/>
          <w:color w:val="auto"/>
          <w:highlight w:val="none"/>
        </w:rPr>
        <w:fldChar w:fldCharType="end"/>
      </w:r>
    </w:p>
    <w:p w14:paraId="4F5401DF">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"_Toc211498654"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_Toc211498654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116</w:t>
      </w:r>
      <w:r>
        <w:rPr>
          <w:rFonts w:hint="eastAsia"/>
          <w:color w:val="auto"/>
          <w:highlight w:val="none"/>
        </w:rPr>
        <w:fldChar w:fldCharType="end"/>
      </w:r>
      <w:r>
        <w:rPr>
          <w:rStyle w:val="48"/>
          <w:rFonts w:hint="eastAsia"/>
          <w:color w:val="auto"/>
          <w:highlight w:val="none"/>
        </w:rPr>
        <w:fldChar w:fldCharType="end"/>
      </w:r>
    </w:p>
    <w:p w14:paraId="004DCFFE">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"_Toc211498655"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_Toc211498655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116</w:t>
      </w:r>
      <w:r>
        <w:rPr>
          <w:rFonts w:hint="eastAsia"/>
          <w:color w:val="auto"/>
          <w:highlight w:val="none"/>
        </w:rPr>
        <w:fldChar w:fldCharType="end"/>
      </w:r>
      <w:r>
        <w:rPr>
          <w:rStyle w:val="48"/>
          <w:rFonts w:hint="eastAsia"/>
          <w:color w:val="auto"/>
          <w:highlight w:val="none"/>
        </w:rPr>
        <w:fldChar w:fldCharType="end"/>
      </w:r>
    </w:p>
    <w:p w14:paraId="509D35C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"_Toc211498657"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_Toc211498657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117</w:t>
      </w:r>
      <w:r>
        <w:rPr>
          <w:rFonts w:hint="eastAsia"/>
          <w:color w:val="auto"/>
          <w:highlight w:val="none"/>
        </w:rPr>
        <w:fldChar w:fldCharType="end"/>
      </w:r>
      <w:r>
        <w:rPr>
          <w:rStyle w:val="48"/>
          <w:rFonts w:hint="eastAsia"/>
          <w:color w:val="auto"/>
          <w:highlight w:val="none"/>
        </w:rPr>
        <w:fldChar w:fldCharType="end"/>
      </w:r>
    </w:p>
    <w:p w14:paraId="45B28F47">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"_Toc211498658"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_Toc211498658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118</w:t>
      </w:r>
      <w:r>
        <w:rPr>
          <w:rFonts w:hint="eastAsia"/>
          <w:color w:val="auto"/>
          <w:highlight w:val="none"/>
        </w:rPr>
        <w:fldChar w:fldCharType="end"/>
      </w:r>
      <w:r>
        <w:rPr>
          <w:rStyle w:val="48"/>
          <w:rFonts w:hint="eastAsia"/>
          <w:color w:val="auto"/>
          <w:highlight w:val="none"/>
        </w:rPr>
        <w:fldChar w:fldCharType="end"/>
      </w:r>
    </w:p>
    <w:p w14:paraId="494840EE">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"_Toc211498659"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评标办法（技术评分最低标价法）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_Toc211498659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119</w:t>
      </w:r>
      <w:r>
        <w:rPr>
          <w:rFonts w:hint="eastAsia"/>
          <w:color w:val="auto"/>
          <w:highlight w:val="none"/>
        </w:rPr>
        <w:fldChar w:fldCharType="end"/>
      </w:r>
      <w:r>
        <w:rPr>
          <w:rStyle w:val="48"/>
          <w:rFonts w:hint="eastAsia"/>
          <w:color w:val="auto"/>
          <w:highlight w:val="none"/>
        </w:rPr>
        <w:fldChar w:fldCharType="end"/>
      </w:r>
    </w:p>
    <w:p w14:paraId="75FEF7D9">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"_Toc211498660"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_Toc211498660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119</w:t>
      </w:r>
      <w:r>
        <w:rPr>
          <w:rFonts w:hint="eastAsia"/>
          <w:color w:val="auto"/>
          <w:highlight w:val="none"/>
        </w:rPr>
        <w:fldChar w:fldCharType="end"/>
      </w:r>
      <w:r>
        <w:rPr>
          <w:rStyle w:val="48"/>
          <w:rFonts w:hint="eastAsia"/>
          <w:color w:val="auto"/>
          <w:highlight w:val="none"/>
        </w:rPr>
        <w:fldChar w:fldCharType="end"/>
      </w:r>
    </w:p>
    <w:p w14:paraId="56E8943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"_Toc211498665"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1.</w:t>
      </w:r>
      <w:r>
        <w:rPr>
          <w:rStyle w:val="48"/>
          <w:rFonts w:hint="eastAsia" w:eastAsia="黑体"/>
          <w:color w:val="auto"/>
          <w:highlight w:val="none"/>
        </w:rPr>
        <w:t>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_Toc211498665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124</w:t>
      </w:r>
      <w:r>
        <w:rPr>
          <w:rFonts w:hint="eastAsia"/>
          <w:color w:val="auto"/>
          <w:highlight w:val="none"/>
        </w:rPr>
        <w:fldChar w:fldCharType="end"/>
      </w:r>
      <w:r>
        <w:rPr>
          <w:rStyle w:val="48"/>
          <w:rFonts w:hint="eastAsia"/>
          <w:color w:val="auto"/>
          <w:highlight w:val="none"/>
        </w:rPr>
        <w:fldChar w:fldCharType="end"/>
      </w:r>
    </w:p>
    <w:p w14:paraId="6242326F">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"_Toc211498666"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_Toc211498666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124</w:t>
      </w:r>
      <w:r>
        <w:rPr>
          <w:rFonts w:hint="eastAsia"/>
          <w:color w:val="auto"/>
          <w:highlight w:val="none"/>
        </w:rPr>
        <w:fldChar w:fldCharType="end"/>
      </w:r>
      <w:r>
        <w:rPr>
          <w:rStyle w:val="48"/>
          <w:rFonts w:hint="eastAsia"/>
          <w:color w:val="auto"/>
          <w:highlight w:val="none"/>
        </w:rPr>
        <w:fldChar w:fldCharType="end"/>
      </w:r>
    </w:p>
    <w:p w14:paraId="2E6D3542">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"_Toc211498667"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_Toc211498667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125</w:t>
      </w:r>
      <w:r>
        <w:rPr>
          <w:rFonts w:hint="eastAsia"/>
          <w:color w:val="auto"/>
          <w:highlight w:val="none"/>
        </w:rPr>
        <w:fldChar w:fldCharType="end"/>
      </w:r>
      <w:r>
        <w:rPr>
          <w:rStyle w:val="48"/>
          <w:rFonts w:hint="eastAsia"/>
          <w:color w:val="auto"/>
          <w:highlight w:val="none"/>
        </w:rPr>
        <w:fldChar w:fldCharType="end"/>
      </w:r>
    </w:p>
    <w:p w14:paraId="4B7B750A">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"_Toc211498668"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_Toc211498668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126</w:t>
      </w:r>
      <w:r>
        <w:rPr>
          <w:rFonts w:hint="eastAsia"/>
          <w:color w:val="auto"/>
          <w:highlight w:val="none"/>
        </w:rPr>
        <w:fldChar w:fldCharType="end"/>
      </w:r>
      <w:r>
        <w:rPr>
          <w:rStyle w:val="48"/>
          <w:rFonts w:hint="eastAsia"/>
          <w:color w:val="auto"/>
          <w:highlight w:val="none"/>
        </w:rPr>
        <w:fldChar w:fldCharType="end"/>
      </w:r>
    </w:p>
    <w:p w14:paraId="55B83B2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"_Toc211498669"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 评标委员会复核</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_Toc211498669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126</w:t>
      </w:r>
      <w:r>
        <w:rPr>
          <w:rFonts w:hint="eastAsia"/>
          <w:color w:val="auto"/>
          <w:highlight w:val="none"/>
        </w:rPr>
        <w:fldChar w:fldCharType="end"/>
      </w:r>
      <w:r>
        <w:rPr>
          <w:rStyle w:val="48"/>
          <w:rFonts w:hint="eastAsia"/>
          <w:color w:val="auto"/>
          <w:highlight w:val="none"/>
        </w:rPr>
        <w:fldChar w:fldCharType="end"/>
      </w:r>
    </w:p>
    <w:p w14:paraId="638C7F5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t>6</w:t>
      </w: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"_Toc211498671"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.技术评审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_Toc211498671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126</w:t>
      </w:r>
      <w:r>
        <w:rPr>
          <w:rFonts w:hint="eastAsia"/>
          <w:color w:val="auto"/>
          <w:highlight w:val="none"/>
        </w:rPr>
        <w:fldChar w:fldCharType="end"/>
      </w:r>
      <w:r>
        <w:rPr>
          <w:rStyle w:val="48"/>
          <w:rFonts w:hint="eastAsia"/>
          <w:color w:val="auto"/>
          <w:highlight w:val="none"/>
        </w:rPr>
        <w:fldChar w:fldCharType="end"/>
      </w:r>
    </w:p>
    <w:p w14:paraId="64B8C41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"_Toc211498672"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7.确定进入第二阶段报价评审的合格投标人名单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126</w:t>
      </w:r>
      <w:r>
        <w:rPr>
          <w:rFonts w:hint="eastAsia"/>
          <w:color w:val="auto"/>
          <w:highlight w:val="none"/>
        </w:rPr>
        <w:fldChar w:fldCharType="end"/>
      </w:r>
      <w:r>
        <w:rPr>
          <w:rStyle w:val="48"/>
          <w:rFonts w:hint="eastAsia"/>
          <w:color w:val="auto"/>
          <w:highlight w:val="none"/>
        </w:rPr>
        <w:fldChar w:fldCharType="end"/>
      </w:r>
    </w:p>
    <w:p w14:paraId="2B47A43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"_Toc211498673"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127</w:t>
      </w:r>
      <w:r>
        <w:rPr>
          <w:rFonts w:hint="eastAsia"/>
          <w:color w:val="auto"/>
          <w:highlight w:val="none"/>
        </w:rPr>
        <w:fldChar w:fldCharType="end"/>
      </w:r>
      <w:r>
        <w:rPr>
          <w:rStyle w:val="48"/>
          <w:rFonts w:hint="eastAsia"/>
          <w:color w:val="auto"/>
          <w:highlight w:val="none"/>
        </w:rPr>
        <w:fldChar w:fldCharType="end"/>
      </w:r>
    </w:p>
    <w:p w14:paraId="6415BE9C">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"_Toc211498674"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9.投标文件的澄清和补正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127</w:t>
      </w:r>
      <w:r>
        <w:rPr>
          <w:rFonts w:hint="eastAsia"/>
          <w:color w:val="auto"/>
          <w:highlight w:val="none"/>
        </w:rPr>
        <w:fldChar w:fldCharType="end"/>
      </w:r>
      <w:r>
        <w:rPr>
          <w:rStyle w:val="48"/>
          <w:rFonts w:hint="eastAsia"/>
          <w:color w:val="auto"/>
          <w:highlight w:val="none"/>
        </w:rPr>
        <w:fldChar w:fldCharType="end"/>
      </w:r>
    </w:p>
    <w:p w14:paraId="3F813870">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"_Toc211498675"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127</w:t>
      </w:r>
      <w:r>
        <w:rPr>
          <w:rFonts w:hint="eastAsia"/>
          <w:color w:val="auto"/>
          <w:highlight w:val="none"/>
        </w:rPr>
        <w:fldChar w:fldCharType="end"/>
      </w:r>
      <w:r>
        <w:rPr>
          <w:rStyle w:val="48"/>
          <w:rFonts w:hint="eastAsia"/>
          <w:color w:val="auto"/>
          <w:highlight w:val="none"/>
        </w:rPr>
        <w:fldChar w:fldCharType="end"/>
      </w:r>
    </w:p>
    <w:p w14:paraId="21F84EC4">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"_Toc211498676"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128</w:t>
      </w:r>
      <w:r>
        <w:rPr>
          <w:rFonts w:hint="eastAsia"/>
          <w:color w:val="auto"/>
          <w:highlight w:val="none"/>
        </w:rPr>
        <w:fldChar w:fldCharType="end"/>
      </w:r>
      <w:r>
        <w:rPr>
          <w:rStyle w:val="48"/>
          <w:rFonts w:hint="eastAsia"/>
          <w:color w:val="auto"/>
          <w:highlight w:val="none"/>
        </w:rPr>
        <w:fldChar w:fldCharType="end"/>
      </w:r>
    </w:p>
    <w:p w14:paraId="55345636">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"_Toc211498677"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12补充条款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129</w:t>
      </w:r>
      <w:r>
        <w:rPr>
          <w:rFonts w:hint="eastAsia"/>
          <w:color w:val="auto"/>
          <w:highlight w:val="none"/>
        </w:rPr>
        <w:fldChar w:fldCharType="end"/>
      </w:r>
      <w:r>
        <w:rPr>
          <w:rStyle w:val="48"/>
          <w:rFonts w:hint="eastAsia"/>
          <w:color w:val="auto"/>
          <w:highlight w:val="none"/>
        </w:rPr>
        <w:fldChar w:fldCharType="end"/>
      </w:r>
    </w:p>
    <w:p w14:paraId="74E01FD1">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"_Toc211498678"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评标办法（综合评估法1）</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130</w:t>
      </w:r>
      <w:r>
        <w:rPr>
          <w:rFonts w:hint="eastAsia"/>
          <w:color w:val="auto"/>
          <w:highlight w:val="none"/>
        </w:rPr>
        <w:fldChar w:fldCharType="end"/>
      </w:r>
      <w:r>
        <w:rPr>
          <w:rStyle w:val="48"/>
          <w:rFonts w:hint="eastAsia"/>
          <w:color w:val="auto"/>
          <w:highlight w:val="none"/>
        </w:rPr>
        <w:fldChar w:fldCharType="end"/>
      </w:r>
    </w:p>
    <w:p w14:paraId="279F94A5">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"_Toc211498679"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130</w:t>
      </w:r>
      <w:r>
        <w:rPr>
          <w:rFonts w:hint="eastAsia"/>
          <w:color w:val="auto"/>
          <w:highlight w:val="none"/>
        </w:rPr>
        <w:fldChar w:fldCharType="end"/>
      </w:r>
      <w:r>
        <w:rPr>
          <w:rStyle w:val="48"/>
          <w:rFonts w:hint="eastAsia"/>
          <w:color w:val="auto"/>
          <w:highlight w:val="none"/>
        </w:rPr>
        <w:fldChar w:fldCharType="end"/>
      </w:r>
    </w:p>
    <w:p w14:paraId="6CB88642">
      <w:pPr>
        <w:pStyle w:val="35"/>
        <w:tabs>
          <w:tab w:val="left" w:pos="840"/>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"_Toc211498684"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1.</w:t>
      </w:r>
      <w:r>
        <w:rPr>
          <w:rStyle w:val="48"/>
          <w:rFonts w:hint="eastAsia" w:eastAsia="黑体"/>
          <w:color w:val="auto"/>
          <w:highlight w:val="none"/>
        </w:rPr>
        <w:t>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_Toc211498684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135</w:t>
      </w:r>
      <w:r>
        <w:rPr>
          <w:rFonts w:hint="eastAsia"/>
          <w:color w:val="auto"/>
          <w:highlight w:val="none"/>
        </w:rPr>
        <w:fldChar w:fldCharType="end"/>
      </w:r>
      <w:r>
        <w:rPr>
          <w:rStyle w:val="48"/>
          <w:rFonts w:hint="eastAsia"/>
          <w:color w:val="auto"/>
          <w:highlight w:val="none"/>
        </w:rPr>
        <w:fldChar w:fldCharType="end"/>
      </w:r>
    </w:p>
    <w:p w14:paraId="475F6B2D">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"_Toc211498685"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_Toc211498685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135</w:t>
      </w:r>
      <w:r>
        <w:rPr>
          <w:rFonts w:hint="eastAsia"/>
          <w:color w:val="auto"/>
          <w:highlight w:val="none"/>
        </w:rPr>
        <w:fldChar w:fldCharType="end"/>
      </w:r>
      <w:r>
        <w:rPr>
          <w:rStyle w:val="48"/>
          <w:rFonts w:hint="eastAsia"/>
          <w:color w:val="auto"/>
          <w:highlight w:val="none"/>
        </w:rPr>
        <w:fldChar w:fldCharType="end"/>
      </w:r>
    </w:p>
    <w:p w14:paraId="0038E6A3">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"_Toc211498686"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_Toc211498686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136</w:t>
      </w:r>
      <w:r>
        <w:rPr>
          <w:rFonts w:hint="eastAsia"/>
          <w:color w:val="auto"/>
          <w:highlight w:val="none"/>
        </w:rPr>
        <w:fldChar w:fldCharType="end"/>
      </w:r>
      <w:r>
        <w:rPr>
          <w:rStyle w:val="48"/>
          <w:rFonts w:hint="eastAsia"/>
          <w:color w:val="auto"/>
          <w:highlight w:val="none"/>
        </w:rPr>
        <w:fldChar w:fldCharType="end"/>
      </w:r>
    </w:p>
    <w:p w14:paraId="6B75730E">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"_Toc211498687"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_Toc211498687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137</w:t>
      </w:r>
      <w:r>
        <w:rPr>
          <w:rFonts w:hint="eastAsia"/>
          <w:color w:val="auto"/>
          <w:highlight w:val="none"/>
        </w:rPr>
        <w:fldChar w:fldCharType="end"/>
      </w:r>
      <w:r>
        <w:rPr>
          <w:rStyle w:val="48"/>
          <w:rFonts w:hint="eastAsia"/>
          <w:color w:val="auto"/>
          <w:highlight w:val="none"/>
        </w:rPr>
        <w:fldChar w:fldCharType="end"/>
      </w:r>
    </w:p>
    <w:p w14:paraId="3DECAB36">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"_Toc211498688"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5.评标专家复核确认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_Toc211498688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137</w:t>
      </w:r>
      <w:r>
        <w:rPr>
          <w:rFonts w:hint="eastAsia"/>
          <w:color w:val="auto"/>
          <w:highlight w:val="none"/>
        </w:rPr>
        <w:fldChar w:fldCharType="end"/>
      </w:r>
      <w:r>
        <w:rPr>
          <w:rStyle w:val="48"/>
          <w:rFonts w:hint="eastAsia"/>
          <w:color w:val="auto"/>
          <w:highlight w:val="none"/>
        </w:rPr>
        <w:fldChar w:fldCharType="end"/>
      </w:r>
    </w:p>
    <w:p w14:paraId="4A4A400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"_Toc211498689"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6.技术（施工组织设计）评审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_Toc211498689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138</w:t>
      </w:r>
      <w:r>
        <w:rPr>
          <w:rFonts w:hint="eastAsia"/>
          <w:color w:val="auto"/>
          <w:highlight w:val="none"/>
        </w:rPr>
        <w:fldChar w:fldCharType="end"/>
      </w:r>
      <w:r>
        <w:rPr>
          <w:rStyle w:val="48"/>
          <w:rFonts w:hint="eastAsia"/>
          <w:color w:val="auto"/>
          <w:highlight w:val="none"/>
        </w:rPr>
        <w:fldChar w:fldCharType="end"/>
      </w:r>
    </w:p>
    <w:p w14:paraId="763FAE82">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"_Toc211498691"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7.投标报价评审（采用六随机五区间报价得分模型）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_Toc211498691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138</w:t>
      </w:r>
      <w:r>
        <w:rPr>
          <w:rFonts w:hint="eastAsia"/>
          <w:color w:val="auto"/>
          <w:highlight w:val="none"/>
        </w:rPr>
        <w:fldChar w:fldCharType="end"/>
      </w:r>
      <w:r>
        <w:rPr>
          <w:rStyle w:val="48"/>
          <w:rFonts w:hint="eastAsia"/>
          <w:color w:val="auto"/>
          <w:highlight w:val="none"/>
        </w:rPr>
        <w:fldChar w:fldCharType="end"/>
      </w:r>
    </w:p>
    <w:p w14:paraId="15CD6FDD">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"_Toc211498692"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_Toc211498692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138</w:t>
      </w:r>
      <w:r>
        <w:rPr>
          <w:rFonts w:hint="eastAsia"/>
          <w:color w:val="auto"/>
          <w:highlight w:val="none"/>
        </w:rPr>
        <w:fldChar w:fldCharType="end"/>
      </w:r>
      <w:r>
        <w:rPr>
          <w:rStyle w:val="48"/>
          <w:rFonts w:hint="eastAsia"/>
          <w:color w:val="auto"/>
          <w:highlight w:val="none"/>
        </w:rPr>
        <w:fldChar w:fldCharType="end"/>
      </w:r>
    </w:p>
    <w:p w14:paraId="5183450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"_Toc211498693"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_Toc211498693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138</w:t>
      </w:r>
      <w:r>
        <w:rPr>
          <w:rFonts w:hint="eastAsia"/>
          <w:color w:val="auto"/>
          <w:highlight w:val="none"/>
        </w:rPr>
        <w:fldChar w:fldCharType="end"/>
      </w:r>
      <w:r>
        <w:rPr>
          <w:rStyle w:val="48"/>
          <w:rFonts w:hint="eastAsia"/>
          <w:color w:val="auto"/>
          <w:highlight w:val="none"/>
        </w:rPr>
        <w:fldChar w:fldCharType="end"/>
      </w:r>
    </w:p>
    <w:p w14:paraId="7ADAE0C9">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"_Toc211498694"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_Toc211498694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138</w:t>
      </w:r>
      <w:r>
        <w:rPr>
          <w:rFonts w:hint="eastAsia"/>
          <w:color w:val="auto"/>
          <w:highlight w:val="none"/>
        </w:rPr>
        <w:fldChar w:fldCharType="end"/>
      </w:r>
      <w:r>
        <w:rPr>
          <w:rStyle w:val="48"/>
          <w:rFonts w:hint="eastAsia"/>
          <w:color w:val="auto"/>
          <w:highlight w:val="none"/>
        </w:rPr>
        <w:fldChar w:fldCharType="end"/>
      </w:r>
    </w:p>
    <w:p w14:paraId="5F7A544F">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"_Toc211498695"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_Toc211498695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139</w:t>
      </w:r>
      <w:r>
        <w:rPr>
          <w:rFonts w:hint="eastAsia"/>
          <w:color w:val="auto"/>
          <w:highlight w:val="none"/>
        </w:rPr>
        <w:fldChar w:fldCharType="end"/>
      </w:r>
      <w:r>
        <w:rPr>
          <w:rStyle w:val="48"/>
          <w:rFonts w:hint="eastAsia"/>
          <w:color w:val="auto"/>
          <w:highlight w:val="none"/>
        </w:rPr>
        <w:fldChar w:fldCharType="end"/>
      </w:r>
    </w:p>
    <w:p w14:paraId="576F7D09">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"_Toc211498696"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12.补充条款</w:t>
      </w:r>
      <w:r>
        <w:rPr>
          <w:rFonts w:hint="eastAsia"/>
          <w:color w:val="auto"/>
          <w:highlight w:val="none"/>
        </w:rPr>
        <w:tab/>
      </w:r>
      <w:bookmarkStart w:id="1246" w:name="_GoBack"/>
      <w:bookmarkEnd w:id="1246"/>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_Toc211498696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140</w:t>
      </w:r>
      <w:r>
        <w:rPr>
          <w:rFonts w:hint="eastAsia"/>
          <w:color w:val="auto"/>
          <w:highlight w:val="none"/>
        </w:rPr>
        <w:fldChar w:fldCharType="end"/>
      </w:r>
      <w:r>
        <w:rPr>
          <w:rStyle w:val="48"/>
          <w:rFonts w:hint="eastAsia"/>
          <w:color w:val="auto"/>
          <w:highlight w:val="none"/>
        </w:rPr>
        <w:fldChar w:fldCharType="end"/>
      </w:r>
    </w:p>
    <w:p w14:paraId="33047338">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"_Toc211498697"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评标办法（综合评估法2）</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_Toc211498697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141</w:t>
      </w:r>
      <w:r>
        <w:rPr>
          <w:rFonts w:hint="eastAsia"/>
          <w:color w:val="auto"/>
          <w:highlight w:val="none"/>
        </w:rPr>
        <w:fldChar w:fldCharType="end"/>
      </w:r>
      <w:r>
        <w:rPr>
          <w:rStyle w:val="48"/>
          <w:rFonts w:hint="eastAsia"/>
          <w:color w:val="auto"/>
          <w:highlight w:val="none"/>
        </w:rPr>
        <w:fldChar w:fldCharType="end"/>
      </w:r>
    </w:p>
    <w:p w14:paraId="3EE14724">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"_Toc211498698"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_Toc211498698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141</w:t>
      </w:r>
      <w:r>
        <w:rPr>
          <w:rFonts w:hint="eastAsia"/>
          <w:color w:val="auto"/>
          <w:highlight w:val="none"/>
        </w:rPr>
        <w:fldChar w:fldCharType="end"/>
      </w:r>
      <w:r>
        <w:rPr>
          <w:rStyle w:val="48"/>
          <w:rFonts w:hint="eastAsia"/>
          <w:color w:val="auto"/>
          <w:highlight w:val="none"/>
        </w:rPr>
        <w:fldChar w:fldCharType="end"/>
      </w:r>
    </w:p>
    <w:p w14:paraId="5B104C9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"_Toc211498703"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_Toc211498703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147</w:t>
      </w:r>
      <w:r>
        <w:rPr>
          <w:rFonts w:hint="eastAsia"/>
          <w:color w:val="auto"/>
          <w:highlight w:val="none"/>
        </w:rPr>
        <w:fldChar w:fldCharType="end"/>
      </w:r>
      <w:r>
        <w:rPr>
          <w:rStyle w:val="48"/>
          <w:rFonts w:hint="eastAsia"/>
          <w:color w:val="auto"/>
          <w:highlight w:val="none"/>
        </w:rPr>
        <w:fldChar w:fldCharType="end"/>
      </w:r>
    </w:p>
    <w:p w14:paraId="3401382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"_Toc211498704"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_Toc211498704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147</w:t>
      </w:r>
      <w:r>
        <w:rPr>
          <w:rFonts w:hint="eastAsia"/>
          <w:color w:val="auto"/>
          <w:highlight w:val="none"/>
        </w:rPr>
        <w:fldChar w:fldCharType="end"/>
      </w:r>
      <w:r>
        <w:rPr>
          <w:rStyle w:val="48"/>
          <w:rFonts w:hint="eastAsia"/>
          <w:color w:val="auto"/>
          <w:highlight w:val="none"/>
        </w:rPr>
        <w:fldChar w:fldCharType="end"/>
      </w:r>
    </w:p>
    <w:p w14:paraId="1505B96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"_Toc211498705"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_Toc211498705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148</w:t>
      </w:r>
      <w:r>
        <w:rPr>
          <w:rFonts w:hint="eastAsia"/>
          <w:color w:val="auto"/>
          <w:highlight w:val="none"/>
        </w:rPr>
        <w:fldChar w:fldCharType="end"/>
      </w:r>
      <w:r>
        <w:rPr>
          <w:rStyle w:val="48"/>
          <w:rFonts w:hint="eastAsia"/>
          <w:color w:val="auto"/>
          <w:highlight w:val="none"/>
        </w:rPr>
        <w:fldChar w:fldCharType="end"/>
      </w:r>
    </w:p>
    <w:p w14:paraId="4128DE14">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"_Toc211498706"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_Toc211498706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149</w:t>
      </w:r>
      <w:r>
        <w:rPr>
          <w:rFonts w:hint="eastAsia"/>
          <w:color w:val="auto"/>
          <w:highlight w:val="none"/>
        </w:rPr>
        <w:fldChar w:fldCharType="end"/>
      </w:r>
      <w:r>
        <w:rPr>
          <w:rStyle w:val="48"/>
          <w:rFonts w:hint="eastAsia"/>
          <w:color w:val="auto"/>
          <w:highlight w:val="none"/>
        </w:rPr>
        <w:fldChar w:fldCharType="end"/>
      </w:r>
    </w:p>
    <w:p w14:paraId="6AC17483">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"_Toc211498707"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5.评标专家复核确认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_Toc211498707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149</w:t>
      </w:r>
      <w:r>
        <w:rPr>
          <w:rFonts w:hint="eastAsia"/>
          <w:color w:val="auto"/>
          <w:highlight w:val="none"/>
        </w:rPr>
        <w:fldChar w:fldCharType="end"/>
      </w:r>
      <w:r>
        <w:rPr>
          <w:rStyle w:val="48"/>
          <w:rFonts w:hint="eastAsia"/>
          <w:color w:val="auto"/>
          <w:highlight w:val="none"/>
        </w:rPr>
        <w:fldChar w:fldCharType="end"/>
      </w:r>
    </w:p>
    <w:p w14:paraId="39732D70">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"_Toc211498708"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6.技术（施工组织设计）评审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_Toc211498708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150</w:t>
      </w:r>
      <w:r>
        <w:rPr>
          <w:rFonts w:hint="eastAsia"/>
          <w:color w:val="auto"/>
          <w:highlight w:val="none"/>
        </w:rPr>
        <w:fldChar w:fldCharType="end"/>
      </w:r>
      <w:r>
        <w:rPr>
          <w:rStyle w:val="48"/>
          <w:rFonts w:hint="eastAsia"/>
          <w:color w:val="auto"/>
          <w:highlight w:val="none"/>
        </w:rPr>
        <w:fldChar w:fldCharType="end"/>
      </w:r>
    </w:p>
    <w:p w14:paraId="70F1606B">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"_Toc211498709"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_Toc211498709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150</w:t>
      </w:r>
      <w:r>
        <w:rPr>
          <w:rFonts w:hint="eastAsia"/>
          <w:color w:val="auto"/>
          <w:highlight w:val="none"/>
        </w:rPr>
        <w:fldChar w:fldCharType="end"/>
      </w:r>
      <w:r>
        <w:rPr>
          <w:rStyle w:val="48"/>
          <w:rFonts w:hint="eastAsia"/>
          <w:color w:val="auto"/>
          <w:highlight w:val="none"/>
        </w:rPr>
        <w:fldChar w:fldCharType="end"/>
      </w:r>
    </w:p>
    <w:p w14:paraId="0C84A13C">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150</w:t>
      </w:r>
      <w:r>
        <w:rPr>
          <w:rFonts w:hint="eastAsia"/>
          <w:color w:val="auto"/>
          <w:highlight w:val="none"/>
        </w:rPr>
        <w:fldChar w:fldCharType="end"/>
      </w:r>
      <w:r>
        <w:rPr>
          <w:rStyle w:val="48"/>
          <w:rFonts w:hint="eastAsia"/>
          <w:color w:val="auto"/>
          <w:highlight w:val="none"/>
        </w:rPr>
        <w:fldChar w:fldCharType="end"/>
      </w:r>
    </w:p>
    <w:p w14:paraId="23C618E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150</w:t>
      </w:r>
      <w:r>
        <w:rPr>
          <w:rFonts w:hint="eastAsia"/>
          <w:color w:val="auto"/>
          <w:highlight w:val="none"/>
        </w:rPr>
        <w:fldChar w:fldCharType="end"/>
      </w:r>
      <w:r>
        <w:rPr>
          <w:rStyle w:val="48"/>
          <w:rFonts w:hint="eastAsia"/>
          <w:color w:val="auto"/>
          <w:highlight w:val="none"/>
        </w:rPr>
        <w:fldChar w:fldCharType="end"/>
      </w:r>
    </w:p>
    <w:p w14:paraId="77148429">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150</w:t>
      </w:r>
      <w:r>
        <w:rPr>
          <w:rFonts w:hint="eastAsia"/>
          <w:color w:val="auto"/>
          <w:highlight w:val="none"/>
        </w:rPr>
        <w:fldChar w:fldCharType="end"/>
      </w:r>
      <w:r>
        <w:rPr>
          <w:rStyle w:val="48"/>
          <w:rFonts w:hint="eastAsia"/>
          <w:color w:val="auto"/>
          <w:highlight w:val="none"/>
        </w:rPr>
        <w:fldChar w:fldCharType="end"/>
      </w:r>
    </w:p>
    <w:p w14:paraId="745084A3">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152</w:t>
      </w:r>
      <w:r>
        <w:rPr>
          <w:rFonts w:hint="eastAsia"/>
          <w:color w:val="auto"/>
          <w:highlight w:val="none"/>
        </w:rPr>
        <w:fldChar w:fldCharType="end"/>
      </w:r>
      <w:r>
        <w:rPr>
          <w:rStyle w:val="48"/>
          <w:rFonts w:hint="eastAsia"/>
          <w:color w:val="auto"/>
          <w:highlight w:val="none"/>
        </w:rPr>
        <w:fldChar w:fldCharType="end"/>
      </w:r>
    </w:p>
    <w:p w14:paraId="07B86E70">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12.补充条款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152</w:t>
      </w:r>
      <w:r>
        <w:rPr>
          <w:rFonts w:hint="eastAsia"/>
          <w:color w:val="auto"/>
          <w:highlight w:val="none"/>
        </w:rPr>
        <w:fldChar w:fldCharType="end"/>
      </w:r>
      <w:r>
        <w:rPr>
          <w:rStyle w:val="48"/>
          <w:rFonts w:hint="eastAsia"/>
          <w:color w:val="auto"/>
          <w:highlight w:val="none"/>
        </w:rPr>
        <w:fldChar w:fldCharType="end"/>
      </w:r>
    </w:p>
    <w:p w14:paraId="54393D03">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第四章  合同条款及格式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153</w:t>
      </w:r>
      <w:r>
        <w:rPr>
          <w:rFonts w:hint="eastAsia"/>
          <w:color w:val="auto"/>
          <w:highlight w:val="none"/>
        </w:rPr>
        <w:fldChar w:fldCharType="end"/>
      </w:r>
      <w:r>
        <w:rPr>
          <w:rStyle w:val="48"/>
          <w:rFonts w:hint="eastAsia"/>
          <w:color w:val="auto"/>
          <w:highlight w:val="none"/>
        </w:rPr>
        <w:fldChar w:fldCharType="end"/>
      </w:r>
    </w:p>
    <w:p w14:paraId="4A35EAFA">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第一节 合同协议书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153</w:t>
      </w:r>
      <w:r>
        <w:rPr>
          <w:rFonts w:hint="eastAsia"/>
          <w:color w:val="auto"/>
          <w:highlight w:val="none"/>
        </w:rPr>
        <w:fldChar w:fldCharType="end"/>
      </w:r>
      <w:r>
        <w:rPr>
          <w:rStyle w:val="48"/>
          <w:rFonts w:hint="eastAsia"/>
          <w:color w:val="auto"/>
          <w:highlight w:val="none"/>
        </w:rPr>
        <w:fldChar w:fldCharType="end"/>
      </w:r>
    </w:p>
    <w:p w14:paraId="68CB6F8E">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第二节 通用合同条款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158</w:t>
      </w:r>
      <w:r>
        <w:rPr>
          <w:rFonts w:hint="eastAsia"/>
          <w:color w:val="auto"/>
          <w:highlight w:val="none"/>
        </w:rPr>
        <w:fldChar w:fldCharType="end"/>
      </w:r>
      <w:r>
        <w:rPr>
          <w:rStyle w:val="48"/>
          <w:rFonts w:hint="eastAsia"/>
          <w:color w:val="auto"/>
          <w:highlight w:val="none"/>
        </w:rPr>
        <w:fldChar w:fldCharType="end"/>
      </w:r>
    </w:p>
    <w:p w14:paraId="69A09108">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第三节 专用合同条款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159</w:t>
      </w:r>
      <w:r>
        <w:rPr>
          <w:rFonts w:hint="eastAsia"/>
          <w:color w:val="auto"/>
          <w:highlight w:val="none"/>
        </w:rPr>
        <w:fldChar w:fldCharType="end"/>
      </w:r>
      <w:r>
        <w:rPr>
          <w:rStyle w:val="48"/>
          <w:rFonts w:hint="eastAsia"/>
          <w:color w:val="auto"/>
          <w:highlight w:val="none"/>
        </w:rPr>
        <w:fldChar w:fldCharType="end"/>
      </w:r>
    </w:p>
    <w:p w14:paraId="45478B3B">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"_Toc211498719"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第五章  工程量清单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_Toc211498719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185</w:t>
      </w:r>
      <w:r>
        <w:rPr>
          <w:rFonts w:hint="eastAsia"/>
          <w:color w:val="auto"/>
          <w:highlight w:val="none"/>
        </w:rPr>
        <w:fldChar w:fldCharType="end"/>
      </w:r>
      <w:r>
        <w:rPr>
          <w:rStyle w:val="48"/>
          <w:rFonts w:hint="eastAsia"/>
          <w:color w:val="auto"/>
          <w:highlight w:val="none"/>
        </w:rPr>
        <w:fldChar w:fldCharType="end"/>
      </w:r>
    </w:p>
    <w:p w14:paraId="26873488">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"_Toc211498726"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  二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_Toc211498726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191</w:t>
      </w:r>
      <w:r>
        <w:rPr>
          <w:rFonts w:hint="eastAsia"/>
          <w:color w:val="auto"/>
          <w:highlight w:val="none"/>
        </w:rPr>
        <w:fldChar w:fldCharType="end"/>
      </w:r>
      <w:r>
        <w:rPr>
          <w:rStyle w:val="48"/>
          <w:rFonts w:hint="eastAsia"/>
          <w:color w:val="auto"/>
          <w:highlight w:val="none"/>
        </w:rPr>
        <w:fldChar w:fldCharType="end"/>
      </w:r>
    </w:p>
    <w:p w14:paraId="06AC765E">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"_Toc211498727"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第六章  图  纸（另册）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_Toc211498727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192</w:t>
      </w:r>
      <w:r>
        <w:rPr>
          <w:rFonts w:hint="eastAsia"/>
          <w:color w:val="auto"/>
          <w:highlight w:val="none"/>
        </w:rPr>
        <w:fldChar w:fldCharType="end"/>
      </w:r>
      <w:r>
        <w:rPr>
          <w:rStyle w:val="48"/>
          <w:rFonts w:hint="eastAsia"/>
          <w:color w:val="auto"/>
          <w:highlight w:val="none"/>
        </w:rPr>
        <w:fldChar w:fldCharType="end"/>
      </w:r>
    </w:p>
    <w:p w14:paraId="1B2151D1">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"_Toc211498729"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  三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_Toc211498729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193</w:t>
      </w:r>
      <w:r>
        <w:rPr>
          <w:rFonts w:hint="eastAsia"/>
          <w:color w:val="auto"/>
          <w:highlight w:val="none"/>
        </w:rPr>
        <w:fldChar w:fldCharType="end"/>
      </w:r>
      <w:r>
        <w:rPr>
          <w:rStyle w:val="48"/>
          <w:rFonts w:hint="eastAsia"/>
          <w:color w:val="auto"/>
          <w:highlight w:val="none"/>
        </w:rPr>
        <w:fldChar w:fldCharType="end"/>
      </w:r>
    </w:p>
    <w:p w14:paraId="0AF247CF">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"_Toc211498730"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第七章  技术标准和要求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_Toc211498730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194</w:t>
      </w:r>
      <w:r>
        <w:rPr>
          <w:rFonts w:hint="eastAsia"/>
          <w:color w:val="auto"/>
          <w:highlight w:val="none"/>
        </w:rPr>
        <w:fldChar w:fldCharType="end"/>
      </w:r>
      <w:r>
        <w:rPr>
          <w:rStyle w:val="48"/>
          <w:rFonts w:hint="eastAsia"/>
          <w:color w:val="auto"/>
          <w:highlight w:val="none"/>
        </w:rPr>
        <w:fldChar w:fldCharType="end"/>
      </w:r>
    </w:p>
    <w:p w14:paraId="3FCA48F7">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"_Toc211498731"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第一节 一般要求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_Toc211498731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194</w:t>
      </w:r>
      <w:r>
        <w:rPr>
          <w:rFonts w:hint="eastAsia"/>
          <w:color w:val="auto"/>
          <w:highlight w:val="none"/>
        </w:rPr>
        <w:fldChar w:fldCharType="end"/>
      </w:r>
      <w:r>
        <w:rPr>
          <w:rStyle w:val="48"/>
          <w:rFonts w:hint="eastAsia"/>
          <w:color w:val="auto"/>
          <w:highlight w:val="none"/>
        </w:rPr>
        <w:fldChar w:fldCharType="end"/>
      </w:r>
    </w:p>
    <w:p w14:paraId="5086A2AF">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"_Toc211498748"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第二节  特殊技术标准和要求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_Toc211498748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216</w:t>
      </w:r>
      <w:r>
        <w:rPr>
          <w:rFonts w:hint="eastAsia"/>
          <w:color w:val="auto"/>
          <w:highlight w:val="none"/>
        </w:rPr>
        <w:fldChar w:fldCharType="end"/>
      </w:r>
      <w:r>
        <w:rPr>
          <w:rStyle w:val="48"/>
          <w:rFonts w:hint="eastAsia"/>
          <w:color w:val="auto"/>
          <w:highlight w:val="none"/>
        </w:rPr>
        <w:fldChar w:fldCharType="end"/>
      </w:r>
    </w:p>
    <w:p w14:paraId="0187D535">
      <w:pPr>
        <w:pStyle w:val="35"/>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"_Toc211498753"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第三节  适用的国家、行业以及地方规范、标准和规程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_Toc211498753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217</w:t>
      </w:r>
      <w:r>
        <w:rPr>
          <w:rFonts w:hint="eastAsia"/>
          <w:color w:val="auto"/>
          <w:highlight w:val="none"/>
        </w:rPr>
        <w:fldChar w:fldCharType="end"/>
      </w:r>
      <w:r>
        <w:rPr>
          <w:rStyle w:val="48"/>
          <w:rFonts w:hint="eastAsia"/>
          <w:color w:val="auto"/>
          <w:highlight w:val="none"/>
        </w:rPr>
        <w:fldChar w:fldCharType="end"/>
      </w:r>
    </w:p>
    <w:p w14:paraId="451EC097">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"_Toc211498754"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  四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_Toc211498754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218</w:t>
      </w:r>
      <w:r>
        <w:rPr>
          <w:rFonts w:hint="eastAsia"/>
          <w:color w:val="auto"/>
          <w:highlight w:val="none"/>
        </w:rPr>
        <w:fldChar w:fldCharType="end"/>
      </w:r>
      <w:r>
        <w:rPr>
          <w:rStyle w:val="48"/>
          <w:rFonts w:hint="eastAsia"/>
          <w:color w:val="auto"/>
          <w:highlight w:val="none"/>
        </w:rPr>
        <w:fldChar w:fldCharType="end"/>
      </w:r>
    </w:p>
    <w:p w14:paraId="6ABAD27F">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"_Toc211498755"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第八章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_Toc211498755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219</w:t>
      </w:r>
      <w:r>
        <w:rPr>
          <w:rFonts w:hint="eastAsia"/>
          <w:color w:val="auto"/>
          <w:highlight w:val="none"/>
        </w:rPr>
        <w:fldChar w:fldCharType="end"/>
      </w:r>
      <w:r>
        <w:rPr>
          <w:rStyle w:val="48"/>
          <w:rFonts w:hint="eastAsia"/>
          <w:color w:val="auto"/>
          <w:highlight w:val="none"/>
        </w:rPr>
        <w:fldChar w:fldCharType="end"/>
      </w:r>
    </w:p>
    <w:p w14:paraId="33DC843B">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"_Toc211498756"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第一节 投标函及附录格式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_Toc211498756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221</w:t>
      </w:r>
      <w:r>
        <w:rPr>
          <w:rFonts w:hint="eastAsia"/>
          <w:color w:val="auto"/>
          <w:highlight w:val="none"/>
        </w:rPr>
        <w:fldChar w:fldCharType="end"/>
      </w:r>
      <w:r>
        <w:rPr>
          <w:rStyle w:val="48"/>
          <w:rFonts w:hint="eastAsia"/>
          <w:color w:val="auto"/>
          <w:highlight w:val="none"/>
        </w:rPr>
        <w:fldChar w:fldCharType="end"/>
      </w:r>
    </w:p>
    <w:p w14:paraId="506DFC61">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"_Toc211498774"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第二节 投标报价格式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246</w:t>
      </w:r>
      <w:r>
        <w:rPr>
          <w:rFonts w:hint="eastAsia"/>
          <w:color w:val="auto"/>
          <w:highlight w:val="none"/>
        </w:rPr>
        <w:fldChar w:fldCharType="end"/>
      </w:r>
      <w:r>
        <w:rPr>
          <w:rStyle w:val="48"/>
          <w:rFonts w:hint="eastAsia"/>
          <w:color w:val="auto"/>
          <w:highlight w:val="none"/>
        </w:rPr>
        <w:fldChar w:fldCharType="end"/>
      </w:r>
    </w:p>
    <w:p w14:paraId="6FC0C1E5">
      <w:pPr>
        <w:pStyle w:val="30"/>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"_Toc211498781"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第三节  施工组织设计格式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_Toc211498781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252</w:t>
      </w:r>
      <w:r>
        <w:rPr>
          <w:rFonts w:hint="eastAsia"/>
          <w:color w:val="auto"/>
          <w:highlight w:val="none"/>
        </w:rPr>
        <w:fldChar w:fldCharType="end"/>
      </w:r>
      <w:r>
        <w:rPr>
          <w:rStyle w:val="48"/>
          <w:rFonts w:hint="eastAsia"/>
          <w:color w:val="auto"/>
          <w:highlight w:val="none"/>
        </w:rPr>
        <w:fldChar w:fldCharType="end"/>
      </w:r>
    </w:p>
    <w:p w14:paraId="79F0477B">
      <w:pPr>
        <w:spacing w:after="160" w:afterLines="-2147483648" w:line="340" w:lineRule="exact"/>
        <w:ind w:firstLine="437"/>
        <w:rPr>
          <w:rFonts w:eastAsia="黑体"/>
          <w:color w:val="auto"/>
          <w:sz w:val="32"/>
          <w:szCs w:val="32"/>
          <w:highlight w:val="none"/>
        </w:rPr>
      </w:pPr>
      <w:r>
        <w:rPr>
          <w:bCs/>
          <w:color w:val="auto"/>
          <w:highlight w:val="none"/>
          <w:lang w:val="zh-CN"/>
        </w:rPr>
        <w:fldChar w:fldCharType="end"/>
      </w:r>
    </w:p>
    <w:p w14:paraId="05248155">
      <w:pPr>
        <w:spacing w:after="240" w:afterLines="100" w:line="540" w:lineRule="exact"/>
        <w:rPr>
          <w:rFonts w:eastAsia="黑体"/>
          <w:color w:val="auto"/>
          <w:sz w:val="32"/>
          <w:szCs w:val="32"/>
          <w:highlight w:val="none"/>
        </w:rPr>
      </w:pPr>
    </w:p>
    <w:p w14:paraId="33F1EB79">
      <w:pPr>
        <w:spacing w:after="240" w:afterLines="100" w:line="540" w:lineRule="exact"/>
        <w:rPr>
          <w:rFonts w:eastAsia="黑体"/>
          <w:color w:val="auto"/>
          <w:sz w:val="32"/>
          <w:szCs w:val="32"/>
          <w:highlight w:val="none"/>
        </w:rPr>
      </w:pPr>
    </w:p>
    <w:p w14:paraId="3B60B106">
      <w:pPr>
        <w:spacing w:after="240" w:afterLines="100" w:line="540" w:lineRule="exact"/>
        <w:rPr>
          <w:rFonts w:eastAsia="黑体"/>
          <w:color w:val="auto"/>
          <w:sz w:val="32"/>
          <w:szCs w:val="32"/>
          <w:highlight w:val="none"/>
        </w:rPr>
      </w:pPr>
    </w:p>
    <w:p w14:paraId="0B761649">
      <w:pPr>
        <w:pStyle w:val="2"/>
        <w:jc w:val="center"/>
        <w:rPr>
          <w:rFonts w:ascii="Times New Roman" w:hAnsi="Times New Roman" w:eastAsia="黑体"/>
          <w:b w:val="0"/>
          <w:bCs w:val="0"/>
          <w:color w:val="auto"/>
          <w:sz w:val="44"/>
          <w:szCs w:val="44"/>
          <w:highlight w:val="none"/>
        </w:rPr>
      </w:pPr>
      <w:bookmarkStart w:id="11" w:name="_Toc80006067"/>
      <w:bookmarkStart w:id="12" w:name="_Toc300677959"/>
      <w:bookmarkStart w:id="13" w:name="_Toc211498553"/>
      <w:r>
        <w:rPr>
          <w:rFonts w:ascii="Times New Roman" w:hAnsi="Times New Roman" w:eastAsia="黑体"/>
          <w:b w:val="0"/>
          <w:bCs w:val="0"/>
          <w:color w:val="auto"/>
          <w:sz w:val="44"/>
          <w:szCs w:val="44"/>
          <w:highlight w:val="none"/>
        </w:rPr>
        <w:t>第  一  卷</w:t>
      </w:r>
      <w:bookmarkEnd w:id="11"/>
      <w:bookmarkEnd w:id="12"/>
      <w:bookmarkEnd w:id="13"/>
    </w:p>
    <w:p w14:paraId="0815E4D2">
      <w:pPr>
        <w:spacing w:after="240" w:afterLines="100" w:line="540" w:lineRule="exact"/>
        <w:rPr>
          <w:rFonts w:eastAsia="黑体"/>
          <w:color w:val="auto"/>
          <w:sz w:val="32"/>
          <w:szCs w:val="32"/>
          <w:highlight w:val="none"/>
        </w:rPr>
      </w:pPr>
    </w:p>
    <w:p w14:paraId="6BFF7CD2">
      <w:pPr>
        <w:spacing w:after="240" w:afterLines="100" w:line="540" w:lineRule="exact"/>
        <w:rPr>
          <w:rFonts w:eastAsia="黑体"/>
          <w:color w:val="auto"/>
          <w:sz w:val="32"/>
          <w:szCs w:val="32"/>
          <w:highlight w:val="none"/>
        </w:rPr>
      </w:pPr>
    </w:p>
    <w:p w14:paraId="24E0804C">
      <w:pPr>
        <w:spacing w:after="240" w:afterLines="100" w:line="540" w:lineRule="exact"/>
        <w:rPr>
          <w:rFonts w:eastAsia="黑体"/>
          <w:color w:val="auto"/>
          <w:sz w:val="32"/>
          <w:szCs w:val="32"/>
          <w:highlight w:val="none"/>
        </w:rPr>
      </w:pPr>
    </w:p>
    <w:p w14:paraId="2ACAB6F9">
      <w:pPr>
        <w:spacing w:after="240" w:afterLines="100" w:line="540" w:lineRule="exact"/>
        <w:rPr>
          <w:rFonts w:eastAsia="黑体"/>
          <w:color w:val="auto"/>
          <w:sz w:val="32"/>
          <w:szCs w:val="32"/>
          <w:highlight w:val="none"/>
        </w:rPr>
      </w:pPr>
    </w:p>
    <w:p w14:paraId="10514263">
      <w:pPr>
        <w:spacing w:after="240" w:afterLines="100" w:line="540" w:lineRule="exact"/>
        <w:rPr>
          <w:rFonts w:eastAsia="黑体"/>
          <w:color w:val="auto"/>
          <w:sz w:val="32"/>
          <w:szCs w:val="32"/>
          <w:highlight w:val="none"/>
        </w:rPr>
      </w:pPr>
    </w:p>
    <w:p w14:paraId="32B618AE">
      <w:pPr>
        <w:spacing w:after="240" w:afterLines="100" w:line="540" w:lineRule="exact"/>
        <w:rPr>
          <w:rFonts w:eastAsia="黑体"/>
          <w:color w:val="auto"/>
          <w:sz w:val="32"/>
          <w:szCs w:val="32"/>
          <w:highlight w:val="none"/>
        </w:rPr>
      </w:pPr>
    </w:p>
    <w:p w14:paraId="482BEAFC">
      <w:pPr>
        <w:rPr>
          <w:color w:val="auto"/>
          <w:highlight w:val="none"/>
        </w:rPr>
      </w:pPr>
      <w:r>
        <w:rPr>
          <w:rFonts w:eastAsia="黑体"/>
          <w:color w:val="auto"/>
          <w:sz w:val="32"/>
          <w:szCs w:val="32"/>
          <w:highlight w:val="none"/>
        </w:rPr>
        <w:br w:type="page"/>
      </w:r>
      <w:bookmarkStart w:id="14" w:name="_Toc300677960"/>
    </w:p>
    <w:p w14:paraId="7F7D48F9">
      <w:pPr>
        <w:pStyle w:val="2"/>
        <w:spacing w:before="0" w:after="0"/>
        <w:jc w:val="center"/>
        <w:rPr>
          <w:rFonts w:ascii="Times New Roman" w:hAnsi="Times New Roman" w:eastAsia="黑体"/>
          <w:b w:val="0"/>
          <w:bCs w:val="0"/>
          <w:color w:val="auto"/>
          <w:highlight w:val="none"/>
        </w:rPr>
      </w:pPr>
      <w:bookmarkStart w:id="15" w:name="_Toc80006068"/>
      <w:bookmarkStart w:id="16" w:name="_Toc211498554"/>
      <w:bookmarkStart w:id="17" w:name="_Hlk193363558"/>
      <w:r>
        <w:rPr>
          <w:rFonts w:ascii="Times New Roman" w:hAnsi="Times New Roman" w:eastAsia="黑体"/>
          <w:b w:val="0"/>
          <w:bCs w:val="0"/>
          <w:color w:val="auto"/>
          <w:highlight w:val="none"/>
        </w:rPr>
        <w:t>第一章  招标公告（适用于</w:t>
      </w:r>
      <w:r>
        <w:rPr>
          <w:rFonts w:hint="eastAsia" w:ascii="Times New Roman" w:hAnsi="Times New Roman" w:eastAsia="黑体"/>
          <w:b w:val="0"/>
          <w:bCs w:val="0"/>
          <w:color w:val="auto"/>
          <w:highlight w:val="none"/>
        </w:rPr>
        <w:t>未进行资格预审的</w:t>
      </w:r>
      <w:r>
        <w:rPr>
          <w:rFonts w:ascii="Times New Roman" w:hAnsi="Times New Roman" w:eastAsia="黑体"/>
          <w:b w:val="0"/>
          <w:bCs w:val="0"/>
          <w:color w:val="auto"/>
          <w:highlight w:val="none"/>
        </w:rPr>
        <w:t>公开招标</w:t>
      </w:r>
      <w:r>
        <w:rPr>
          <w:rFonts w:hint="eastAsia" w:ascii="Times New Roman" w:hAnsi="Times New Roman" w:eastAsia="黑体"/>
          <w:b w:val="0"/>
          <w:bCs w:val="0"/>
          <w:color w:val="auto"/>
          <w:highlight w:val="none"/>
        </w:rPr>
        <w:t>项目</w:t>
      </w:r>
      <w:r>
        <w:rPr>
          <w:rFonts w:ascii="Times New Roman" w:hAnsi="Times New Roman" w:eastAsia="黑体"/>
          <w:b w:val="0"/>
          <w:bCs w:val="0"/>
          <w:color w:val="auto"/>
          <w:highlight w:val="none"/>
        </w:rPr>
        <w:t>）</w:t>
      </w:r>
      <w:bookmarkEnd w:id="14"/>
      <w:bookmarkEnd w:id="15"/>
      <w:bookmarkEnd w:id="16"/>
    </w:p>
    <w:p w14:paraId="13F2E2D3">
      <w:pPr>
        <w:rPr>
          <w:color w:val="auto"/>
          <w:highlight w:val="none"/>
        </w:rPr>
      </w:pPr>
    </w:p>
    <w:p w14:paraId="37B85060">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施工招标公告</w:t>
      </w:r>
    </w:p>
    <w:p w14:paraId="4028F53F">
      <w:pPr>
        <w:pStyle w:val="3"/>
        <w:spacing w:before="0" w:after="0" w:line="360" w:lineRule="auto"/>
        <w:rPr>
          <w:rFonts w:ascii="Times New Roman" w:hAnsi="Times New Roman" w:eastAsia="黑体"/>
          <w:color w:val="auto"/>
          <w:highlight w:val="none"/>
        </w:rPr>
      </w:pPr>
      <w:bookmarkStart w:id="18" w:name="_Toc9178495"/>
      <w:bookmarkStart w:id="19" w:name="_Toc300677961"/>
      <w:bookmarkStart w:id="20" w:name="_Toc80006069"/>
      <w:bookmarkStart w:id="21" w:name="_Toc211498555"/>
      <w:r>
        <w:rPr>
          <w:rFonts w:ascii="Times New Roman" w:hAnsi="Times New Roman" w:eastAsia="黑体"/>
          <w:color w:val="auto"/>
          <w:highlight w:val="none"/>
        </w:rPr>
        <w:t>1.</w:t>
      </w:r>
      <w:bookmarkEnd w:id="18"/>
      <w:bookmarkEnd w:id="19"/>
      <w:bookmarkEnd w:id="20"/>
      <w:r>
        <w:rPr>
          <w:rFonts w:hint="eastAsia" w:ascii="Times New Roman" w:hAnsi="Times New Roman" w:eastAsia="黑体"/>
          <w:color w:val="auto"/>
          <w:highlight w:val="none"/>
        </w:rPr>
        <w:t>招标条件</w:t>
      </w:r>
      <w:bookmarkEnd w:id="21"/>
    </w:p>
    <w:p w14:paraId="7F9D3386">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w:t>
      </w:r>
      <w:r>
        <w:rPr>
          <w:rFonts w:hint="eastAsia" w:ascii="宋体" w:hAnsi="宋体" w:eastAsia="Arial" w:cs="Arial"/>
          <w:snapToGrid w:val="0"/>
          <w:color w:val="auto"/>
          <w:kern w:val="0"/>
          <w:szCs w:val="21"/>
          <w:highlight w:val="none"/>
        </w:rPr>
        <w:t>招标代理机构为</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 w:val="24"/>
          <w:szCs w:val="21"/>
          <w:highlight w:val="none"/>
        </w:rPr>
        <w:t xml:space="preserve"> </w:t>
      </w:r>
      <w:r>
        <w:rPr>
          <w:rFonts w:hint="eastAsia" w:ascii="宋体" w:hAnsi="宋体" w:eastAsia="Arial" w:cs="Arial"/>
          <w:snapToGrid w:val="0"/>
          <w:color w:val="auto"/>
          <w:kern w:val="0"/>
          <w:sz w:val="24"/>
          <w:szCs w:val="21"/>
          <w:highlight w:val="none"/>
        </w:rPr>
        <w:t>。</w:t>
      </w:r>
      <w:r>
        <w:rPr>
          <w:rFonts w:ascii="宋体" w:hAnsi="宋体" w:eastAsia="Arial" w:cs="Arial"/>
          <w:snapToGrid w:val="0"/>
          <w:color w:val="auto"/>
          <w:kern w:val="0"/>
          <w:szCs w:val="21"/>
          <w:highlight w:val="none"/>
        </w:rPr>
        <w:t>项目已具备招标条件，现对该项目的施工进行公开招标。</w:t>
      </w:r>
    </w:p>
    <w:p w14:paraId="2B0D29E8">
      <w:pPr>
        <w:keepLines/>
        <w:widowControl/>
        <w:kinsoku w:val="0"/>
        <w:autoSpaceDE w:val="0"/>
        <w:autoSpaceDN w:val="0"/>
        <w:spacing w:line="360" w:lineRule="auto"/>
        <w:jc w:val="left"/>
        <w:textAlignment w:val="baseline"/>
        <w:outlineLvl w:val="1"/>
        <w:rPr>
          <w:b/>
          <w:bCs/>
          <w:color w:val="auto"/>
          <w:szCs w:val="21"/>
          <w:highlight w:val="none"/>
        </w:rPr>
      </w:pPr>
      <w:bookmarkStart w:id="22" w:name="_Toc152045513"/>
      <w:bookmarkStart w:id="23" w:name="_Toc30318"/>
      <w:bookmarkStart w:id="24" w:name="_Toc152042289"/>
      <w:bookmarkStart w:id="25" w:name="_Toc211498556"/>
      <w:bookmarkStart w:id="26" w:name="_Toc17221"/>
      <w:bookmarkStart w:id="27" w:name="_Toc19588"/>
      <w:bookmarkStart w:id="28" w:name="_Toc144974481"/>
      <w:bookmarkStart w:id="29" w:name="_Toc176960351"/>
      <w:bookmarkStart w:id="30" w:name="_Toc16119"/>
      <w:r>
        <w:rPr>
          <w:rFonts w:ascii="黑体" w:hAnsi="黑体" w:eastAsia="黑体" w:cs="宋体"/>
          <w:b/>
          <w:snapToGrid w:val="0"/>
          <w:color w:val="auto"/>
          <w:kern w:val="0"/>
          <w:sz w:val="32"/>
          <w:szCs w:val="32"/>
          <w:highlight w:val="none"/>
        </w:rPr>
        <w:t>2. 项目概况</w:t>
      </w:r>
      <w:bookmarkEnd w:id="22"/>
      <w:bookmarkEnd w:id="23"/>
      <w:bookmarkEnd w:id="24"/>
      <w:bookmarkEnd w:id="25"/>
      <w:bookmarkEnd w:id="26"/>
      <w:bookmarkEnd w:id="27"/>
      <w:bookmarkEnd w:id="28"/>
      <w:bookmarkEnd w:id="29"/>
      <w:bookmarkEnd w:id="30"/>
    </w:p>
    <w:p w14:paraId="39EDBA1A">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0883EE57">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052C3CAA">
      <w:pPr>
        <w:spacing w:line="360" w:lineRule="auto"/>
        <w:ind w:firstLine="420" w:firstLineChars="200"/>
        <w:rPr>
          <w:b/>
          <w:bCs/>
          <w:color w:val="auto"/>
          <w:szCs w:val="21"/>
          <w:highlight w:val="none"/>
        </w:rPr>
      </w:pPr>
      <w:r>
        <w:rPr>
          <w:rFonts w:hint="eastAsia"/>
          <w:color w:val="auto"/>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4765B801">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（由招标人根据招标项目具体情况，从下列资质指标牵引项中勾选招标项目需要的指标中对应的最高资质等级的指标牵引项，由系统自动匹配生成所需要的最低资质等级。）</w:t>
      </w:r>
    </w:p>
    <w:p w14:paraId="74992A7B">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2.3.1建筑工程施工总承包</w:t>
      </w:r>
    </w:p>
    <w:p w14:paraId="532C1B44">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4A70C3E5">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52028667">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万平方米的建筑工程；</w:t>
      </w:r>
    </w:p>
    <w:p w14:paraId="5ADC37D1">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31F7CA9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2.3.2市政公用工程总承包</w:t>
      </w:r>
    </w:p>
    <w:p w14:paraId="552CF170">
      <w:pPr>
        <w:snapToGrid w:val="0"/>
        <w:spacing w:line="360" w:lineRule="auto"/>
        <w:ind w:firstLine="315" w:firstLineChars="150"/>
        <w:rPr>
          <w:color w:val="auto"/>
          <w:highlight w:val="none"/>
        </w:rPr>
      </w:pPr>
      <w:r>
        <w:rPr>
          <w:rFonts w:hint="eastAsia"/>
          <w:color w:val="auto"/>
          <w:highlight w:val="none"/>
        </w:rPr>
        <w:t>□城市道路工程（含快速路）；</w:t>
      </w:r>
    </w:p>
    <w:p w14:paraId="3E93B297">
      <w:pPr>
        <w:snapToGrid w:val="0"/>
        <w:spacing w:line="360" w:lineRule="auto"/>
        <w:ind w:firstLine="315" w:firstLineChars="150"/>
        <w:rPr>
          <w:color w:val="auto"/>
          <w:highlight w:val="none"/>
        </w:rPr>
      </w:pPr>
      <w:r>
        <w:rPr>
          <w:rFonts w:hint="eastAsia"/>
          <w:color w:val="auto"/>
          <w:highlight w:val="none"/>
        </w:rPr>
        <w:t>□城市道路工程(不含快速路)；</w:t>
      </w:r>
    </w:p>
    <w:p w14:paraId="0FD23F40">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60E66EF8">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0B3FEBA7">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14ADAC90">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509A56CB">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万吨/日的污水泵站</w:t>
      </w:r>
      <w:r>
        <w:rPr>
          <w:rFonts w:hint="eastAsia"/>
          <w:color w:val="auto"/>
          <w:highlight w:val="none"/>
          <w:lang w:val="en-US" w:eastAsia="zh-CN"/>
        </w:rPr>
        <w:t>或</w:t>
      </w:r>
      <w:r>
        <w:rPr>
          <w:rFonts w:hint="eastAsia"/>
          <w:color w:val="auto"/>
          <w:highlight w:val="none"/>
        </w:rPr>
        <w:t>雨水泵站；</w:t>
      </w:r>
    </w:p>
    <w:p w14:paraId="25B4668E">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1DE3A55E">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米污水或中水</w:t>
      </w:r>
      <w:r>
        <w:rPr>
          <w:rFonts w:hint="eastAsia"/>
          <w:color w:val="auto"/>
          <w:highlight w:val="none"/>
          <w:lang w:val="en-US" w:eastAsia="zh-CN"/>
        </w:rPr>
        <w:t>或雨水</w:t>
      </w:r>
      <w:r>
        <w:rPr>
          <w:rFonts w:hint="eastAsia"/>
          <w:color w:val="auto"/>
          <w:highlight w:val="none"/>
        </w:rPr>
        <w:t>管道；</w:t>
      </w:r>
    </w:p>
    <w:p w14:paraId="2BA69639">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公斤/平方厘米中压、低压燃气管道、调压站；</w:t>
      </w:r>
    </w:p>
    <w:p w14:paraId="34E32A82">
      <w:pPr>
        <w:snapToGrid w:val="0"/>
        <w:spacing w:line="360" w:lineRule="auto"/>
        <w:ind w:firstLine="315" w:firstLineChars="150"/>
        <w:rPr>
          <w:color w:val="auto"/>
          <w:highlight w:val="none"/>
        </w:rPr>
      </w:pPr>
      <w:r>
        <w:rPr>
          <w:rFonts w:hint="eastAsia"/>
          <w:color w:val="auto"/>
          <w:highlight w:val="none"/>
        </w:rPr>
        <w:t>□ 中压以上燃气管道、调压站；</w:t>
      </w:r>
    </w:p>
    <w:p w14:paraId="4A844482">
      <w:pPr>
        <w:snapToGrid w:val="0"/>
        <w:spacing w:line="360" w:lineRule="auto"/>
        <w:ind w:firstLine="315" w:firstLineChars="15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2409A4B8">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685E3FC5">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1D186ECF">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3FAD99A6">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 )；</w:t>
      </w:r>
    </w:p>
    <w:p w14:paraId="4E043728">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5568D0B5">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2ED0900D">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2.3.3地基基础工程专业承包</w:t>
      </w:r>
    </w:p>
    <w:p w14:paraId="5B06CBA4">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米工业、民用建筑工程的地基基础工程；</w:t>
      </w:r>
    </w:p>
    <w:p w14:paraId="58C92704">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米构筑物的地基基础工程；</w:t>
      </w:r>
    </w:p>
    <w:p w14:paraId="3F23BCE8">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米的刚性桩复合地基处理；</w:t>
      </w:r>
    </w:p>
    <w:p w14:paraId="6B581318">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米的其它地基处理工程；</w:t>
      </w:r>
    </w:p>
    <w:p w14:paraId="5944D949">
      <w:pPr>
        <w:snapToGrid w:val="0"/>
        <w:spacing w:line="360" w:lineRule="auto"/>
        <w:ind w:firstLine="315" w:firstLineChars="150"/>
        <w:rPr>
          <w:color w:val="auto"/>
          <w:highlight w:val="none"/>
        </w:rPr>
      </w:pPr>
      <w:r>
        <w:rPr>
          <w:rFonts w:hint="eastAsia"/>
          <w:color w:val="auto"/>
          <w:highlight w:val="none"/>
        </w:rPr>
        <w:t>□单桩承受设计荷载</w:t>
      </w:r>
      <w:r>
        <w:rPr>
          <w:rFonts w:hint="eastAsia"/>
          <w:color w:val="auto"/>
          <w:highlight w:val="none"/>
          <w:u w:val="single"/>
        </w:rPr>
        <w:t xml:space="preserve">     </w:t>
      </w:r>
      <w:r>
        <w:rPr>
          <w:rFonts w:hint="eastAsia"/>
          <w:color w:val="auto"/>
          <w:highlight w:val="none"/>
        </w:rPr>
        <w:t>千牛的桩基础工程；</w:t>
      </w:r>
    </w:p>
    <w:p w14:paraId="3F33E21B">
      <w:pPr>
        <w:snapToGrid w:val="0"/>
        <w:spacing w:line="360" w:lineRule="auto"/>
        <w:ind w:firstLine="315" w:firstLineChars="150"/>
        <w:rPr>
          <w:color w:val="auto"/>
          <w:highlight w:val="none"/>
        </w:rPr>
      </w:pPr>
      <w:r>
        <w:rPr>
          <w:rFonts w:hint="eastAsia"/>
          <w:color w:val="auto"/>
          <w:highlight w:val="none"/>
        </w:rPr>
        <w:t>□开挖深度</w:t>
      </w:r>
      <w:r>
        <w:rPr>
          <w:rFonts w:hint="eastAsia"/>
          <w:color w:val="auto"/>
          <w:highlight w:val="none"/>
          <w:u w:val="single"/>
        </w:rPr>
        <w:t xml:space="preserve">     </w:t>
      </w:r>
      <w:r>
        <w:rPr>
          <w:rFonts w:hint="eastAsia"/>
          <w:color w:val="auto"/>
          <w:highlight w:val="none"/>
        </w:rPr>
        <w:t>米的基坑围护工程。</w:t>
      </w:r>
    </w:p>
    <w:p w14:paraId="0B086D3C">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2.3.4起重设备安装工程专业承包</w:t>
      </w:r>
    </w:p>
    <w:p w14:paraId="5B446EC3">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千牛·米塔式起重机、各类施工升降机和门式起重机的安装与拆卸。</w:t>
      </w:r>
    </w:p>
    <w:p w14:paraId="090E971B">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2.3.5预拌混凝土专业承包</w:t>
      </w:r>
    </w:p>
    <w:p w14:paraId="519CBCF7">
      <w:pPr>
        <w:snapToGrid w:val="0"/>
        <w:spacing w:line="360" w:lineRule="auto"/>
        <w:ind w:firstLine="315" w:firstLineChars="150"/>
        <w:rPr>
          <w:color w:val="auto"/>
          <w:highlight w:val="none"/>
        </w:rPr>
      </w:pPr>
      <w:r>
        <w:rPr>
          <w:rFonts w:hint="eastAsia"/>
          <w:color w:val="auto"/>
          <w:highlight w:val="none"/>
        </w:rPr>
        <w:t>□ 各种强度等级的混凝土和特种混凝土。</w:t>
      </w:r>
    </w:p>
    <w:p w14:paraId="0E748E94">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2.3.6电子与智能化工程专业</w:t>
      </w:r>
    </w:p>
    <w:p w14:paraId="3769E797">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5E5562A7">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69A4557D">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2.3.7消防设施工程专业</w:t>
      </w:r>
    </w:p>
    <w:p w14:paraId="09CFAF01">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6C5EA34C">
      <w:pPr>
        <w:snapToGrid w:val="0"/>
        <w:spacing w:line="360" w:lineRule="auto"/>
        <w:ind w:firstLine="315" w:firstLineChars="150"/>
        <w:rPr>
          <w:color w:val="auto"/>
          <w:highlight w:val="none"/>
        </w:rPr>
      </w:pPr>
      <w:r>
        <w:rPr>
          <w:rFonts w:hint="eastAsia"/>
          <w:color w:val="auto"/>
          <w:highlight w:val="none"/>
        </w:rPr>
        <w:t>（1）一类高层民用建筑以外的民用建筑；</w:t>
      </w:r>
    </w:p>
    <w:p w14:paraId="550F5368">
      <w:pPr>
        <w:snapToGrid w:val="0"/>
        <w:spacing w:line="360" w:lineRule="auto"/>
        <w:ind w:firstLine="315" w:firstLineChars="150"/>
        <w:rPr>
          <w:color w:val="auto"/>
          <w:highlight w:val="none"/>
        </w:rPr>
      </w:pPr>
      <w:r>
        <w:rPr>
          <w:rFonts w:hint="eastAsia"/>
          <w:color w:val="auto"/>
          <w:highlight w:val="none"/>
        </w:rPr>
        <w:t>（2）火灾危险性丙类以下的厂房、仓库、储罐、堆场。</w:t>
      </w:r>
    </w:p>
    <w:p w14:paraId="0DCF4A24">
      <w:pPr>
        <w:snapToGrid w:val="0"/>
        <w:spacing w:line="360" w:lineRule="auto"/>
        <w:ind w:firstLine="315" w:firstLineChars="150"/>
        <w:rPr>
          <w:color w:val="auto"/>
          <w:highlight w:val="none"/>
        </w:rPr>
      </w:pPr>
      <w:r>
        <w:rPr>
          <w:rFonts w:hint="eastAsia"/>
          <w:color w:val="auto"/>
          <w:highlight w:val="none"/>
        </w:rPr>
        <w:t>□ 一类高层民用建筑；</w:t>
      </w:r>
    </w:p>
    <w:p w14:paraId="69ADCD83">
      <w:pPr>
        <w:snapToGrid w:val="0"/>
        <w:spacing w:line="360" w:lineRule="auto"/>
        <w:ind w:firstLine="315" w:firstLineChars="150"/>
        <w:rPr>
          <w:color w:val="auto"/>
          <w:highlight w:val="none"/>
        </w:rPr>
      </w:pPr>
      <w:r>
        <w:rPr>
          <w:rFonts w:hint="eastAsia"/>
          <w:color w:val="auto"/>
          <w:highlight w:val="none"/>
        </w:rPr>
        <w:t>□ 火灾危险性乙类以上的厂房、仓库、储罐、堆场。</w:t>
      </w:r>
    </w:p>
    <w:p w14:paraId="2983E53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2.3.8防水防腐保温工程</w:t>
      </w:r>
    </w:p>
    <w:p w14:paraId="64CB595C">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万元建筑防水工程的施工;</w:t>
      </w:r>
    </w:p>
    <w:p w14:paraId="2D629383">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万元的各类防腐保温工程。</w:t>
      </w:r>
    </w:p>
    <w:p w14:paraId="050172A4">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2.3.9钢结构工程专业</w:t>
      </w:r>
    </w:p>
    <w:p w14:paraId="4E08FC46">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426EBD68">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 xml:space="preserve">米； </w:t>
      </w:r>
    </w:p>
    <w:p w14:paraId="030D75C2">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w:t>
      </w:r>
    </w:p>
    <w:p w14:paraId="14F46DE5">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2520AC1B">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 xml:space="preserve">平方米。 </w:t>
      </w:r>
    </w:p>
    <w:p w14:paraId="70F52580">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2.3.10模板脚手架专业</w:t>
      </w:r>
    </w:p>
    <w:p w14:paraId="30EFB25C">
      <w:pPr>
        <w:snapToGrid w:val="0"/>
        <w:spacing w:line="360" w:lineRule="auto"/>
        <w:ind w:firstLine="315" w:firstLineChars="150"/>
        <w:rPr>
          <w:color w:val="auto"/>
          <w:highlight w:val="none"/>
        </w:rPr>
      </w:pPr>
      <w:r>
        <w:rPr>
          <w:rFonts w:hint="eastAsia"/>
          <w:color w:val="auto"/>
          <w:highlight w:val="none"/>
        </w:rPr>
        <w:t>□各类模板、脚手架工程的设计、制作、安装、施工。</w:t>
      </w:r>
    </w:p>
    <w:p w14:paraId="7A345111">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2.3.11建筑装修装饰工程专业</w:t>
      </w:r>
    </w:p>
    <w:p w14:paraId="0D9720D9">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4915A3FD">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2.3.12建筑机电安装工程专业</w:t>
      </w:r>
    </w:p>
    <w:p w14:paraId="76B6C61C">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20003FFD">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5BFEE7F8">
      <w:pPr>
        <w:snapToGrid w:val="0"/>
        <w:spacing w:line="360" w:lineRule="auto"/>
        <w:ind w:firstLine="315" w:firstLineChars="150"/>
        <w:rPr>
          <w:color w:val="auto"/>
          <w:highlight w:val="none"/>
        </w:rPr>
      </w:pPr>
      <w:r>
        <w:rPr>
          <w:rFonts w:hint="eastAsia"/>
          <w:color w:val="auto"/>
          <w:highlight w:val="none"/>
        </w:rPr>
        <w:t>□非标准钢结构件的制作、安装。</w:t>
      </w:r>
    </w:p>
    <w:p w14:paraId="5DE8C270">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2.3.13建筑幕墙工程专业</w:t>
      </w:r>
    </w:p>
    <w:p w14:paraId="04256E03">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13BBDEF6">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2.3.14古建筑工程专业</w:t>
      </w:r>
    </w:p>
    <w:p w14:paraId="01582E8D">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158A91D9">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0E1990C7">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3B1500AE">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2.3.15城市及道路照明工程专业</w:t>
      </w:r>
    </w:p>
    <w:p w14:paraId="691B89AE">
      <w:pPr>
        <w:snapToGrid w:val="0"/>
        <w:spacing w:line="360" w:lineRule="auto"/>
        <w:ind w:firstLine="315" w:firstLineChars="150"/>
        <w:rPr>
          <w:b/>
          <w:bCs/>
          <w:color w:val="auto"/>
          <w:sz w:val="28"/>
          <w:szCs w:val="28"/>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7D4A5075">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2.3.16特种专业工程</w:t>
      </w:r>
    </w:p>
    <w:p w14:paraId="7067AB6C">
      <w:pPr>
        <w:snapToGrid w:val="0"/>
        <w:spacing w:line="360" w:lineRule="auto"/>
        <w:ind w:firstLine="315" w:firstLineChars="150"/>
        <w:rPr>
          <w:rFonts w:hint="eastAsia"/>
          <w:color w:val="auto"/>
          <w:highlight w:val="none"/>
        </w:rPr>
      </w:pPr>
      <w:r>
        <w:rPr>
          <w:rFonts w:hint="eastAsia"/>
          <w:color w:val="auto"/>
          <w:highlight w:val="none"/>
        </w:rPr>
        <w:t>□建筑物纠偏和平移</w:t>
      </w:r>
    </w:p>
    <w:p w14:paraId="545EB468">
      <w:pPr>
        <w:snapToGrid w:val="0"/>
        <w:spacing w:line="360" w:lineRule="auto"/>
        <w:ind w:firstLine="315" w:firstLineChars="150"/>
        <w:rPr>
          <w:rFonts w:hint="eastAsia"/>
          <w:color w:val="auto"/>
          <w:highlight w:val="none"/>
        </w:rPr>
      </w:pPr>
      <w:r>
        <w:rPr>
          <w:rFonts w:hint="eastAsia"/>
          <w:color w:val="auto"/>
          <w:highlight w:val="none"/>
        </w:rPr>
        <w:t>□结构补强</w:t>
      </w:r>
    </w:p>
    <w:p w14:paraId="66E36B44">
      <w:pPr>
        <w:snapToGrid w:val="0"/>
        <w:spacing w:line="360" w:lineRule="auto"/>
        <w:ind w:firstLine="315" w:firstLineChars="150"/>
        <w:rPr>
          <w:rFonts w:hint="eastAsia"/>
          <w:color w:val="auto"/>
          <w:highlight w:val="none"/>
        </w:rPr>
      </w:pPr>
      <w:r>
        <w:rPr>
          <w:rFonts w:hint="eastAsia"/>
          <w:color w:val="auto"/>
          <w:highlight w:val="none"/>
        </w:rPr>
        <w:t>□特殊设备起重吊装</w:t>
      </w:r>
    </w:p>
    <w:p w14:paraId="4DB84D77">
      <w:pPr>
        <w:snapToGrid w:val="0"/>
        <w:spacing w:line="360" w:lineRule="auto"/>
        <w:ind w:firstLine="315" w:firstLineChars="150"/>
        <w:rPr>
          <w:rFonts w:hint="eastAsia"/>
          <w:color w:val="auto"/>
          <w:highlight w:val="none"/>
        </w:rPr>
      </w:pPr>
      <w:r>
        <w:rPr>
          <w:rFonts w:hint="eastAsia"/>
          <w:color w:val="auto"/>
          <w:highlight w:val="none"/>
        </w:rPr>
        <w:t>□特种防雷</w:t>
      </w:r>
    </w:p>
    <w:p w14:paraId="4F5C4195">
      <w:pPr>
        <w:snapToGrid w:val="0"/>
        <w:spacing w:line="360" w:lineRule="auto"/>
        <w:ind w:firstLine="315" w:firstLineChars="150"/>
        <w:rPr>
          <w:rFonts w:hint="default" w:eastAsia="宋体"/>
          <w:color w:val="auto"/>
          <w:highlight w:val="none"/>
          <w:lang w:val="en-US" w:eastAsia="zh-CN"/>
        </w:rPr>
      </w:pPr>
      <w:r>
        <w:rPr>
          <w:rFonts w:hint="eastAsia"/>
          <w:color w:val="auto"/>
          <w:highlight w:val="none"/>
        </w:rPr>
        <w:t>□</w:t>
      </w:r>
      <w:r>
        <w:rPr>
          <w:rFonts w:hint="eastAsia"/>
          <w:color w:val="auto"/>
          <w:highlight w:val="none"/>
          <w:lang w:val="en-US" w:eastAsia="zh-CN"/>
        </w:rPr>
        <w:t>特种专业工程</w:t>
      </w:r>
    </w:p>
    <w:p w14:paraId="71F08EF6">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2.3.17桥梁工程专业</w:t>
      </w:r>
    </w:p>
    <w:p w14:paraId="581EB012">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31020B02">
      <w:pPr>
        <w:snapToGrid w:val="0"/>
        <w:spacing w:line="360" w:lineRule="auto"/>
        <w:ind w:firstLine="315" w:firstLineChars="15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55793185">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2.3.18隧道工程专业</w:t>
      </w:r>
    </w:p>
    <w:p w14:paraId="32C373D0">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10FA1C2B">
      <w:pPr>
        <w:snapToGrid w:val="0"/>
        <w:spacing w:line="360" w:lineRule="auto"/>
        <w:ind w:firstLine="315" w:firstLineChars="15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244BED5F">
      <w:pPr>
        <w:snapToGrid w:val="0"/>
        <w:spacing w:line="360" w:lineRule="auto"/>
        <w:ind w:firstLine="281" w:firstLineChars="100"/>
        <w:rPr>
          <w:b/>
          <w:bCs/>
          <w:color w:val="auto"/>
          <w:sz w:val="28"/>
          <w:szCs w:val="28"/>
          <w:highlight w:val="none"/>
        </w:rPr>
      </w:pPr>
      <w:bookmarkStart w:id="31" w:name="_Hlk193097303"/>
      <w:r>
        <w:rPr>
          <w:rFonts w:hint="eastAsia"/>
          <w:b/>
          <w:bCs/>
          <w:color w:val="auto"/>
          <w:sz w:val="28"/>
          <w:szCs w:val="28"/>
          <w:highlight w:val="none"/>
        </w:rPr>
        <w:t>2.3.19公路路面工程专业（适用于市政公用工程中单独招标的路面工程）</w:t>
      </w:r>
    </w:p>
    <w:p w14:paraId="6CE5C203">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级公路路面工程的施工</w:t>
      </w:r>
    </w:p>
    <w:p w14:paraId="129AD889">
      <w:pPr>
        <w:snapToGrid w:val="0"/>
        <w:spacing w:line="360" w:lineRule="auto"/>
        <w:rPr>
          <w:b/>
          <w:bCs/>
          <w:color w:val="auto"/>
          <w:sz w:val="28"/>
          <w:szCs w:val="28"/>
          <w:highlight w:val="none"/>
        </w:rPr>
      </w:pPr>
      <w:r>
        <w:rPr>
          <w:rFonts w:hint="eastAsia"/>
          <w:b/>
          <w:bCs/>
          <w:color w:val="auto"/>
          <w:sz w:val="28"/>
          <w:szCs w:val="28"/>
          <w:highlight w:val="none"/>
        </w:rPr>
        <w:t xml:space="preserve">  2.3.20公路交通工程专业（适用于市政公用工程中单独招标的交通工程）</w:t>
      </w:r>
    </w:p>
    <w:p w14:paraId="19A99928">
      <w:pPr>
        <w:snapToGrid w:val="0"/>
        <w:spacing w:line="360" w:lineRule="auto"/>
        <w:ind w:firstLine="315" w:firstLineChars="150"/>
        <w:rPr>
          <w:color w:val="auto"/>
          <w:highlight w:val="none"/>
        </w:rPr>
      </w:pPr>
      <w:r>
        <w:rPr>
          <w:rFonts w:hint="eastAsia"/>
          <w:color w:val="auto"/>
          <w:highlight w:val="none"/>
        </w:rPr>
        <w:t>□公路安全设施分项</w:t>
      </w:r>
    </w:p>
    <w:p w14:paraId="0BB7B4D6">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级公路标志、标线、护栏、隔离栅、防眩板等公路安全设施工程的施工及安装。</w:t>
      </w:r>
    </w:p>
    <w:p w14:paraId="3ABE519B">
      <w:pPr>
        <w:snapToGrid w:val="0"/>
        <w:spacing w:line="360" w:lineRule="auto"/>
        <w:ind w:firstLine="315" w:firstLineChars="150"/>
        <w:rPr>
          <w:color w:val="auto"/>
          <w:highlight w:val="none"/>
        </w:rPr>
      </w:pPr>
      <w:r>
        <w:rPr>
          <w:rFonts w:hint="eastAsia"/>
          <w:color w:val="auto"/>
          <w:highlight w:val="none"/>
        </w:rPr>
        <w:t>□公路机电工程分项</w:t>
      </w:r>
    </w:p>
    <w:p w14:paraId="38ACA0B3">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通信、监控、收费、干线传输系统、移动通信系统、光（电）缆敷设工程、紧急电话系统、交通信息采集系统、信息发布系统、中央控制系统、供配电、照明、智能交通管理等机电系统及配套工程系统的施工及安装；公路桥梁及隧道工程健康监测、通风、通信管道等机电系统及配套设备的施工及安装。</w:t>
      </w:r>
    </w:p>
    <w:bookmarkEnd w:id="31"/>
    <w:p w14:paraId="70DE4DBC">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2.3.21</w:t>
      </w:r>
      <w:bookmarkStart w:id="32" w:name="_Hlk210135952"/>
      <w:r>
        <w:rPr>
          <w:rFonts w:hint="eastAsia"/>
          <w:b/>
          <w:bCs/>
          <w:color w:val="auto"/>
          <w:sz w:val="28"/>
          <w:szCs w:val="28"/>
          <w:highlight w:val="none"/>
        </w:rPr>
        <w:t>装配式建筑项目</w:t>
      </w:r>
      <w:bookmarkEnd w:id="32"/>
    </w:p>
    <w:p w14:paraId="68838A42">
      <w:pPr>
        <w:snapToGrid w:val="0"/>
        <w:spacing w:line="360" w:lineRule="auto"/>
        <w:ind w:firstLine="420" w:firstLineChars="200"/>
        <w:rPr>
          <w:color w:val="auto"/>
          <w:highlight w:val="none"/>
        </w:rPr>
      </w:pPr>
      <w:r>
        <w:rPr>
          <w:rFonts w:hint="eastAsia"/>
          <w:color w:val="auto"/>
          <w:highlight w:val="none"/>
        </w:rPr>
        <w:t>口</w:t>
      </w:r>
      <w:bookmarkStart w:id="33" w:name="_Hlk193097680"/>
      <w:r>
        <w:rPr>
          <w:rFonts w:hint="eastAsia"/>
          <w:color w:val="auto"/>
          <w:highlight w:val="none"/>
        </w:rPr>
        <w:t>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7758C60B">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□施工总承包工程</w:t>
      </w:r>
      <w:r>
        <w:rPr>
          <w:b/>
          <w:bCs/>
          <w:color w:val="auto"/>
          <w:sz w:val="28"/>
          <w:szCs w:val="28"/>
          <w:highlight w:val="none"/>
        </w:rPr>
        <w:t>+</w:t>
      </w:r>
      <w:r>
        <w:rPr>
          <w:rFonts w:hint="eastAsia"/>
          <w:b/>
          <w:bCs/>
          <w:color w:val="auto"/>
          <w:sz w:val="28"/>
          <w:szCs w:val="28"/>
          <w:highlight w:val="none"/>
        </w:rPr>
        <w:t>施工总承包工程：</w:t>
      </w:r>
    </w:p>
    <w:p w14:paraId="2E9E8095">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招标人根据项目情况选择施工总承包资质类别并设置资质或资格组合。</w:t>
      </w:r>
    </w:p>
    <w:p w14:paraId="46796BFF">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w:t>
      </w:r>
      <w:bookmarkEnd w:id="33"/>
      <w:r>
        <w:rPr>
          <w:rFonts w:hint="eastAsia"/>
          <w:b/>
          <w:bCs/>
          <w:color w:val="auto"/>
          <w:sz w:val="28"/>
          <w:szCs w:val="28"/>
          <w:highlight w:val="none"/>
        </w:rPr>
        <w:t>建筑工程施工总承包工程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5118469D">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262129A0">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□市政公用工程施工总承包工程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66B47493">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0F2D93A0">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□专业工程</w:t>
      </w:r>
      <w:r>
        <w:rPr>
          <w:b/>
          <w:bCs/>
          <w:color w:val="auto"/>
          <w:sz w:val="28"/>
          <w:szCs w:val="28"/>
          <w:highlight w:val="none"/>
        </w:rPr>
        <w:t>+</w:t>
      </w:r>
      <w:r>
        <w:rPr>
          <w:rFonts w:hint="eastAsia"/>
          <w:b/>
          <w:bCs/>
          <w:color w:val="auto"/>
          <w:sz w:val="28"/>
          <w:szCs w:val="28"/>
          <w:highlight w:val="none"/>
        </w:rPr>
        <w:t>专业工程：</w:t>
      </w:r>
    </w:p>
    <w:p w14:paraId="5DE575E2">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196B26C2">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采用多资质组合招标的工程项目，最多不超过三个（不包括装配式建筑项目要求具备的装配式资格）资质。</w:t>
      </w:r>
    </w:p>
    <w:p w14:paraId="1E372471">
      <w:pPr>
        <w:snapToGrid w:val="0"/>
        <w:spacing w:line="360" w:lineRule="auto"/>
        <w:ind w:firstLine="420" w:firstLineChars="200"/>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2FC60B0D">
      <w:pPr>
        <w:kinsoku w:val="0"/>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2.5</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 ；</w:t>
      </w:r>
    </w:p>
    <w:p w14:paraId="0FCB78A7">
      <w:pPr>
        <w:kinsoku w:val="0"/>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265BA36F">
      <w:pPr>
        <w:kinsoku w:val="0"/>
        <w:autoSpaceDE w:val="0"/>
        <w:autoSpaceDN w:val="0"/>
        <w:spacing w:line="360" w:lineRule="auto"/>
        <w:ind w:firstLine="420" w:firstLineChars="200"/>
        <w:textAlignment w:val="baseline"/>
        <w:rPr>
          <w:color w:val="auto"/>
          <w:szCs w:val="21"/>
          <w:highlight w:val="none"/>
        </w:rPr>
      </w:pPr>
      <w:r>
        <w:rPr>
          <w:rFonts w:hint="eastAsia" w:ascii="宋体" w:hAnsi="宋体" w:eastAsia="Arial" w:cs="Arial"/>
          <w:snapToGrid w:val="0"/>
          <w:color w:val="auto"/>
          <w:kern w:val="0"/>
          <w:szCs w:val="21"/>
          <w:highlight w:val="none"/>
        </w:rPr>
        <w:t>2.</w:t>
      </w:r>
      <w:r>
        <w:rPr>
          <w:rFonts w:hint="eastAsia" w:ascii="宋体" w:hAnsi="宋体" w:cs="Arial"/>
          <w:snapToGrid w:val="0"/>
          <w:color w:val="auto"/>
          <w:kern w:val="0"/>
          <w:szCs w:val="21"/>
          <w:highlight w:val="none"/>
        </w:rPr>
        <w:t xml:space="preserve">7 </w:t>
      </w:r>
      <w:r>
        <w:rPr>
          <w:rFonts w:hint="eastAsia" w:ascii="宋体" w:hAnsi="宋体" w:eastAsia="Arial" w:cs="Arial"/>
          <w:snapToGrid w:val="0"/>
          <w:color w:val="auto"/>
          <w:kern w:val="0"/>
          <w:szCs w:val="21"/>
          <w:highlight w:val="none"/>
        </w:rPr>
        <w:t>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5C098228">
      <w:pPr>
        <w:keepLines/>
        <w:kinsoku w:val="0"/>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34" w:name="_Toc211498557"/>
      <w:bookmarkStart w:id="35" w:name="_Toc300677963"/>
      <w:bookmarkStart w:id="36" w:name="_Toc80006070"/>
      <w:bookmarkStart w:id="37" w:name="_Toc9178496"/>
      <w:r>
        <w:rPr>
          <w:rFonts w:hint="eastAsia" w:ascii="黑体" w:hAnsi="黑体" w:eastAsia="黑体" w:cs="宋体"/>
          <w:b/>
          <w:snapToGrid w:val="0"/>
          <w:color w:val="auto"/>
          <w:kern w:val="0"/>
          <w:sz w:val="32"/>
          <w:szCs w:val="32"/>
          <w:highlight w:val="none"/>
        </w:rPr>
        <w:t>3.招标范围</w:t>
      </w:r>
      <w:bookmarkEnd w:id="34"/>
    </w:p>
    <w:p w14:paraId="222CB2F8">
      <w:pPr>
        <w:widowControl/>
        <w:kinsoku w:val="0"/>
        <w:autoSpaceDE w:val="0"/>
        <w:autoSpaceDN w:val="0"/>
        <w:spacing w:line="360" w:lineRule="auto"/>
        <w:ind w:firstLine="420" w:firstLineChars="200"/>
        <w:jc w:val="left"/>
        <w:textAlignment w:val="baseline"/>
        <w:rPr>
          <w:rFonts w:eastAsia="黑体"/>
          <w:color w:val="auto"/>
          <w:sz w:val="30"/>
          <w:highlight w:val="none"/>
          <w:u w:val="singl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（招标人根据项目情况补充填写）。 </w:t>
      </w:r>
      <w:r>
        <w:rPr>
          <w:rFonts w:hint="eastAsia" w:eastAsia="黑体"/>
          <w:color w:val="auto"/>
          <w:sz w:val="30"/>
          <w:highlight w:val="none"/>
        </w:rPr>
        <w:t xml:space="preserve"> </w:t>
      </w:r>
      <w:r>
        <w:rPr>
          <w:rFonts w:hint="eastAsia" w:ascii="宋体" w:hAnsi="宋体" w:eastAsia="Arial" w:cs="Arial"/>
          <w:snapToGrid w:val="0"/>
          <w:color w:val="auto"/>
          <w:kern w:val="0"/>
          <w:szCs w:val="21"/>
          <w:highlight w:val="none"/>
        </w:rPr>
        <w:t xml:space="preserve">               </w:t>
      </w:r>
    </w:p>
    <w:p w14:paraId="288B747F">
      <w:pPr>
        <w:keepLines/>
        <w:kinsoku w:val="0"/>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38" w:name="_Toc211498558"/>
      <w:r>
        <w:rPr>
          <w:rFonts w:ascii="黑体" w:hAnsi="黑体" w:eastAsia="黑体" w:cs="宋体"/>
          <w:b/>
          <w:snapToGrid w:val="0"/>
          <w:color w:val="auto"/>
          <w:kern w:val="0"/>
          <w:sz w:val="32"/>
          <w:szCs w:val="32"/>
          <w:highlight w:val="none"/>
        </w:rPr>
        <w:t>4.</w:t>
      </w:r>
      <w:r>
        <w:rPr>
          <w:rFonts w:hint="eastAsia" w:ascii="黑体" w:hAnsi="黑体" w:eastAsia="黑体" w:cs="宋体"/>
          <w:b/>
          <w:snapToGrid w:val="0"/>
          <w:color w:val="auto"/>
          <w:kern w:val="0"/>
          <w:sz w:val="32"/>
          <w:szCs w:val="32"/>
          <w:highlight w:val="none"/>
        </w:rPr>
        <w:t>投标人资格要求</w:t>
      </w:r>
      <w:bookmarkEnd w:id="35"/>
      <w:bookmarkEnd w:id="36"/>
      <w:bookmarkEnd w:id="37"/>
      <w:bookmarkEnd w:id="38"/>
    </w:p>
    <w:p w14:paraId="74D092FC">
      <w:pPr>
        <w:widowControl/>
        <w:kinsoku w:val="0"/>
        <w:autoSpaceDE w:val="0"/>
        <w:autoSpaceDN w:val="0"/>
        <w:spacing w:line="360" w:lineRule="auto"/>
        <w:ind w:firstLine="420" w:firstLineChars="200"/>
        <w:jc w:val="left"/>
        <w:textAlignment w:val="baseline"/>
        <w:outlineLvl w:val="2"/>
        <w:rPr>
          <w:rFonts w:ascii="宋体" w:hAnsi="宋体" w:eastAsia="Arial" w:cs="Arial"/>
          <w:snapToGrid w:val="0"/>
          <w:color w:val="auto"/>
          <w:kern w:val="0"/>
          <w:szCs w:val="21"/>
          <w:highlight w:val="none"/>
        </w:rPr>
      </w:pPr>
      <w:bookmarkStart w:id="39" w:name="_Toc6753"/>
      <w:bookmarkStart w:id="40" w:name="_Toc193801654"/>
      <w:bookmarkStart w:id="41" w:name="_Toc193802231"/>
      <w:bookmarkStart w:id="42" w:name="_Toc180"/>
      <w:bookmarkStart w:id="43" w:name="_Toc193802611"/>
      <w:bookmarkStart w:id="44" w:name="_Toc28925"/>
      <w:bookmarkStart w:id="45" w:name="_Toc211498559"/>
      <w:bookmarkStart w:id="46" w:name="_Toc4332"/>
      <w:r>
        <w:rPr>
          <w:rFonts w:hint="eastAsia" w:ascii="宋体" w:hAnsi="宋体" w:cs="Arial"/>
          <w:snapToGrid w:val="0"/>
          <w:color w:val="auto"/>
          <w:kern w:val="0"/>
          <w:szCs w:val="21"/>
          <w:highlight w:val="none"/>
        </w:rPr>
        <w:t>4</w:t>
      </w:r>
      <w:r>
        <w:rPr>
          <w:rFonts w:ascii="宋体" w:hAnsi="宋体" w:eastAsia="Arial" w:cs="Arial"/>
          <w:snapToGrid w:val="0"/>
          <w:color w:val="auto"/>
          <w:kern w:val="0"/>
          <w:szCs w:val="21"/>
          <w:highlight w:val="none"/>
        </w:rPr>
        <w:t xml:space="preserve">.1 </w:t>
      </w:r>
      <w:r>
        <w:rPr>
          <w:rFonts w:ascii="Arial" w:hAnsi="Arial" w:eastAsia="Arial" w:cs="Arial"/>
          <w:snapToGrid w:val="0"/>
          <w:color w:val="auto"/>
          <w:kern w:val="0"/>
          <w:szCs w:val="21"/>
          <w:highlight w:val="none"/>
        </w:rPr>
        <w:t>本次招标要求投标人具备以下</w:t>
      </w:r>
      <w:r>
        <w:rPr>
          <w:rFonts w:hint="eastAsia" w:ascii="Arial" w:hAnsi="Arial" w:cs="Arial"/>
          <w:snapToGrid w:val="0"/>
          <w:color w:val="auto"/>
          <w:kern w:val="0"/>
          <w:szCs w:val="21"/>
          <w:highlight w:val="none"/>
        </w:rPr>
        <w:t>资格条件</w:t>
      </w:r>
      <w:r>
        <w:rPr>
          <w:rFonts w:ascii="Arial" w:hAnsi="Arial" w:eastAsia="Arial" w:cs="Arial"/>
          <w:snapToGrid w:val="0"/>
          <w:color w:val="auto"/>
          <w:kern w:val="0"/>
          <w:szCs w:val="21"/>
          <w:highlight w:val="none"/>
        </w:rPr>
        <w:t>：</w:t>
      </w:r>
      <w:bookmarkEnd w:id="39"/>
      <w:bookmarkEnd w:id="40"/>
      <w:bookmarkEnd w:id="41"/>
      <w:bookmarkEnd w:id="42"/>
      <w:bookmarkEnd w:id="43"/>
      <w:bookmarkEnd w:id="44"/>
      <w:bookmarkEnd w:id="45"/>
      <w:bookmarkEnd w:id="46"/>
    </w:p>
    <w:p w14:paraId="0D63D768">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r>
        <w:rPr>
          <w:rFonts w:hint="eastAsia"/>
          <w:color w:val="auto"/>
          <w:highlight w:val="none"/>
        </w:rPr>
        <w:t>。</w:t>
      </w:r>
      <w:r>
        <w:rPr>
          <w:color w:val="auto"/>
          <w:highlight w:val="none"/>
        </w:rPr>
        <w:t xml:space="preserve"> </w:t>
      </w:r>
    </w:p>
    <w:p w14:paraId="25919ED3">
      <w:pPr>
        <w:spacing w:line="360" w:lineRule="auto"/>
        <w:ind w:firstLine="420" w:firstLineChars="200"/>
        <w:rPr>
          <w:color w:val="auto"/>
          <w:highlight w:val="none"/>
        </w:rPr>
      </w:pPr>
      <w:r>
        <w:rPr>
          <w:rFonts w:hint="eastAsia"/>
          <w:color w:val="auto"/>
          <w:highlight w:val="none"/>
        </w:rPr>
        <w:t>（2）</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b/>
          <w:bCs/>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ascii="Arial" w:hAnsi="Arial" w:cs="Arial"/>
          <w:snapToGrid w:val="0"/>
          <w:color w:val="auto"/>
          <w:kern w:val="0"/>
          <w:szCs w:val="21"/>
          <w:highlight w:val="none"/>
        </w:rPr>
        <w:t>且处于有效期</w:t>
      </w:r>
      <w:r>
        <w:rPr>
          <w:color w:val="auto"/>
          <w:highlight w:val="none"/>
        </w:rPr>
        <w:t>，</w:t>
      </w:r>
      <w:r>
        <w:rPr>
          <w:color w:val="auto"/>
          <w:highlight w:val="none"/>
          <w:u w:val="single"/>
        </w:rPr>
        <w:t>安全生产许可证处于有效期</w:t>
      </w:r>
      <w:r>
        <w:rPr>
          <w:rFonts w:hint="eastAsia"/>
          <w:color w:val="auto"/>
          <w:highlight w:val="none"/>
          <w:u w:val="single"/>
        </w:rPr>
        <w:t>（注：园林绿化工程、土石方工程安全生产许可证不作要求）</w:t>
      </w:r>
      <w:r>
        <w:rPr>
          <w:rFonts w:hint="eastAsia"/>
          <w:color w:val="auto"/>
          <w:highlight w:val="none"/>
        </w:rPr>
        <w:t>。</w:t>
      </w:r>
    </w:p>
    <w:p w14:paraId="2B2AFBC5">
      <w:pPr>
        <w:snapToGrid w:val="0"/>
        <w:spacing w:line="360" w:lineRule="auto"/>
        <w:ind w:firstLine="315" w:firstLineChars="150"/>
        <w:rPr>
          <w:color w:val="auto"/>
          <w:highlight w:val="none"/>
        </w:rPr>
      </w:pPr>
      <w:bookmarkStart w:id="47" w:name="_Hlk193116967"/>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54A32129">
      <w:pPr>
        <w:spacing w:line="360" w:lineRule="auto"/>
        <w:ind w:firstLine="420" w:firstLineChars="200"/>
        <w:rPr>
          <w:color w:val="auto"/>
          <w:highlight w:val="none"/>
          <w:u w:val="single"/>
        </w:rPr>
      </w:pPr>
      <w:r>
        <w:rPr>
          <w:rFonts w:hint="eastAsia"/>
          <w:color w:val="auto"/>
          <w:highlight w:val="none"/>
        </w:rPr>
        <w:t>（3）</w:t>
      </w:r>
      <w:r>
        <w:rPr>
          <w:color w:val="auto"/>
          <w:highlight w:val="none"/>
        </w:rPr>
        <w:t xml:space="preserve">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拟任</w:t>
      </w:r>
      <w:r>
        <w:rPr>
          <w:rFonts w:hint="eastAsia" w:ascii="宋体" w:hAnsi="宋体" w:cs="Arial"/>
          <w:snapToGrid w:val="0"/>
          <w:color w:val="auto"/>
          <w:kern w:val="0"/>
          <w:szCs w:val="21"/>
          <w:highlight w:val="none"/>
        </w:rPr>
        <w:t>项目经理</w:t>
      </w:r>
      <w:r>
        <w:rPr>
          <w:rFonts w:hint="eastAsia"/>
          <w:color w:val="auto"/>
          <w:highlight w:val="none"/>
        </w:rPr>
        <w:t>资格：具有</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建筑工程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公路工程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市政公用工程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机电工程 </w:t>
      </w:r>
      <w:r>
        <w:rPr>
          <w:color w:val="auto"/>
          <w:highlight w:val="none"/>
        </w:rPr>
        <w:t>专业</w:t>
      </w:r>
      <w:r>
        <w:rPr>
          <w:rFonts w:hint="eastAsia"/>
          <w:color w:val="auto"/>
          <w:highlight w:val="none"/>
          <w:u w:val="single"/>
        </w:rPr>
        <w:t>□壹级□贰级及以上 注册建造师执业资格证书</w:t>
      </w:r>
      <w:r>
        <w:rPr>
          <w:rFonts w:hint="eastAsia" w:ascii="Arial" w:hAnsi="Arial" w:eastAsia="Arial" w:cs="Arial"/>
          <w:snapToGrid w:val="0"/>
          <w:color w:val="auto"/>
          <w:kern w:val="0"/>
          <w:szCs w:val="21"/>
          <w:highlight w:val="none"/>
          <w:u w:val="single"/>
        </w:rPr>
        <w:t>以</w:t>
      </w:r>
      <w:r>
        <w:rPr>
          <w:rFonts w:hint="eastAsia"/>
          <w:color w:val="auto"/>
          <w:highlight w:val="none"/>
          <w:u w:val="single"/>
        </w:rPr>
        <w:t>及有效的项目负责人安全生产考核合格证书，且</w:t>
      </w:r>
      <w:bookmarkStart w:id="48" w:name="_Hlk193116010"/>
      <w:bookmarkStart w:id="49" w:name="_Hlk193366142"/>
      <w:r>
        <w:rPr>
          <w:rFonts w:hint="eastAsia"/>
          <w:color w:val="auto"/>
          <w:highlight w:val="none"/>
          <w:u w:val="single"/>
        </w:rPr>
        <w:t>须</w:t>
      </w:r>
      <w:bookmarkEnd w:id="48"/>
      <w:bookmarkEnd w:id="49"/>
      <w:bookmarkStart w:id="50" w:name="_Hlk193358940"/>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w:t>
      </w:r>
      <w:bookmarkEnd w:id="50"/>
      <w:r>
        <w:rPr>
          <w:rFonts w:hint="eastAsia"/>
          <w:color w:val="auto"/>
          <w:highlight w:val="none"/>
          <w:u w:val="single"/>
        </w:rPr>
        <w:t>要求。</w:t>
      </w:r>
    </w:p>
    <w:p w14:paraId="4274109A">
      <w:pPr>
        <w:spacing w:line="360" w:lineRule="auto"/>
        <w:ind w:firstLine="420" w:firstLineChars="200"/>
        <w:rPr>
          <w:color w:val="auto"/>
          <w:highlight w:val="none"/>
          <w:u w:val="singl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拟任</w:t>
      </w:r>
      <w:r>
        <w:rPr>
          <w:rFonts w:hint="eastAsia" w:ascii="宋体" w:hAnsi="宋体" w:cs="Arial"/>
          <w:snapToGrid w:val="0"/>
          <w:color w:val="auto"/>
          <w:kern w:val="0"/>
          <w:szCs w:val="21"/>
          <w:highlight w:val="none"/>
        </w:rPr>
        <w:t>项目经理</w:t>
      </w:r>
      <w:r>
        <w:rPr>
          <w:rFonts w:hint="eastAsia"/>
          <w:color w:val="auto"/>
          <w:highlight w:val="none"/>
        </w:rPr>
        <w:t>资格：具有风景园林专业或者园林绿化专业</w:t>
      </w:r>
      <w:r>
        <w:rPr>
          <w:color w:val="auto"/>
          <w:highlight w:val="none"/>
          <w:u w:val="single"/>
        </w:rPr>
        <w:t xml:space="preserve">     </w:t>
      </w:r>
      <w:r>
        <w:rPr>
          <w:rFonts w:hint="eastAsia"/>
          <w:color w:val="auto"/>
          <w:highlight w:val="none"/>
        </w:rPr>
        <w:t>级及以上职称（或具备市政公用工程专业</w:t>
      </w:r>
      <w:r>
        <w:rPr>
          <w:rFonts w:hint="eastAsia"/>
          <w:color w:val="auto"/>
          <w:highlight w:val="none"/>
          <w:u w:val="single"/>
        </w:rPr>
        <w:t>□壹级□贰级及以上</w:t>
      </w:r>
      <w:r>
        <w:rPr>
          <w:color w:val="auto"/>
          <w:highlight w:val="none"/>
        </w:rPr>
        <w:t xml:space="preserve"> </w:t>
      </w:r>
      <w:r>
        <w:rPr>
          <w:rFonts w:hint="eastAsia"/>
          <w:color w:val="auto"/>
          <w:highlight w:val="none"/>
        </w:rPr>
        <w:t>注册建造师执业资格证书）</w:t>
      </w:r>
      <w:r>
        <w:rPr>
          <w:rFonts w:hint="eastAsia"/>
          <w:color w:val="auto"/>
          <w:highlight w:val="none"/>
          <w:u w:val="single"/>
        </w:rPr>
        <w:t>，且须满足第二章投标人须知前附表第10.5款要求。（仅适用于园林绿化项目）</w:t>
      </w:r>
    </w:p>
    <w:bookmarkEnd w:id="47"/>
    <w:p w14:paraId="1D94C867">
      <w:pPr>
        <w:spacing w:line="360" w:lineRule="auto"/>
        <w:ind w:firstLine="420" w:firstLineChars="200"/>
        <w:rPr>
          <w:color w:val="auto"/>
          <w:highlight w:val="none"/>
          <w:u w:val="single"/>
        </w:rPr>
      </w:pPr>
      <w:r>
        <w:rPr>
          <w:rFonts w:hint="eastAsia"/>
          <w:color w:val="auto"/>
          <w:highlight w:val="none"/>
        </w:rPr>
        <w:t>4.2</w:t>
      </w:r>
      <w:r>
        <w:rPr>
          <w:color w:val="auto"/>
          <w:highlight w:val="none"/>
        </w:rPr>
        <w:t xml:space="preserve">  本次招标</w:t>
      </w:r>
      <w:r>
        <w:rPr>
          <w:rFonts w:hint="eastAsia"/>
          <w:color w:val="auto"/>
          <w:highlight w:val="none"/>
        </w:rPr>
        <w:t>：</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14:paraId="575743C4">
      <w:pPr>
        <w:spacing w:line="360" w:lineRule="auto"/>
        <w:rPr>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2" w:char="00A3"/>
      </w:r>
      <w:r>
        <w:rPr>
          <w:color w:val="auto"/>
          <w:highlight w:val="none"/>
        </w:rPr>
        <w:t>不接受联合体投标</w:t>
      </w:r>
    </w:p>
    <w:p w14:paraId="4B05F6F0">
      <w:pPr>
        <w:spacing w:line="360" w:lineRule="auto"/>
        <w:ind w:left="199" w:leftChars="95" w:firstLine="210" w:firstLineChars="100"/>
        <w:rPr>
          <w:color w:val="auto"/>
          <w:highlight w:val="none"/>
        </w:rPr>
      </w:pPr>
      <w:r>
        <w:rPr>
          <w:rFonts w:hint="eastAsia"/>
          <w:color w:val="auto"/>
          <w:highlight w:val="none"/>
        </w:rPr>
        <w:t>4.3  入围业绩要求：</w:t>
      </w:r>
    </w:p>
    <w:p w14:paraId="7D7005F7">
      <w:pPr>
        <w:spacing w:line="360" w:lineRule="auto"/>
        <w:ind w:left="199" w:leftChars="95" w:firstLine="210" w:firstLineChars="100"/>
        <w:rPr>
          <w:color w:val="auto"/>
          <w:highlight w:val="none"/>
        </w:rPr>
      </w:pPr>
      <w:r>
        <w:rPr>
          <w:color w:val="auto"/>
          <w:highlight w:val="none"/>
        </w:rPr>
        <w:t xml:space="preserve">4.3.1 </w:t>
      </w:r>
      <w:r>
        <w:rPr>
          <w:rFonts w:hint="eastAsia"/>
          <w:color w:val="auto"/>
          <w:highlight w:val="none"/>
        </w:rPr>
        <w:t>企业类似工程业绩</w:t>
      </w:r>
    </w:p>
    <w:p w14:paraId="1AA7ED2B">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343636B7">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要求投标截止时间前</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 的</w:t>
      </w:r>
      <w:r>
        <w:rPr>
          <w:rFonts w:hint="eastAsia"/>
          <w:color w:val="auto"/>
          <w:szCs w:val="21"/>
          <w:highlight w:val="none"/>
        </w:rPr>
        <w:t>施工业绩。</w:t>
      </w:r>
    </w:p>
    <w:p w14:paraId="5C4182C2">
      <w:pPr>
        <w:spacing w:line="360" w:lineRule="auto"/>
        <w:ind w:firstLine="420" w:firstLineChars="200"/>
        <w:rPr>
          <w:color w:val="auto"/>
          <w:szCs w:val="21"/>
          <w:highlight w:val="none"/>
        </w:rPr>
      </w:pPr>
      <w:r>
        <w:rPr>
          <w:color w:val="auto"/>
          <w:szCs w:val="21"/>
          <w:highlight w:val="none"/>
        </w:rPr>
        <w:t xml:space="preserve">4.3.2 </w:t>
      </w:r>
      <w:r>
        <w:rPr>
          <w:rFonts w:hint="eastAsia"/>
          <w:color w:val="auto"/>
          <w:szCs w:val="21"/>
          <w:highlight w:val="none"/>
        </w:rPr>
        <w:t>项目经理类似工程业绩</w:t>
      </w:r>
    </w:p>
    <w:p w14:paraId="37A025D4">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7722E82B">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要求投标截止时间前</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 的</w:t>
      </w:r>
      <w:r>
        <w:rPr>
          <w:rFonts w:hint="eastAsia"/>
          <w:color w:val="auto"/>
          <w:szCs w:val="21"/>
          <w:highlight w:val="none"/>
        </w:rPr>
        <w:t>施工业绩。</w:t>
      </w:r>
    </w:p>
    <w:p w14:paraId="7E45F08C">
      <w:pPr>
        <w:spacing w:line="360" w:lineRule="auto"/>
        <w:ind w:firstLine="420" w:firstLineChars="200"/>
        <w:rPr>
          <w:b/>
          <w:bCs/>
          <w:color w:val="auto"/>
          <w:szCs w:val="21"/>
          <w:highlight w:val="none"/>
        </w:rPr>
      </w:pPr>
      <w:r>
        <w:rPr>
          <w:rFonts w:hint="eastAsia"/>
          <w:color w:val="auto"/>
          <w:szCs w:val="21"/>
          <w:highlight w:val="none"/>
        </w:rPr>
        <w:t>注：</w:t>
      </w:r>
      <w:r>
        <w:rPr>
          <w:rFonts w:hint="eastAsia"/>
          <w:b/>
          <w:bCs/>
          <w:color w:val="auto"/>
          <w:szCs w:val="21"/>
          <w:highlight w:val="none"/>
        </w:rPr>
        <w:t>类似工程业绩牵引指标规模不高于招标项目选择指标或最高投标限价的50%，年限要求一般为近3年，轨道交通项目可放宽至5年。</w:t>
      </w:r>
    </w:p>
    <w:p w14:paraId="527C323F">
      <w:pPr>
        <w:spacing w:line="360" w:lineRule="auto"/>
        <w:ind w:firstLine="422" w:firstLineChars="200"/>
        <w:rPr>
          <w:color w:val="auto"/>
          <w:szCs w:val="21"/>
          <w:highlight w:val="none"/>
        </w:rPr>
      </w:pPr>
      <w:r>
        <w:rPr>
          <w:rFonts w:hint="eastAsia"/>
          <w:b/>
          <w:bCs/>
          <w:color w:val="auto"/>
          <w:szCs w:val="21"/>
          <w:highlight w:val="none"/>
        </w:rPr>
        <w:t>类似工程业绩具体要求详见第二章投标人须知前附表第</w:t>
      </w:r>
      <w:r>
        <w:rPr>
          <w:b/>
          <w:bCs/>
          <w:color w:val="auto"/>
          <w:szCs w:val="21"/>
          <w:highlight w:val="none"/>
        </w:rPr>
        <w:t>6.4</w:t>
      </w:r>
      <w:r>
        <w:rPr>
          <w:rFonts w:hint="eastAsia"/>
          <w:b/>
          <w:bCs/>
          <w:color w:val="auto"/>
          <w:szCs w:val="21"/>
          <w:highlight w:val="none"/>
        </w:rPr>
        <w:t>款。</w:t>
      </w:r>
    </w:p>
    <w:p w14:paraId="58930B27">
      <w:pPr>
        <w:spacing w:line="360" w:lineRule="auto"/>
        <w:ind w:left="199" w:leftChars="95" w:firstLine="211" w:firstLineChars="100"/>
        <w:rPr>
          <w:b/>
          <w:bCs/>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0003DF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建筑工程施工总承包</w:t>
      </w:r>
    </w:p>
    <w:p w14:paraId="71089E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（高度、建筑面积、单跨跨度、单项合同额）。</w:t>
      </w:r>
    </w:p>
    <w:p w14:paraId="62A6254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市政公用工程总承包</w:t>
      </w:r>
    </w:p>
    <w:p w14:paraId="15C3B9F7">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□桥梁</w:t>
      </w:r>
      <w:r>
        <w:rPr>
          <w:rFonts w:hint="eastAsia" w:ascii="宋体" w:hAnsi="宋体" w:cs="宋体"/>
          <w:color w:val="auto"/>
          <w:szCs w:val="21"/>
          <w:highlight w:val="none"/>
          <w:lang w:val="en-US" w:eastAsia="zh-CN"/>
        </w:rPr>
        <w:t>工程（长度、单跨</w:t>
      </w:r>
      <w:r>
        <w:rPr>
          <w:rFonts w:ascii="宋体" w:hAnsi="宋体" w:cs="宋体"/>
          <w:color w:val="auto"/>
          <w:szCs w:val="21"/>
          <w:highlight w:val="none"/>
        </w:rPr>
        <w:t>跨度、</w:t>
      </w:r>
      <w:r>
        <w:rPr>
          <w:rFonts w:hint="eastAsia" w:ascii="宋体" w:hAnsi="宋体" w:cs="宋体"/>
          <w:color w:val="auto"/>
          <w:szCs w:val="21"/>
          <w:highlight w:val="none"/>
          <w:lang w:val="en-US" w:eastAsia="zh-CN"/>
        </w:rPr>
        <w:t>单项合同额）</w:t>
      </w:r>
    </w:p>
    <w:p w14:paraId="304FC8E9">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□管道</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lang w:eastAsia="zh-CN"/>
        </w:rPr>
        <w:t>（</w:t>
      </w:r>
      <w:r>
        <w:rPr>
          <w:rFonts w:ascii="宋体" w:hAnsi="宋体" w:cs="宋体"/>
          <w:color w:val="auto"/>
          <w:szCs w:val="21"/>
          <w:highlight w:val="none"/>
        </w:rPr>
        <w:t>直径或者压力、</w:t>
      </w:r>
      <w:r>
        <w:rPr>
          <w:rFonts w:hint="eastAsia" w:ascii="宋体" w:hAnsi="宋体" w:cs="宋体"/>
          <w:color w:val="auto"/>
          <w:szCs w:val="21"/>
          <w:highlight w:val="none"/>
          <w:lang w:val="en-US" w:eastAsia="zh-CN"/>
        </w:rPr>
        <w:t>单项合同额）</w:t>
      </w:r>
    </w:p>
    <w:p w14:paraId="5DB8D412">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□供水</w:t>
      </w:r>
      <w:r>
        <w:rPr>
          <w:rFonts w:hint="eastAsia" w:ascii="宋体" w:hAnsi="宋体" w:cs="宋体"/>
          <w:color w:val="auto"/>
          <w:szCs w:val="21"/>
          <w:highlight w:val="none"/>
          <w:lang w:val="en-US" w:eastAsia="zh-CN"/>
        </w:rPr>
        <w:t>工程（供水</w:t>
      </w:r>
      <w:r>
        <w:rPr>
          <w:rFonts w:ascii="宋体" w:hAnsi="宋体" w:cs="宋体"/>
          <w:color w:val="auto"/>
          <w:szCs w:val="21"/>
          <w:highlight w:val="none"/>
        </w:rPr>
        <w:t>能力、</w:t>
      </w:r>
      <w:r>
        <w:rPr>
          <w:rFonts w:hint="eastAsia" w:ascii="宋体" w:hAnsi="宋体" w:cs="宋体"/>
          <w:color w:val="auto"/>
          <w:szCs w:val="21"/>
          <w:highlight w:val="none"/>
          <w:lang w:val="en-US" w:eastAsia="zh-CN"/>
        </w:rPr>
        <w:t>单项合同额）</w:t>
      </w:r>
    </w:p>
    <w:p w14:paraId="41764222">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供气工程（</w:t>
      </w:r>
      <w:r>
        <w:rPr>
          <w:rFonts w:ascii="宋体" w:hAnsi="宋体" w:cs="宋体"/>
          <w:color w:val="auto"/>
          <w:szCs w:val="21"/>
          <w:highlight w:val="none"/>
        </w:rPr>
        <w:t>供气能力、</w:t>
      </w:r>
      <w:r>
        <w:rPr>
          <w:rFonts w:hint="eastAsia" w:ascii="宋体" w:hAnsi="宋体" w:cs="宋体"/>
          <w:color w:val="auto"/>
          <w:szCs w:val="21"/>
          <w:highlight w:val="none"/>
          <w:lang w:val="en-US" w:eastAsia="zh-CN"/>
        </w:rPr>
        <w:t>单项合同额）</w:t>
      </w:r>
    </w:p>
    <w:p w14:paraId="4B38BE00">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供热工程（</w:t>
      </w:r>
      <w:r>
        <w:rPr>
          <w:rFonts w:ascii="宋体" w:hAnsi="宋体" w:cs="宋体"/>
          <w:color w:val="auto"/>
          <w:szCs w:val="21"/>
          <w:highlight w:val="none"/>
        </w:rPr>
        <w:t>供热能力、</w:t>
      </w:r>
      <w:r>
        <w:rPr>
          <w:rFonts w:hint="eastAsia" w:ascii="宋体" w:hAnsi="宋体" w:cs="宋体"/>
          <w:color w:val="auto"/>
          <w:szCs w:val="21"/>
          <w:highlight w:val="none"/>
          <w:lang w:val="en-US" w:eastAsia="zh-CN"/>
        </w:rPr>
        <w:t>单项合同额）</w:t>
      </w:r>
    </w:p>
    <w:p w14:paraId="22FEC2EB">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污水处理工程（</w:t>
      </w:r>
      <w:r>
        <w:rPr>
          <w:rFonts w:ascii="宋体" w:hAnsi="宋体" w:cs="宋体"/>
          <w:color w:val="auto"/>
          <w:szCs w:val="21"/>
          <w:highlight w:val="none"/>
        </w:rPr>
        <w:t>污水处理能力、</w:t>
      </w:r>
      <w:r>
        <w:rPr>
          <w:rFonts w:hint="eastAsia" w:ascii="宋体" w:hAnsi="宋体" w:cs="宋体"/>
          <w:color w:val="auto"/>
          <w:szCs w:val="21"/>
          <w:highlight w:val="none"/>
          <w:lang w:val="en-US" w:eastAsia="zh-CN"/>
        </w:rPr>
        <w:t>单项合同额）</w:t>
      </w:r>
    </w:p>
    <w:p w14:paraId="29D9DD70">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垃圾处理工程（</w:t>
      </w:r>
      <w:r>
        <w:rPr>
          <w:rFonts w:ascii="宋体" w:hAnsi="宋体" w:cs="宋体"/>
          <w:color w:val="auto"/>
          <w:szCs w:val="21"/>
          <w:highlight w:val="none"/>
        </w:rPr>
        <w:t>垃圾处理能力、</w:t>
      </w:r>
      <w:r>
        <w:rPr>
          <w:rFonts w:hint="eastAsia" w:ascii="宋体" w:hAnsi="宋体" w:cs="宋体"/>
          <w:color w:val="auto"/>
          <w:szCs w:val="21"/>
          <w:highlight w:val="none"/>
          <w:lang w:val="en-US" w:eastAsia="zh-CN"/>
        </w:rPr>
        <w:t>单项合同额）</w:t>
      </w:r>
    </w:p>
    <w:p w14:paraId="007D40DF">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城市广场工程（</w:t>
      </w:r>
      <w:r>
        <w:rPr>
          <w:rFonts w:hint="eastAsia" w:ascii="宋体" w:hAnsi="宋体" w:cs="宋体"/>
          <w:color w:val="auto"/>
          <w:szCs w:val="21"/>
          <w:highlight w:val="none"/>
        </w:rPr>
        <w:t>城市广场面积、</w:t>
      </w:r>
      <w:r>
        <w:rPr>
          <w:rFonts w:hint="eastAsia" w:ascii="宋体" w:hAnsi="宋体" w:cs="宋体"/>
          <w:color w:val="auto"/>
          <w:szCs w:val="21"/>
          <w:highlight w:val="none"/>
          <w:lang w:val="en-US" w:eastAsia="zh-CN"/>
        </w:rPr>
        <w:t>单项合同额）</w:t>
      </w:r>
    </w:p>
    <w:p w14:paraId="31ED6FEA">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rPr>
        <w:t>地面停车场</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硬质铺装面积、</w:t>
      </w:r>
      <w:r>
        <w:rPr>
          <w:rFonts w:hint="eastAsia" w:ascii="宋体" w:hAnsi="宋体" w:cs="宋体"/>
          <w:color w:val="auto"/>
          <w:szCs w:val="21"/>
          <w:highlight w:val="none"/>
          <w:lang w:val="en-US" w:eastAsia="zh-CN"/>
        </w:rPr>
        <w:t>单项合同额）</w:t>
      </w:r>
    </w:p>
    <w:p w14:paraId="57A066DF">
      <w:pPr>
        <w:spacing w:line="360" w:lineRule="auto"/>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隧道工程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断面面积、</w:t>
      </w:r>
      <w:r>
        <w:rPr>
          <w:rFonts w:hint="eastAsia" w:ascii="宋体" w:hAnsi="宋体" w:cs="宋体"/>
          <w:color w:val="auto"/>
          <w:szCs w:val="21"/>
          <w:highlight w:val="none"/>
          <w:lang w:val="en-US" w:eastAsia="zh-CN"/>
        </w:rPr>
        <w:t>单项合同额）</w:t>
      </w:r>
    </w:p>
    <w:p w14:paraId="0D89456F">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rPr>
        <w:t>地下交通工程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断面面积、</w:t>
      </w:r>
      <w:r>
        <w:rPr>
          <w:rFonts w:hint="eastAsia" w:ascii="宋体" w:hAnsi="宋体" w:cs="宋体"/>
          <w:color w:val="auto"/>
          <w:szCs w:val="21"/>
          <w:highlight w:val="none"/>
          <w:lang w:val="en-US" w:eastAsia="zh-CN"/>
        </w:rPr>
        <w:t>单项合同额）</w:t>
      </w:r>
    </w:p>
    <w:p w14:paraId="1363767B">
      <w:pPr>
        <w:spacing w:line="360" w:lineRule="auto"/>
        <w:ind w:firstLine="420"/>
        <w:rPr>
          <w:rFonts w:hint="eastAsia" w:ascii="宋体" w:hAnsi="宋体" w:cs="宋体"/>
          <w:color w:val="auto"/>
          <w:szCs w:val="21"/>
          <w:highlight w:val="none"/>
          <w:lang w:eastAsia="zh-CN"/>
        </w:rPr>
      </w:pPr>
      <w:r>
        <w:rPr>
          <w:rFonts w:ascii="宋体" w:hAnsi="宋体" w:cs="宋体"/>
          <w:color w:val="auto"/>
          <w:szCs w:val="21"/>
          <w:highlight w:val="none"/>
        </w:rPr>
        <w:t>□</w:t>
      </w:r>
      <w:r>
        <w:rPr>
          <w:rFonts w:hint="eastAsia" w:ascii="宋体" w:hAnsi="宋体" w:cs="宋体"/>
          <w:color w:val="auto"/>
          <w:szCs w:val="21"/>
          <w:highlight w:val="none"/>
        </w:rPr>
        <w:t>市政综合工程</w:t>
      </w:r>
      <w:r>
        <w:rPr>
          <w:rFonts w:hint="eastAsia" w:ascii="宋体" w:hAnsi="宋体" w:cs="宋体"/>
          <w:color w:val="auto"/>
          <w:szCs w:val="21"/>
          <w:highlight w:val="none"/>
          <w:lang w:eastAsia="zh-CN"/>
        </w:rPr>
        <w:t>（</w:t>
      </w:r>
      <w:r>
        <w:rPr>
          <w:rFonts w:ascii="宋体" w:hAnsi="宋体" w:cs="宋体"/>
          <w:color w:val="auto"/>
          <w:szCs w:val="21"/>
          <w:highlight w:val="none"/>
        </w:rPr>
        <w:t>单项合同额</w:t>
      </w:r>
      <w:r>
        <w:rPr>
          <w:rFonts w:hint="eastAsia" w:ascii="宋体" w:hAnsi="宋体" w:cs="宋体"/>
          <w:color w:val="auto"/>
          <w:szCs w:val="21"/>
          <w:highlight w:val="none"/>
          <w:lang w:eastAsia="zh-CN"/>
        </w:rPr>
        <w:t>）</w:t>
      </w:r>
    </w:p>
    <w:p w14:paraId="41D3039B">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地基基础工程</w:t>
      </w:r>
    </w:p>
    <w:p w14:paraId="637D038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（工业、民用建筑工程</w:t>
      </w:r>
      <w:r>
        <w:rPr>
          <w:rFonts w:hint="eastAsia" w:ascii="宋体" w:hAnsi="宋体" w:cs="宋体"/>
          <w:color w:val="auto"/>
          <w:szCs w:val="21"/>
          <w:highlight w:val="none"/>
        </w:rPr>
        <w:t>的高度，构筑物高度、深度、单桩设计荷载、开挖深度、单项合同额</w:t>
      </w:r>
      <w:r>
        <w:rPr>
          <w:rFonts w:ascii="宋体" w:hAnsi="宋体" w:cs="宋体"/>
          <w:color w:val="auto"/>
          <w:szCs w:val="21"/>
          <w:highlight w:val="none"/>
        </w:rPr>
        <w:t>）。</w:t>
      </w:r>
    </w:p>
    <w:p w14:paraId="6B37FE2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起重设备安装工程</w:t>
      </w:r>
    </w:p>
    <w:p w14:paraId="29986BC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塔式起重机、各类施工升降机和门式起重机的安装与拆卸的力矩、单项合同额</w:t>
      </w:r>
      <w:r>
        <w:rPr>
          <w:rFonts w:ascii="宋体" w:hAnsi="宋体" w:cs="宋体"/>
          <w:color w:val="auto"/>
          <w:szCs w:val="21"/>
          <w:highlight w:val="none"/>
        </w:rPr>
        <w:t>）。</w:t>
      </w:r>
    </w:p>
    <w:p w14:paraId="002F749E">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预拌混凝土</w:t>
      </w:r>
      <w:r>
        <w:rPr>
          <w:rFonts w:hint="eastAsia" w:ascii="宋体" w:hAnsi="宋体" w:cs="宋体"/>
          <w:b/>
          <w:bCs/>
          <w:color w:val="auto"/>
          <w:szCs w:val="21"/>
          <w:highlight w:val="none"/>
        </w:rPr>
        <w:t>工程</w:t>
      </w:r>
    </w:p>
    <w:p w14:paraId="47BAD8A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ascii="宋体" w:hAnsi="宋体" w:cs="宋体"/>
          <w:color w:val="auto"/>
          <w:szCs w:val="21"/>
          <w:highlight w:val="none"/>
        </w:rPr>
        <w:t>。</w:t>
      </w:r>
    </w:p>
    <w:p w14:paraId="6594B99A">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电子与智能化工程</w:t>
      </w:r>
    </w:p>
    <w:p w14:paraId="1DF2598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0D8235C2">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消防设施工程</w:t>
      </w:r>
    </w:p>
    <w:p w14:paraId="5EB2983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color w:val="auto"/>
          <w:highlight w:val="none"/>
        </w:rPr>
        <w:t>单体建筑面积、建筑物等级、火灾危险性级别</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63F8374E">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防水防腐保温工程</w:t>
      </w:r>
    </w:p>
    <w:p w14:paraId="36393D1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449C163C">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钢结构工程</w:t>
      </w:r>
    </w:p>
    <w:p w14:paraId="41565EC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21DCE6A3">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模板脚手架</w:t>
      </w:r>
    </w:p>
    <w:p w14:paraId="57A4586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p>
    <w:p w14:paraId="6A1CDFE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建筑装修装饰工程</w:t>
      </w:r>
    </w:p>
    <w:p w14:paraId="4548EB1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p>
    <w:p w14:paraId="0412123C">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建筑机电安装工程</w:t>
      </w:r>
    </w:p>
    <w:p w14:paraId="3F7B57A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1605D85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建筑幕墙工程</w:t>
      </w:r>
    </w:p>
    <w:p w14:paraId="55108F7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4C48F168">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古建筑工程</w:t>
      </w:r>
    </w:p>
    <w:p w14:paraId="77F2C96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、国家级工程、省级工程、单项合同额</w:t>
      </w:r>
      <w:r>
        <w:rPr>
          <w:rFonts w:ascii="宋体" w:hAnsi="宋体" w:cs="宋体"/>
          <w:color w:val="auto"/>
          <w:szCs w:val="21"/>
          <w:highlight w:val="none"/>
        </w:rPr>
        <w:t>）。</w:t>
      </w:r>
    </w:p>
    <w:p w14:paraId="78072D77">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城市及道路照明工程</w:t>
      </w:r>
    </w:p>
    <w:p w14:paraId="3A0828C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（单项合同额）。</w:t>
      </w:r>
    </w:p>
    <w:p w14:paraId="501E2FE3">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特种专业工程</w:t>
      </w:r>
    </w:p>
    <w:p w14:paraId="4CA3294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（单项合同额）。</w:t>
      </w:r>
    </w:p>
    <w:p w14:paraId="544FE01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桥梁工程</w:t>
      </w:r>
    </w:p>
    <w:p w14:paraId="62C6312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（单跨、桥梁长度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35F89F39">
      <w:pPr>
        <w:spacing w:line="360" w:lineRule="auto"/>
        <w:ind w:firstLine="420"/>
        <w:rPr>
          <w:rFonts w:hint="eastAsia" w:ascii="宋体" w:hAnsi="宋体" w:cs="宋体"/>
          <w:color w:val="auto"/>
          <w:szCs w:val="21"/>
          <w:highlight w:val="none"/>
        </w:rPr>
      </w:pPr>
      <w:r>
        <w:rPr>
          <w:rFonts w:ascii="宋体" w:hAnsi="宋体" w:cs="宋体"/>
          <w:b/>
          <w:bCs/>
          <w:color w:val="auto"/>
          <w:szCs w:val="21"/>
          <w:highlight w:val="none"/>
        </w:rPr>
        <w:t>隧道工程</w:t>
      </w:r>
    </w:p>
    <w:p w14:paraId="54544AA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（断面面积、单洞长度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62D9DDEE">
      <w:pPr>
        <w:spacing w:line="360" w:lineRule="auto"/>
        <w:ind w:firstLine="420"/>
        <w:rPr>
          <w:rFonts w:hint="eastAsia" w:ascii="宋体" w:hAnsi="宋体" w:cs="宋体"/>
          <w:b/>
          <w:bCs/>
          <w:color w:val="auto"/>
          <w:szCs w:val="21"/>
          <w:highlight w:val="none"/>
        </w:rPr>
      </w:pPr>
      <w:bookmarkStart w:id="51" w:name="_Hlk193117608"/>
      <w:r>
        <w:rPr>
          <w:rFonts w:hint="eastAsia" w:ascii="宋体" w:hAnsi="宋体" w:cs="宋体"/>
          <w:b/>
          <w:bCs/>
          <w:color w:val="auto"/>
          <w:szCs w:val="21"/>
          <w:highlight w:val="none"/>
        </w:rPr>
        <w:t>路面工程（适用于市政公用工程中单独招标的路面工程）</w:t>
      </w:r>
    </w:p>
    <w:p w14:paraId="1C91596D">
      <w:pPr>
        <w:snapToGrid w:val="0"/>
        <w:spacing w:line="360" w:lineRule="auto"/>
        <w:ind w:firstLine="420" w:firstLineChars="200"/>
        <w:rPr>
          <w:color w:val="auto"/>
          <w:highlight w:val="none"/>
        </w:rPr>
      </w:pPr>
      <w:r>
        <w:rPr>
          <w:rFonts w:hint="eastAsia"/>
          <w:color w:val="auto"/>
          <w:highlight w:val="none"/>
        </w:rPr>
        <w:t>□</w:t>
      </w: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rPr>
        <w:t>、单项合同额</w:t>
      </w:r>
      <w:r>
        <w:rPr>
          <w:rFonts w:hint="eastAsia"/>
          <w:color w:val="auto"/>
          <w:highlight w:val="none"/>
        </w:rPr>
        <w:t>）</w:t>
      </w:r>
    </w:p>
    <w:p w14:paraId="5E4EB033">
      <w:pPr>
        <w:snapToGrid w:val="0"/>
        <w:spacing w:line="360" w:lineRule="auto"/>
        <w:rPr>
          <w:rFonts w:hint="eastAsia" w:ascii="宋体" w:hAnsi="宋体" w:cs="宋体"/>
          <w:b/>
          <w:bCs/>
          <w:color w:val="auto"/>
          <w:szCs w:val="21"/>
          <w:highlight w:val="none"/>
        </w:rPr>
      </w:pPr>
      <w:r>
        <w:rPr>
          <w:b/>
          <w:bCs/>
          <w:color w:val="auto"/>
          <w:sz w:val="28"/>
          <w:szCs w:val="28"/>
          <w:highlight w:val="none"/>
        </w:rPr>
        <w:t xml:space="preserve">   </w:t>
      </w:r>
      <w:r>
        <w:rPr>
          <w:rFonts w:hint="eastAsia" w:ascii="宋体" w:hAnsi="宋体" w:cs="宋体"/>
          <w:b/>
          <w:bCs/>
          <w:color w:val="auto"/>
          <w:szCs w:val="21"/>
          <w:highlight w:val="none"/>
        </w:rPr>
        <w:t>交通工程（适用于市政公用工程中单独招标的交通工程）</w:t>
      </w:r>
    </w:p>
    <w:p w14:paraId="637D4864">
      <w:pPr>
        <w:snapToGrid w:val="0"/>
        <w:spacing w:line="360" w:lineRule="auto"/>
        <w:ind w:firstLine="316" w:firstLineChars="150"/>
        <w:rPr>
          <w:b/>
          <w:bCs/>
          <w:color w:val="auto"/>
          <w:highlight w:val="none"/>
        </w:rPr>
      </w:pPr>
      <w:r>
        <w:rPr>
          <w:rFonts w:hint="eastAsia"/>
          <w:b/>
          <w:bCs/>
          <w:color w:val="auto"/>
          <w:highlight w:val="none"/>
        </w:rPr>
        <w:t>□安全设施工程</w:t>
      </w:r>
    </w:p>
    <w:p w14:paraId="2FE3EB27">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rPr>
        <w:t>、单项合同额</w:t>
      </w:r>
      <w:r>
        <w:rPr>
          <w:rFonts w:hint="eastAsia"/>
          <w:color w:val="auto"/>
          <w:highlight w:val="none"/>
        </w:rPr>
        <w:t>）</w:t>
      </w:r>
    </w:p>
    <w:p w14:paraId="7085ED1F">
      <w:pPr>
        <w:snapToGrid w:val="0"/>
        <w:spacing w:line="360" w:lineRule="auto"/>
        <w:ind w:firstLine="316" w:firstLineChars="150"/>
        <w:rPr>
          <w:b/>
          <w:bCs/>
          <w:color w:val="auto"/>
          <w:highlight w:val="none"/>
        </w:rPr>
      </w:pPr>
      <w:r>
        <w:rPr>
          <w:rFonts w:hint="eastAsia"/>
          <w:b/>
          <w:bCs/>
          <w:color w:val="auto"/>
          <w:highlight w:val="none"/>
        </w:rPr>
        <w:t>□机电工程</w:t>
      </w:r>
    </w:p>
    <w:p w14:paraId="76995910">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rPr>
        <w:t>、单项合同额</w:t>
      </w:r>
      <w:r>
        <w:rPr>
          <w:rFonts w:hint="eastAsia"/>
          <w:color w:val="auto"/>
          <w:highlight w:val="none"/>
        </w:rPr>
        <w:t>）</w:t>
      </w:r>
    </w:p>
    <w:p w14:paraId="60BCE93C">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园林绿化工程</w:t>
      </w:r>
    </w:p>
    <w:p w14:paraId="43208499">
      <w:pPr>
        <w:snapToGrid w:val="0"/>
        <w:spacing w:line="360" w:lineRule="auto"/>
        <w:ind w:firstLine="315" w:firstLineChars="150"/>
        <w:rPr>
          <w:b/>
          <w:bCs/>
          <w:color w:val="auto"/>
          <w:sz w:val="28"/>
          <w:szCs w:val="28"/>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54F4E9B7">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土石方工程</w:t>
      </w:r>
    </w:p>
    <w:p w14:paraId="530F53D7">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bookmarkEnd w:id="51"/>
    <w:p w14:paraId="799A74E5">
      <w:pPr>
        <w:spacing w:line="360" w:lineRule="auto"/>
        <w:ind w:left="199" w:leftChars="95" w:firstLine="210" w:firstLineChars="100"/>
        <w:rPr>
          <w:rFonts w:hint="eastAsia"/>
          <w:color w:val="auto"/>
          <w:highlight w:val="none"/>
        </w:rPr>
      </w:pPr>
      <w:bookmarkStart w:id="52" w:name="_Toc80006071"/>
      <w:bookmarkStart w:id="53" w:name="_Toc9178497"/>
    </w:p>
    <w:p w14:paraId="599298DE">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4</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6272DEED">
      <w:pPr>
        <w:spacing w:line="360" w:lineRule="auto"/>
        <w:ind w:left="199" w:leftChars="95" w:firstLine="210" w:firstLineChars="100"/>
        <w:rPr>
          <w:color w:val="auto"/>
          <w:highlight w:val="none"/>
        </w:rPr>
      </w:pPr>
      <w:r>
        <w:rPr>
          <w:rFonts w:hint="eastAsia"/>
          <w:color w:val="auto"/>
          <w:highlight w:val="none"/>
        </w:rPr>
        <w:t>4.5 其他</w:t>
      </w:r>
      <w:r>
        <w:rPr>
          <w:color w:val="auto"/>
          <w:highlight w:val="none"/>
          <w:u w:val="single"/>
        </w:rPr>
        <w:t xml:space="preserve">       </w:t>
      </w:r>
      <w:r>
        <w:rPr>
          <w:rFonts w:hint="eastAsia"/>
          <w:color w:val="auto"/>
          <w:highlight w:val="none"/>
          <w:u w:val="single"/>
        </w:rPr>
        <w:t xml:space="preserve">    </w:t>
      </w:r>
      <w:r>
        <w:rPr>
          <w:rFonts w:hint="eastAsia"/>
          <w:color w:val="auto"/>
          <w:highlight w:val="none"/>
        </w:rPr>
        <w:t>。</w:t>
      </w:r>
    </w:p>
    <w:p w14:paraId="30F6D7EB">
      <w:pPr>
        <w:spacing w:line="360" w:lineRule="auto"/>
        <w:ind w:left="199" w:leftChars="95" w:firstLine="210" w:firstLineChars="100"/>
        <w:rPr>
          <w:color w:val="auto"/>
          <w:highlight w:val="none"/>
        </w:rPr>
      </w:pPr>
    </w:p>
    <w:bookmarkEnd w:id="52"/>
    <w:bookmarkEnd w:id="53"/>
    <w:p w14:paraId="384E0413">
      <w:pPr>
        <w:pStyle w:val="3"/>
        <w:spacing w:before="0" w:after="0" w:line="360" w:lineRule="auto"/>
        <w:rPr>
          <w:rFonts w:ascii="Times New Roman" w:hAnsi="Times New Roman" w:eastAsia="黑体"/>
          <w:color w:val="auto"/>
          <w:highlight w:val="none"/>
        </w:rPr>
      </w:pPr>
      <w:bookmarkStart w:id="54" w:name="_Toc211498560"/>
      <w:bookmarkStart w:id="55" w:name="_Toc80006073"/>
      <w:bookmarkStart w:id="56" w:name="_Toc9178501"/>
      <w:bookmarkStart w:id="57" w:name="_Toc300677964"/>
      <w:r>
        <w:rPr>
          <w:rFonts w:ascii="Times New Roman" w:hAnsi="Times New Roman" w:eastAsia="黑体"/>
          <w:color w:val="auto"/>
          <w:highlight w:val="none"/>
        </w:rPr>
        <w:t>5.招标文件的获取</w:t>
      </w:r>
      <w:bookmarkEnd w:id="54"/>
      <w:bookmarkEnd w:id="55"/>
      <w:bookmarkEnd w:id="56"/>
      <w:bookmarkEnd w:id="57"/>
    </w:p>
    <w:p w14:paraId="664B3077">
      <w:pPr>
        <w:widowControl/>
        <w:tabs>
          <w:tab w:val="left" w:pos="360"/>
        </w:tabs>
        <w:spacing w:line="360" w:lineRule="auto"/>
        <w:ind w:firstLine="420" w:firstLineChars="200"/>
        <w:jc w:val="left"/>
        <w:rPr>
          <w:color w:val="auto"/>
          <w:szCs w:val="21"/>
          <w:highlight w:val="none"/>
          <w:u w:val="single"/>
        </w:rPr>
      </w:pPr>
      <w:r>
        <w:rPr>
          <w:color w:val="auto"/>
          <w:szCs w:val="21"/>
          <w:highlight w:val="none"/>
        </w:rPr>
        <w:t>5.1 有投标意愿者，请于</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时止（北京时间，下同）</w:t>
      </w: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电子招标投标交易平台名称  </w:t>
      </w:r>
      <w:r>
        <w:rPr>
          <w:color w:val="auto"/>
          <w:szCs w:val="21"/>
          <w:highlight w:val="none"/>
        </w:rPr>
        <w:t>下载</w:t>
      </w:r>
      <w:r>
        <w:rPr>
          <w:rFonts w:hint="eastAsia"/>
          <w:color w:val="auto"/>
          <w:szCs w:val="21"/>
          <w:highlight w:val="none"/>
        </w:rPr>
        <w:t>数据电文形式的</w:t>
      </w:r>
      <w:r>
        <w:rPr>
          <w:color w:val="auto"/>
          <w:szCs w:val="21"/>
          <w:highlight w:val="none"/>
        </w:rPr>
        <w:t>招标文件。招标文件包括图纸、工程量清单、最高投标限价、合同条款等</w:t>
      </w:r>
      <w:r>
        <w:rPr>
          <w:rFonts w:hint="eastAsia"/>
          <w:color w:val="auto"/>
          <w:szCs w:val="21"/>
          <w:highlight w:val="none"/>
        </w:rPr>
        <w:t>。</w:t>
      </w:r>
    </w:p>
    <w:p w14:paraId="549479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w:t>
      </w:r>
      <w:r>
        <w:rPr>
          <w:rFonts w:ascii="宋体" w:hAnsi="宋体"/>
          <w:color w:val="auto"/>
          <w:szCs w:val="21"/>
          <w:highlight w:val="none"/>
        </w:rPr>
        <w:t xml:space="preserve"> 招标人对招标文件、</w:t>
      </w:r>
      <w:r>
        <w:rPr>
          <w:rFonts w:hint="eastAsia" w:ascii="宋体" w:hAnsi="宋体"/>
          <w:color w:val="auto"/>
          <w:szCs w:val="21"/>
          <w:highlight w:val="none"/>
        </w:rPr>
        <w:t>图纸及</w:t>
      </w:r>
      <w:r>
        <w:rPr>
          <w:rFonts w:ascii="宋体" w:hAnsi="宋体"/>
          <w:color w:val="auto"/>
          <w:szCs w:val="21"/>
          <w:highlight w:val="none"/>
        </w:rPr>
        <w:t>工程量清单的修改、澄清答疑在</w:t>
      </w:r>
      <w:r>
        <w:rPr>
          <w:rFonts w:ascii="宋体" w:hAnsi="宋体"/>
          <w:color w:val="auto"/>
          <w:szCs w:val="21"/>
          <w:highlight w:val="none"/>
          <w:u w:val="single"/>
        </w:rPr>
        <w:t xml:space="preserve">  </w:t>
      </w:r>
      <w:r>
        <w:rPr>
          <w:rFonts w:hint="eastAsia"/>
          <w:i/>
          <w:iCs/>
          <w:color w:val="auto"/>
          <w:szCs w:val="21"/>
          <w:highlight w:val="none"/>
          <w:u w:val="single"/>
        </w:rPr>
        <w:t xml:space="preserve"> 电子招标投标交易平台名称 </w:t>
      </w:r>
      <w:r>
        <w:rPr>
          <w:rFonts w:hint="eastAsia"/>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发布，投标</w:t>
      </w:r>
      <w:r>
        <w:rPr>
          <w:color w:val="auto"/>
          <w:szCs w:val="21"/>
          <w:highlight w:val="none"/>
        </w:rPr>
        <w:t>人</w:t>
      </w:r>
      <w:r>
        <w:rPr>
          <w:rFonts w:ascii="宋体" w:hAnsi="宋体"/>
          <w:color w:val="auto"/>
          <w:szCs w:val="21"/>
          <w:highlight w:val="none"/>
        </w:rPr>
        <w:t>自行下载。</w:t>
      </w:r>
    </w:p>
    <w:p w14:paraId="3B935475">
      <w:pPr>
        <w:spacing w:line="360" w:lineRule="auto"/>
        <w:ind w:left="1260" w:leftChars="200" w:hanging="840" w:hangingChars="400"/>
        <w:rPr>
          <w:rFonts w:hint="eastAsia" w:ascii="宋体" w:hAnsi="宋体"/>
          <w:color w:val="auto"/>
          <w:szCs w:val="21"/>
          <w:highlight w:val="none"/>
        </w:rPr>
      </w:pPr>
      <w:r>
        <w:rPr>
          <w:rFonts w:hint="eastAsia" w:ascii="宋体" w:hAnsi="宋体"/>
          <w:color w:val="auto"/>
          <w:szCs w:val="21"/>
          <w:highlight w:val="none"/>
        </w:rPr>
        <w:t xml:space="preserve">5.3 </w:t>
      </w:r>
      <w:bookmarkStart w:id="58" w:name="_Hlk210228531"/>
      <w:r>
        <w:rPr>
          <w:rFonts w:hint="eastAsia" w:ascii="宋体" w:hAnsi="宋体"/>
          <w:color w:val="auto"/>
          <w:szCs w:val="21"/>
          <w:highlight w:val="none"/>
        </w:rPr>
        <w:t>投标人要求澄清招标文件的截止时间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bookmarkEnd w:id="58"/>
    </w:p>
    <w:p w14:paraId="164F4494">
      <w:pPr>
        <w:spacing w:line="360" w:lineRule="auto"/>
        <w:ind w:firstLine="420" w:firstLineChars="200"/>
        <w:rPr>
          <w:rFonts w:hint="eastAsia" w:ascii="宋体" w:hAnsi="宋体"/>
          <w:color w:val="auto"/>
          <w:szCs w:val="21"/>
          <w:highlight w:val="none"/>
        </w:rPr>
      </w:pPr>
    </w:p>
    <w:p w14:paraId="120EB961">
      <w:pPr>
        <w:pStyle w:val="3"/>
        <w:spacing w:before="0" w:after="0" w:line="360" w:lineRule="auto"/>
        <w:rPr>
          <w:rFonts w:ascii="Times New Roman" w:hAnsi="Times New Roman" w:eastAsia="黑体"/>
          <w:color w:val="auto"/>
          <w:highlight w:val="none"/>
        </w:rPr>
      </w:pPr>
      <w:bookmarkStart w:id="59" w:name="_Toc300677966"/>
      <w:bookmarkStart w:id="60" w:name="_Toc211498561"/>
      <w:bookmarkStart w:id="61" w:name="_Toc9178502"/>
      <w:bookmarkStart w:id="62" w:name="_Toc80006074"/>
      <w:r>
        <w:rPr>
          <w:rFonts w:ascii="Times New Roman" w:hAnsi="Times New Roman" w:eastAsia="黑体"/>
          <w:color w:val="auto"/>
          <w:highlight w:val="none"/>
        </w:rPr>
        <w:t>6.投标文件的递交</w:t>
      </w:r>
      <w:bookmarkEnd w:id="59"/>
      <w:bookmarkEnd w:id="60"/>
      <w:bookmarkEnd w:id="61"/>
      <w:bookmarkEnd w:id="62"/>
    </w:p>
    <w:p w14:paraId="7DC82EAE">
      <w:pPr>
        <w:widowControl/>
        <w:tabs>
          <w:tab w:val="left" w:pos="360"/>
        </w:tabs>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2"/>
          <w:highlight w:val="none"/>
        </w:rPr>
        <w:t>6.1 电子</w:t>
      </w:r>
      <w:r>
        <w:rPr>
          <w:rFonts w:ascii="Arial" w:hAnsi="Arial" w:eastAsia="Arial" w:cs="Arial"/>
          <w:snapToGrid w:val="0"/>
          <w:color w:val="auto"/>
          <w:kern w:val="0"/>
          <w:szCs w:val="22"/>
          <w:highlight w:val="none"/>
        </w:rPr>
        <w:t>投标文件递交的截止时间（投标截止时间，下同）</w:t>
      </w:r>
      <w:r>
        <w:rPr>
          <w:rFonts w:ascii="Arial" w:hAnsi="Arial" w:eastAsia="Arial" w:cs="Arial"/>
          <w:snapToGrid w:val="0"/>
          <w:color w:val="auto"/>
          <w:kern w:val="0"/>
          <w:szCs w:val="21"/>
          <w:highlight w:val="none"/>
        </w:rPr>
        <w:t>及开标时间为</w:t>
      </w:r>
      <w:r>
        <w:rPr>
          <w:rFonts w:ascii="Arial" w:hAnsi="Arial" w:eastAsia="Arial" w:cs="Arial"/>
          <w:snapToGrid w:val="0"/>
          <w:color w:val="auto"/>
          <w:kern w:val="0"/>
          <w:szCs w:val="22"/>
          <w:highlight w:val="none"/>
        </w:rPr>
        <w:t>为</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年</w:t>
      </w:r>
      <w:r>
        <w:rPr>
          <w:rFonts w:ascii="Arial" w:hAnsi="Arial" w:eastAsia="Arial" w:cs="Arial"/>
          <w:snapToGrid w:val="0"/>
          <w:color w:val="auto"/>
          <w:kern w:val="0"/>
          <w:szCs w:val="22"/>
          <w:highlight w:val="none"/>
          <w:u w:val="single"/>
        </w:rPr>
        <w:t xml:space="preserve">  </w:t>
      </w:r>
      <w:r>
        <w:rPr>
          <w:rFonts w:hint="eastAsia" w:ascii="Arial" w:hAnsi="Arial" w:cs="Arial" w:eastAsiaTheme="minorEastAsia"/>
          <w:snapToGrid w:val="0"/>
          <w:color w:val="auto"/>
          <w:kern w:val="0"/>
          <w:szCs w:val="22"/>
          <w:highlight w:val="none"/>
          <w:u w:val="single"/>
        </w:rPr>
        <w:t xml:space="preserve">   </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月</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日</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时</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分</w:t>
      </w:r>
      <w:r>
        <w:rPr>
          <w:rFonts w:hint="eastAsia" w:ascii="Arial" w:hAnsi="Arial" w:cs="Arial"/>
          <w:snapToGrid w:val="0"/>
          <w:color w:val="auto"/>
          <w:kern w:val="0"/>
          <w:szCs w:val="22"/>
          <w:highlight w:val="none"/>
        </w:rPr>
        <w:t>。</w:t>
      </w:r>
      <w:r>
        <w:rPr>
          <w:rFonts w:ascii="Arial" w:hAnsi="Arial" w:eastAsia="Arial" w:cs="Arial"/>
          <w:snapToGrid w:val="0"/>
          <w:color w:val="auto"/>
          <w:kern w:val="0"/>
          <w:szCs w:val="21"/>
          <w:highlight w:val="none"/>
        </w:rPr>
        <w:t>请投标人登录</w:t>
      </w:r>
      <w:r>
        <w:rPr>
          <w:rFonts w:hint="eastAsia" w:ascii="Arial" w:hAnsi="Arial" w:eastAsia="Arial" w:cs="Arial"/>
          <w:snapToGrid w:val="0"/>
          <w:color w:val="auto"/>
          <w:kern w:val="0"/>
          <w:szCs w:val="21"/>
          <w:highlight w:val="none"/>
          <w:u w:val="single"/>
        </w:rPr>
        <w:t xml:space="preserve">  </w:t>
      </w:r>
      <w:r>
        <w:rPr>
          <w:rFonts w:hint="eastAsia" w:ascii="Arial" w:hAnsi="Arial" w:cs="Arial" w:eastAsiaTheme="minorEastAsia"/>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u w:val="single"/>
        </w:rPr>
        <w:t xml:space="preserve"> </w:t>
      </w:r>
      <w:r>
        <w:rPr>
          <w:rFonts w:hint="eastAsia"/>
          <w:color w:val="auto"/>
          <w:highlight w:val="none"/>
          <w:u w:val="singl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下载</w:t>
      </w:r>
      <w:r>
        <w:rPr>
          <w:rFonts w:hint="eastAsia" w:ascii="Arial" w:hAnsi="Arial" w:eastAsia="Arial" w:cs="Arial"/>
          <w:snapToGrid w:val="0"/>
          <w:color w:val="auto"/>
          <w:kern w:val="0"/>
          <w:szCs w:val="21"/>
          <w:highlight w:val="none"/>
        </w:rPr>
        <w:t>电子投标文件制作工具</w:t>
      </w:r>
      <w:r>
        <w:rPr>
          <w:rFonts w:ascii="Arial" w:hAnsi="Arial" w:eastAsia="Arial" w:cs="Arial"/>
          <w:snapToGrid w:val="0"/>
          <w:color w:val="auto"/>
          <w:kern w:val="0"/>
          <w:szCs w:val="21"/>
          <w:highlight w:val="none"/>
        </w:rPr>
        <w:t>编制投标文件，</w:t>
      </w:r>
      <w:r>
        <w:rPr>
          <w:rFonts w:hint="eastAsia" w:ascii="Arial" w:hAnsi="Arial" w:eastAsia="Arial" w:cs="Arial"/>
          <w:snapToGrid w:val="0"/>
          <w:color w:val="auto"/>
          <w:kern w:val="0"/>
          <w:szCs w:val="21"/>
          <w:highlight w:val="none"/>
        </w:rPr>
        <w:t>投标人应</w:t>
      </w:r>
      <w:r>
        <w:rPr>
          <w:rFonts w:ascii="Arial" w:hAnsi="Arial" w:eastAsia="Arial" w:cs="Arial"/>
          <w:snapToGrid w:val="0"/>
          <w:color w:val="auto"/>
          <w:kern w:val="0"/>
          <w:szCs w:val="21"/>
          <w:highlight w:val="none"/>
        </w:rPr>
        <w:t>在投标截止时间前通过</w:t>
      </w:r>
      <w:r>
        <w:rPr>
          <w:rFonts w:hint="eastAsia" w:ascii="Arial" w:hAnsi="Arial" w:eastAsia="Arial" w:cs="Arial"/>
          <w:snapToGrid w:val="0"/>
          <w:color w:val="auto"/>
          <w:kern w:val="0"/>
          <w:szCs w:val="22"/>
          <w:highlight w:val="none"/>
          <w:u w:val="single"/>
        </w:rPr>
        <w:t>（电子招标投标交易平台名称）</w:t>
      </w:r>
      <w:r>
        <w:rPr>
          <w:rFonts w:ascii="Arial" w:hAnsi="Arial" w:eastAsia="Arial" w:cs="Arial"/>
          <w:snapToGrid w:val="0"/>
          <w:color w:val="auto"/>
          <w:kern w:val="0"/>
          <w:szCs w:val="21"/>
          <w:highlight w:val="none"/>
        </w:rPr>
        <w:t>递交</w:t>
      </w:r>
      <w:r>
        <w:rPr>
          <w:rFonts w:hint="eastAsia" w:ascii="Arial" w:hAnsi="Arial" w:eastAsia="Arial" w:cs="Arial"/>
          <w:snapToGrid w:val="0"/>
          <w:color w:val="auto"/>
          <w:kern w:val="0"/>
          <w:szCs w:val="21"/>
          <w:highlight w:val="none"/>
        </w:rPr>
        <w:t>数据电文形式的投标文件</w:t>
      </w:r>
      <w:r>
        <w:rPr>
          <w:rFonts w:ascii="Arial" w:hAnsi="Arial" w:eastAsia="Arial" w:cs="Arial"/>
          <w:snapToGrid w:val="0"/>
          <w:color w:val="auto"/>
          <w:kern w:val="0"/>
          <w:szCs w:val="21"/>
          <w:highlight w:val="none"/>
        </w:rPr>
        <w:t>。逾期</w:t>
      </w:r>
      <w:r>
        <w:rPr>
          <w:rFonts w:hint="eastAsia" w:ascii="Arial" w:hAnsi="Arial" w:eastAsia="Arial" w:cs="Arial"/>
          <w:snapToGrid w:val="0"/>
          <w:color w:val="auto"/>
          <w:kern w:val="0"/>
          <w:szCs w:val="21"/>
          <w:highlight w:val="none"/>
        </w:rPr>
        <w:t>递交</w:t>
      </w:r>
      <w:r>
        <w:rPr>
          <w:rFonts w:ascii="Arial" w:hAnsi="Arial" w:eastAsia="Arial" w:cs="Arial"/>
          <w:snapToGrid w:val="0"/>
          <w:color w:val="auto"/>
          <w:kern w:val="0"/>
          <w:szCs w:val="21"/>
          <w:highlight w:val="none"/>
        </w:rPr>
        <w:t>的投标文件，</w:t>
      </w:r>
      <w:r>
        <w:rPr>
          <w:rFonts w:hint="eastAsia" w:ascii="Arial" w:hAnsi="Arial" w:eastAsia="Arial" w:cs="Arial"/>
          <w:snapToGrid w:val="0"/>
          <w:color w:val="auto"/>
          <w:kern w:val="0"/>
          <w:szCs w:val="21"/>
          <w:highlight w:val="none"/>
        </w:rPr>
        <w:t>电子招标投标交易平台</w:t>
      </w:r>
      <w:r>
        <w:rPr>
          <w:rFonts w:ascii="Arial" w:hAnsi="Arial" w:eastAsia="Arial" w:cs="Arial"/>
          <w:snapToGrid w:val="0"/>
          <w:color w:val="auto"/>
          <w:kern w:val="0"/>
          <w:szCs w:val="21"/>
          <w:highlight w:val="none"/>
        </w:rPr>
        <w:t>予以拒收。</w:t>
      </w:r>
    </w:p>
    <w:p w14:paraId="58396A6D">
      <w:pPr>
        <w:widowControl/>
        <w:tabs>
          <w:tab w:val="left" w:pos="360"/>
        </w:tabs>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cs="Arial"/>
          <w:snapToGrid w:val="0"/>
          <w:color w:val="auto"/>
          <w:kern w:val="0"/>
          <w:szCs w:val="22"/>
          <w:highlight w:val="none"/>
        </w:rPr>
        <w:t xml:space="preserve">6.2 </w:t>
      </w:r>
      <w:r>
        <w:rPr>
          <w:rFonts w:hint="eastAsia" w:ascii="Arial" w:hAnsi="Arial" w:eastAsia="Arial" w:cs="Arial"/>
          <w:snapToGrid w:val="0"/>
          <w:color w:val="auto"/>
          <w:kern w:val="0"/>
          <w:szCs w:val="22"/>
          <w:highlight w:val="none"/>
        </w:rPr>
        <w:t>电子投标文件的解密截止时间为投标截止时间后</w:t>
      </w:r>
      <w:r>
        <w:rPr>
          <w:rFonts w:hint="eastAsia" w:ascii="Arial" w:hAnsi="Arial" w:eastAsia="Arial" w:cs="Arial"/>
          <w:snapToGrid w:val="0"/>
          <w:color w:val="auto"/>
          <w:kern w:val="0"/>
          <w:szCs w:val="22"/>
          <w:highlight w:val="none"/>
          <w:u w:val="single"/>
        </w:rPr>
        <w:t xml:space="preserve">   </w:t>
      </w:r>
      <w:r>
        <w:rPr>
          <w:rFonts w:hint="eastAsia" w:ascii="Arial" w:hAnsi="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rPr>
        <w:t>分钟。请投标人确保投标文件如期解密。在开标现场解密的，请投标人自备解密电脑和网络。</w:t>
      </w:r>
    </w:p>
    <w:p w14:paraId="5B3481C6">
      <w:pPr>
        <w:pStyle w:val="3"/>
        <w:spacing w:before="0" w:after="0" w:line="360" w:lineRule="auto"/>
        <w:rPr>
          <w:rFonts w:ascii="Times New Roman" w:hAnsi="Times New Roman" w:eastAsia="黑体"/>
          <w:color w:val="auto"/>
          <w:highlight w:val="none"/>
        </w:rPr>
      </w:pPr>
      <w:bookmarkStart w:id="63" w:name="_Toc211498562"/>
      <w:bookmarkStart w:id="64" w:name="_Toc80006075"/>
      <w:bookmarkStart w:id="65" w:name="_Toc9178503"/>
      <w:bookmarkStart w:id="66" w:name="_Toc300677969"/>
      <w:r>
        <w:rPr>
          <w:rFonts w:hint="eastAsia" w:ascii="Times New Roman" w:hAnsi="Times New Roman" w:eastAsia="黑体"/>
          <w:color w:val="auto"/>
          <w:highlight w:val="none"/>
        </w:rPr>
        <w:t>7.资格审查</w:t>
      </w:r>
      <w:bookmarkEnd w:id="63"/>
    </w:p>
    <w:p w14:paraId="3228A256">
      <w:pPr>
        <w:pStyle w:val="3"/>
        <w:spacing w:before="0" w:after="0" w:line="360" w:lineRule="auto"/>
        <w:ind w:firstLine="420" w:firstLineChars="200"/>
        <w:rPr>
          <w:rFonts w:ascii="Arial" w:hAnsi="Arial" w:eastAsia="Arial" w:cs="Arial"/>
          <w:b w:val="0"/>
          <w:bCs w:val="0"/>
          <w:snapToGrid w:val="0"/>
          <w:color w:val="auto"/>
          <w:kern w:val="0"/>
          <w:sz w:val="21"/>
          <w:szCs w:val="22"/>
          <w:highlight w:val="none"/>
        </w:rPr>
      </w:pPr>
      <w:bookmarkStart w:id="67" w:name="_Toc193802615"/>
      <w:bookmarkStart w:id="68" w:name="_Toc193801658"/>
      <w:bookmarkStart w:id="69" w:name="_Toc211498563"/>
      <w:bookmarkStart w:id="70" w:name="_Toc193802235"/>
      <w:r>
        <w:rPr>
          <w:rFonts w:hint="eastAsia" w:ascii="宋体" w:hAnsi="宋体" w:cs="宋体"/>
          <w:b w:val="0"/>
          <w:bCs w:val="0"/>
          <w:snapToGrid w:val="0"/>
          <w:color w:val="auto"/>
          <w:kern w:val="0"/>
          <w:sz w:val="21"/>
          <w:szCs w:val="22"/>
          <w:highlight w:val="none"/>
        </w:rPr>
        <w:t>采用资格后审方式</w:t>
      </w:r>
      <w:bookmarkEnd w:id="67"/>
      <w:bookmarkEnd w:id="68"/>
      <w:bookmarkEnd w:id="69"/>
      <w:bookmarkEnd w:id="70"/>
      <w:r>
        <w:rPr>
          <w:rFonts w:hint="eastAsia" w:ascii="Arial" w:hAnsi="Arial" w:eastAsia="Arial" w:cs="Arial"/>
          <w:b w:val="0"/>
          <w:bCs w:val="0"/>
          <w:snapToGrid w:val="0"/>
          <w:color w:val="auto"/>
          <w:kern w:val="0"/>
          <w:sz w:val="21"/>
          <w:szCs w:val="22"/>
          <w:highlight w:val="none"/>
        </w:rPr>
        <w:t xml:space="preserve"> </w:t>
      </w:r>
    </w:p>
    <w:p w14:paraId="373E76F2">
      <w:pPr>
        <w:pStyle w:val="3"/>
        <w:spacing w:before="0" w:after="0" w:line="360" w:lineRule="auto"/>
        <w:rPr>
          <w:rFonts w:ascii="Times New Roman" w:hAnsi="Times New Roman" w:eastAsia="黑体"/>
          <w:color w:val="auto"/>
          <w:szCs w:val="24"/>
          <w:highlight w:val="none"/>
        </w:rPr>
      </w:pPr>
      <w:bookmarkStart w:id="71" w:name="_Toc211498564"/>
      <w:r>
        <w:rPr>
          <w:rFonts w:hint="eastAsia" w:ascii="Times New Roman" w:hAnsi="Times New Roman" w:eastAsia="黑体"/>
          <w:color w:val="auto"/>
          <w:szCs w:val="24"/>
          <w:highlight w:val="none"/>
        </w:rPr>
        <w:t>8.评标办法</w:t>
      </w:r>
      <w:bookmarkStart w:id="72" w:name="_Hlk210228558"/>
      <w:r>
        <w:rPr>
          <w:rFonts w:hint="eastAsia" w:ascii="Times New Roman" w:hAnsi="Times New Roman" w:eastAsia="黑体"/>
          <w:color w:val="auto"/>
          <w:szCs w:val="24"/>
          <w:highlight w:val="none"/>
        </w:rPr>
        <w:t>及确定中标人方式</w:t>
      </w:r>
      <w:bookmarkEnd w:id="71"/>
      <w:bookmarkEnd w:id="72"/>
    </w:p>
    <w:p w14:paraId="0A592D0C">
      <w:pPr>
        <w:snapToGrid w:val="0"/>
        <w:spacing w:after="0" w:line="360" w:lineRule="auto"/>
        <w:ind w:firstLine="315" w:firstLineChars="150"/>
        <w:rPr>
          <w:color w:val="auto"/>
          <w:highlight w:val="none"/>
        </w:rPr>
      </w:pPr>
      <w:r>
        <w:rPr>
          <w:rFonts w:hint="eastAsia"/>
          <w:color w:val="auto"/>
          <w:highlight w:val="none"/>
        </w:rPr>
        <w:t>8.1评标方法</w:t>
      </w:r>
    </w:p>
    <w:p w14:paraId="5B9A02F5">
      <w:pPr>
        <w:snapToGrid w:val="0"/>
        <w:spacing w:after="0"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经评审的最低投标价法；</w:t>
      </w:r>
      <w:r>
        <w:rPr>
          <w:rFonts w:hint="eastAsia"/>
          <w:color w:val="auto"/>
          <w:highlight w:val="none"/>
        </w:rPr>
        <w:sym w:font="Wingdings 2" w:char="00A3"/>
      </w:r>
      <w:r>
        <w:rPr>
          <w:rFonts w:hint="eastAsia"/>
          <w:color w:val="auto"/>
          <w:highlight w:val="none"/>
        </w:rPr>
        <w:t>合理低价法；</w:t>
      </w:r>
      <w:r>
        <w:rPr>
          <w:rFonts w:hint="eastAsia"/>
          <w:color w:val="auto"/>
          <w:highlight w:val="none"/>
        </w:rPr>
        <w:sym w:font="Wingdings 2" w:char="00A3"/>
      </w:r>
      <w:r>
        <w:rPr>
          <w:rFonts w:hint="eastAsia"/>
          <w:color w:val="auto"/>
          <w:highlight w:val="none"/>
        </w:rPr>
        <w:t>技术评分最低标价法；</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5930B4FD">
      <w:pPr>
        <w:snapToGrid w:val="0"/>
        <w:spacing w:after="0" w:line="360" w:lineRule="auto"/>
        <w:ind w:firstLine="315" w:firstLineChars="150"/>
        <w:rPr>
          <w:color w:val="auto"/>
          <w:highlight w:val="none"/>
        </w:rPr>
      </w:pPr>
      <w:bookmarkStart w:id="73" w:name="_Hlk210228586"/>
      <w:r>
        <w:rPr>
          <w:rFonts w:hint="eastAsia"/>
          <w:color w:val="auto"/>
          <w:highlight w:val="none"/>
        </w:rPr>
        <w:t>8.2确定中标人方式</w:t>
      </w:r>
    </w:p>
    <w:p w14:paraId="06543D2A">
      <w:pPr>
        <w:snapToGrid w:val="0"/>
        <w:spacing w:after="0" w:line="360" w:lineRule="auto"/>
        <w:ind w:firstLine="315" w:firstLineChars="150"/>
        <w:rPr>
          <w:color w:val="auto"/>
          <w:highlight w:val="none"/>
        </w:rPr>
      </w:pPr>
      <w:r>
        <w:rPr>
          <w:color w:val="auto"/>
          <w:szCs w:val="21"/>
          <w:highlight w:val="none"/>
        </w:rPr>
        <w:sym w:font="Wingdings 2" w:char="00A3"/>
      </w:r>
      <w:r>
        <w:rPr>
          <w:rFonts w:hint="eastAsia"/>
          <w:color w:val="auto"/>
          <w:szCs w:val="21"/>
          <w:highlight w:val="none"/>
        </w:rPr>
        <w:t>排序法；</w:t>
      </w:r>
      <w:r>
        <w:rPr>
          <w:color w:val="auto"/>
          <w:szCs w:val="21"/>
          <w:highlight w:val="none"/>
        </w:rPr>
        <w:sym w:font="Wingdings 2" w:char="00A3"/>
      </w:r>
      <w:r>
        <w:rPr>
          <w:rFonts w:hint="eastAsia"/>
          <w:color w:val="auto"/>
          <w:szCs w:val="21"/>
          <w:highlight w:val="none"/>
        </w:rPr>
        <w:t>评定分离法</w:t>
      </w:r>
    </w:p>
    <w:bookmarkEnd w:id="73"/>
    <w:p w14:paraId="08D3863E">
      <w:pPr>
        <w:snapToGrid w:val="0"/>
        <w:spacing w:after="0"/>
        <w:ind w:firstLine="315" w:firstLineChars="150"/>
        <w:rPr>
          <w:rFonts w:eastAsia="黑体"/>
          <w:color w:val="auto"/>
          <w:highlight w:val="none"/>
        </w:rPr>
      </w:pPr>
    </w:p>
    <w:p w14:paraId="212E8EF6">
      <w:pPr>
        <w:pStyle w:val="3"/>
        <w:spacing w:before="0" w:after="0" w:line="360" w:lineRule="auto"/>
        <w:rPr>
          <w:rFonts w:ascii="Times New Roman" w:hAnsi="Times New Roman" w:eastAsia="黑体"/>
          <w:color w:val="auto"/>
          <w:highlight w:val="none"/>
        </w:rPr>
      </w:pPr>
      <w:bookmarkStart w:id="74" w:name="_Toc211498565"/>
      <w:r>
        <w:rPr>
          <w:rFonts w:hint="eastAsia" w:ascii="Times New Roman" w:hAnsi="Times New Roman" w:eastAsia="黑体"/>
          <w:color w:val="auto"/>
          <w:highlight w:val="none"/>
        </w:rPr>
        <w:t>9</w:t>
      </w:r>
      <w:r>
        <w:rPr>
          <w:rFonts w:ascii="Times New Roman" w:hAnsi="Times New Roman" w:eastAsia="黑体"/>
          <w:color w:val="auto"/>
          <w:highlight w:val="none"/>
        </w:rPr>
        <w:t>.发布公告的媒介</w:t>
      </w:r>
      <w:bookmarkEnd w:id="64"/>
      <w:bookmarkEnd w:id="65"/>
      <w:bookmarkEnd w:id="66"/>
      <w:bookmarkEnd w:id="74"/>
    </w:p>
    <w:p w14:paraId="23489764">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w:t>
      </w:r>
      <w:r>
        <w:rPr>
          <w:i/>
          <w:iCs/>
          <w:color w:val="auto"/>
          <w:highlight w:val="none"/>
          <w:u w:val="single"/>
        </w:rPr>
        <w:t>发布公告的媒介名称</w:t>
      </w:r>
      <w:r>
        <w:rPr>
          <w:rFonts w:hint="eastAsia"/>
          <w:color w:val="auto"/>
          <w:highlight w:val="none"/>
          <w:u w:val="single"/>
        </w:rPr>
        <w:t xml:space="preserve">  </w:t>
      </w:r>
      <w:r>
        <w:rPr>
          <w:color w:val="auto"/>
          <w:highlight w:val="none"/>
        </w:rPr>
        <w:t>上发布。</w:t>
      </w:r>
    </w:p>
    <w:p w14:paraId="33BA5AB6">
      <w:pPr>
        <w:pStyle w:val="3"/>
        <w:spacing w:before="0" w:after="0" w:line="360" w:lineRule="auto"/>
        <w:rPr>
          <w:rFonts w:ascii="Times New Roman" w:hAnsi="Times New Roman" w:eastAsia="黑体"/>
          <w:color w:val="auto"/>
          <w:highlight w:val="none"/>
        </w:rPr>
      </w:pPr>
      <w:bookmarkStart w:id="75" w:name="_Toc80006077"/>
      <w:bookmarkStart w:id="76" w:name="_Toc300677970"/>
      <w:bookmarkStart w:id="77" w:name="_Toc211498566"/>
      <w:bookmarkStart w:id="78" w:name="_Toc9178505"/>
      <w:r>
        <w:rPr>
          <w:rFonts w:hint="eastAsia" w:ascii="Times New Roman" w:hAnsi="Times New Roman" w:eastAsia="黑体"/>
          <w:color w:val="auto"/>
          <w:highlight w:val="none"/>
        </w:rPr>
        <w:t>10</w:t>
      </w:r>
      <w:r>
        <w:rPr>
          <w:rFonts w:ascii="Times New Roman" w:hAnsi="Times New Roman" w:eastAsia="黑体"/>
          <w:color w:val="auto"/>
          <w:highlight w:val="none"/>
        </w:rPr>
        <w:t>其它</w:t>
      </w:r>
      <w:bookmarkEnd w:id="75"/>
      <w:bookmarkEnd w:id="76"/>
      <w:bookmarkEnd w:id="77"/>
      <w:bookmarkEnd w:id="78"/>
    </w:p>
    <w:p w14:paraId="432FB883">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本招标项目采用电子化招投标，投标人在投标前可在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下载招标文件等相关资料。</w:t>
      </w:r>
    </w:p>
    <w:p w14:paraId="5546DC1D">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请各投标人及时下载安装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的电子投标文件制作软件、造价软件（如需）</w:t>
      </w:r>
      <w:r>
        <w:rPr>
          <w:rFonts w:hint="eastAsia" w:ascii="Arial" w:hAnsi="Arial" w:eastAsia="Arial" w:cs="Arial"/>
          <w:snapToGrid w:val="0"/>
          <w:color w:val="auto"/>
          <w:kern w:val="0"/>
          <w:szCs w:val="21"/>
          <w:highlight w:val="none"/>
        </w:rPr>
        <w:t>，参与投标的投标人</w:t>
      </w:r>
      <w:r>
        <w:rPr>
          <w:rFonts w:hint="eastAsia" w:ascii="Arial" w:hAnsi="Arial" w:cs="Arial"/>
          <w:snapToGrid w:val="0"/>
          <w:color w:val="auto"/>
          <w:kern w:val="0"/>
          <w:szCs w:val="21"/>
          <w:highlight w:val="none"/>
        </w:rPr>
        <w:t>需使用电子投标文件制作软件制作投标文件</w:t>
      </w:r>
      <w:r>
        <w:rPr>
          <w:rFonts w:hint="eastAsia" w:ascii="Arial" w:hAnsi="Arial" w:eastAsia="Arial" w:cs="Arial"/>
          <w:snapToGrid w:val="0"/>
          <w:color w:val="auto"/>
          <w:kern w:val="0"/>
          <w:szCs w:val="21"/>
          <w:highlight w:val="none"/>
        </w:rPr>
        <w:t>。</w:t>
      </w:r>
    </w:p>
    <w:p w14:paraId="3DC29B6E">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各投标人须在</w:t>
      </w:r>
      <w:r>
        <w:rPr>
          <w:rFonts w:hint="eastAsia" w:ascii="Arial" w:hAnsi="Arial" w:cs="Arial"/>
          <w:snapToGrid w:val="0"/>
          <w:color w:val="auto"/>
          <w:kern w:val="0"/>
          <w:szCs w:val="21"/>
          <w:highlight w:val="none"/>
        </w:rPr>
        <w:t xml:space="preserve"> </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rPr>
        <w:t xml:space="preserve"> </w:t>
      </w:r>
      <w:r>
        <w:rPr>
          <w:rFonts w:hint="eastAsia" w:ascii="Arial" w:hAnsi="Arial" w:eastAsia="Arial" w:cs="Arial"/>
          <w:snapToGrid w:val="0"/>
          <w:color w:val="auto"/>
          <w:kern w:val="0"/>
          <w:szCs w:val="21"/>
          <w:highlight w:val="none"/>
        </w:rPr>
        <w:t>进行注册并办理企业数字证书（CA证书，含电子</w:t>
      </w:r>
      <w:r>
        <w:rPr>
          <w:rFonts w:hint="eastAsia" w:ascii="Arial" w:hAnsi="Arial" w:cs="Arial"/>
          <w:snapToGrid w:val="0"/>
          <w:color w:val="auto"/>
          <w:kern w:val="0"/>
          <w:szCs w:val="21"/>
          <w:highlight w:val="none"/>
        </w:rPr>
        <w:t>公章</w:t>
      </w:r>
      <w:r>
        <w:rPr>
          <w:rFonts w:hint="eastAsia" w:ascii="Arial" w:hAnsi="Arial" w:eastAsia="Arial" w:cs="Arial"/>
          <w:snapToGrid w:val="0"/>
          <w:color w:val="auto"/>
          <w:kern w:val="0"/>
          <w:szCs w:val="21"/>
          <w:highlight w:val="none"/>
        </w:rPr>
        <w:t>）、法人数字证书（含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）、签字章等。具体办理流程详见湖南省公共资源交易平台数字证书专区相关信息。</w:t>
      </w:r>
    </w:p>
    <w:p w14:paraId="5B762B9B">
      <w:pPr>
        <w:spacing w:after="0"/>
        <w:ind w:firstLine="525" w:firstLineChars="250"/>
        <w:rPr>
          <w:rFonts w:eastAsia="黑体"/>
          <w:color w:val="auto"/>
          <w:sz w:val="30"/>
          <w:highlight w:val="none"/>
        </w:rPr>
      </w:pPr>
      <w:r>
        <w:rPr>
          <w:rFonts w:hint="eastAsia" w:ascii="Arial" w:hAnsi="Arial" w:eastAsia="Arial" w:cs="Arial"/>
          <w:snapToGrid w:val="0"/>
          <w:color w:val="auto"/>
          <w:kern w:val="0"/>
          <w:szCs w:val="21"/>
          <w:highlight w:val="none"/>
        </w:rPr>
        <w:t>注：本项目投标过程中，电子系统</w:t>
      </w:r>
      <w:r>
        <w:rPr>
          <w:rFonts w:ascii="Arial" w:hAnsi="Arial" w:eastAsia="Arial" w:cs="Arial"/>
          <w:snapToGrid w:val="0"/>
          <w:color w:val="auto"/>
          <w:kern w:val="0"/>
          <w:szCs w:val="21"/>
          <w:highlight w:val="none"/>
        </w:rPr>
        <w:t>使用操作遇到问题时可及时向</w:t>
      </w:r>
      <w:r>
        <w:rPr>
          <w:rFonts w:hint="eastAsia" w:ascii="Arial" w:hAnsi="Arial" w:cs="Arial"/>
          <w:i/>
          <w:iCs/>
          <w:snapToGrid w:val="0"/>
          <w:color w:val="auto"/>
          <w:kern w:val="0"/>
          <w:szCs w:val="21"/>
          <w:highlight w:val="none"/>
          <w:u w:val="single"/>
        </w:rPr>
        <w:t xml:space="preserve"> 电子招标投标交易平台名称</w:t>
      </w:r>
      <w:r>
        <w:rPr>
          <w:rFonts w:hint="eastAsia" w:ascii="Arial" w:hAnsi="Arial" w:cs="Arial"/>
          <w:snapToGrid w:val="0"/>
          <w:color w:val="auto"/>
          <w:kern w:val="0"/>
          <w:szCs w:val="21"/>
          <w:highlight w:val="none"/>
        </w:rPr>
        <w:t>咨询</w:t>
      </w:r>
      <w:r>
        <w:rPr>
          <w:rFonts w:ascii="Arial" w:hAnsi="Arial" w:eastAsia="Arial" w:cs="Arial"/>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bookmarkStart w:id="79" w:name="_Toc9178506"/>
      <w:bookmarkStart w:id="80" w:name="_Toc300677971"/>
      <w:bookmarkStart w:id="81" w:name="_Toc80006078"/>
    </w:p>
    <w:p w14:paraId="3A8C2430">
      <w:pPr>
        <w:pStyle w:val="3"/>
        <w:spacing w:before="0" w:after="0" w:line="360" w:lineRule="auto"/>
        <w:rPr>
          <w:rFonts w:ascii="Times New Roman" w:hAnsi="Times New Roman" w:eastAsia="黑体"/>
          <w:color w:val="auto"/>
          <w:highlight w:val="none"/>
        </w:rPr>
      </w:pPr>
      <w:bookmarkStart w:id="82" w:name="_Toc211498567"/>
      <w:r>
        <w:rPr>
          <w:rFonts w:ascii="Times New Roman" w:hAnsi="Times New Roman" w:eastAsia="黑体"/>
          <w:color w:val="auto"/>
          <w:highlight w:val="none"/>
        </w:rPr>
        <w:t>1</w:t>
      </w:r>
      <w:r>
        <w:rPr>
          <w:rFonts w:hint="eastAsia" w:ascii="Times New Roman" w:hAnsi="Times New Roman" w:eastAsia="黑体"/>
          <w:color w:val="auto"/>
          <w:highlight w:val="none"/>
        </w:rPr>
        <w:t>1</w:t>
      </w:r>
      <w:r>
        <w:rPr>
          <w:rFonts w:ascii="Times New Roman" w:hAnsi="Times New Roman" w:eastAsia="黑体"/>
          <w:color w:val="auto"/>
          <w:highlight w:val="none"/>
        </w:rPr>
        <w:t>.联系方式</w:t>
      </w:r>
      <w:bookmarkEnd w:id="79"/>
      <w:bookmarkEnd w:id="80"/>
      <w:bookmarkEnd w:id="81"/>
      <w:bookmarkEnd w:id="82"/>
    </w:p>
    <w:p w14:paraId="081473FA">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219B277">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D36C893">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BA75BF4">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883C1B0">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1FF4B48">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6CBE6F1">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06D9156">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B847593">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7A6FAFAF">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5A024333">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30CA413">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6795802">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C0FBED7">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5F519A1">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24793C7">
      <w:pPr>
        <w:widowControl/>
        <w:kinsoku w:val="0"/>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ECEE50D">
      <w:pPr>
        <w:widowControl/>
        <w:kinsoku w:val="0"/>
        <w:autoSpaceDE w:val="0"/>
        <w:autoSpaceDN w:val="0"/>
        <w:spacing w:line="360" w:lineRule="auto"/>
        <w:ind w:firstLine="420" w:firstLineChars="200"/>
        <w:jc w:val="left"/>
        <w:textAlignment w:val="baseline"/>
        <w:rPr>
          <w:rFonts w:ascii="Arial" w:hAnsi="Arial" w:cs="Arial"/>
          <w:snapToGrid w:val="0"/>
          <w:color w:val="auto"/>
          <w:kern w:val="0"/>
          <w:szCs w:val="21"/>
          <w:highlight w:val="none"/>
        </w:rPr>
      </w:pPr>
      <w:r>
        <w:rPr>
          <w:rFonts w:ascii="Arial" w:hAnsi="Arial" w:eastAsia="Arial" w:cs="Arial"/>
          <w:snapToGrid w:val="0"/>
          <w:color w:val="auto"/>
          <w:kern w:val="0"/>
          <w:szCs w:val="21"/>
          <w:highlight w:val="none"/>
        </w:rPr>
        <w:br w:type="page"/>
      </w:r>
    </w:p>
    <w:bookmarkEnd w:id="17"/>
    <w:p w14:paraId="34376A76">
      <w:pPr>
        <w:pStyle w:val="2"/>
        <w:spacing w:before="0" w:after="0"/>
        <w:jc w:val="center"/>
        <w:rPr>
          <w:rFonts w:ascii="Times New Roman" w:hAnsi="Times New Roman" w:eastAsia="黑体"/>
          <w:b w:val="0"/>
          <w:bCs w:val="0"/>
          <w:color w:val="auto"/>
          <w:highlight w:val="none"/>
        </w:rPr>
      </w:pPr>
      <w:bookmarkStart w:id="83" w:name="_Toc300677986"/>
      <w:bookmarkStart w:id="84" w:name="_Toc80006079"/>
      <w:bookmarkStart w:id="85" w:name="_Toc211498568"/>
      <w:r>
        <w:rPr>
          <w:rFonts w:ascii="Times New Roman" w:hAnsi="Times New Roman" w:eastAsia="黑体"/>
          <w:b w:val="0"/>
          <w:bCs w:val="0"/>
          <w:color w:val="auto"/>
          <w:highlight w:val="none"/>
        </w:rPr>
        <w:t>第一章  投标邀请书</w:t>
      </w:r>
      <w:bookmarkEnd w:id="83"/>
      <w:r>
        <w:rPr>
          <w:rFonts w:hint="eastAsia" w:ascii="Times New Roman" w:hAnsi="Times New Roman" w:eastAsia="黑体"/>
          <w:b w:val="0"/>
          <w:bCs w:val="0"/>
          <w:color w:val="auto"/>
          <w:highlight w:val="none"/>
        </w:rPr>
        <w:t>（适用于邀请招标）</w:t>
      </w:r>
      <w:bookmarkEnd w:id="84"/>
      <w:bookmarkEnd w:id="85"/>
    </w:p>
    <w:p w14:paraId="4B782DA0">
      <w:pPr>
        <w:rPr>
          <w:color w:val="auto"/>
          <w:highlight w:val="none"/>
        </w:rPr>
      </w:pPr>
    </w:p>
    <w:p w14:paraId="4A6A04DF">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）施工投标邀请书</w:t>
      </w:r>
    </w:p>
    <w:p w14:paraId="1477FD5D">
      <w:pPr>
        <w:rPr>
          <w:color w:val="auto"/>
          <w:highlight w:val="none"/>
        </w:rPr>
      </w:pPr>
    </w:p>
    <w:p w14:paraId="2ACFF886">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14:paraId="181AC806">
      <w:pPr>
        <w:spacing w:line="480" w:lineRule="exact"/>
        <w:rPr>
          <w:color w:val="auto"/>
          <w:szCs w:val="21"/>
          <w:highlight w:val="none"/>
        </w:rPr>
      </w:pPr>
    </w:p>
    <w:p w14:paraId="4DC92FB6">
      <w:pPr>
        <w:pStyle w:val="3"/>
        <w:spacing w:before="0" w:after="0" w:line="360" w:lineRule="auto"/>
        <w:rPr>
          <w:rFonts w:ascii="Times New Roman" w:hAnsi="Times New Roman" w:eastAsia="黑体"/>
          <w:color w:val="auto"/>
          <w:highlight w:val="none"/>
        </w:rPr>
      </w:pPr>
      <w:bookmarkStart w:id="86" w:name="_Toc211498569"/>
      <w:bookmarkStart w:id="87" w:name="_Toc9178508"/>
      <w:bookmarkStart w:id="88" w:name="_Toc80006080"/>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86"/>
    </w:p>
    <w:p w14:paraId="60DD0C5C">
      <w:pPr>
        <w:widowControl/>
        <w:kinsoku w:val="0"/>
        <w:autoSpaceDE w:val="0"/>
        <w:autoSpaceDN w:val="0"/>
        <w:spacing w:line="360" w:lineRule="auto"/>
        <w:ind w:firstLine="420" w:firstLineChars="200"/>
        <w:jc w:val="left"/>
        <w:textAlignment w:val="baseline"/>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本招标项目</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（项目名称）已由</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（项目审批、核准或备案机关名称）以</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（批文名称及编号）批准建设，项目业主为</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，建设资金来自</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（资金来源），项目出资比例为</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，招标人为</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 xml:space="preserve">。招标代理机构为 </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 w:val="24"/>
          <w:szCs w:val="21"/>
          <w:highlight w:val="none"/>
        </w:rPr>
        <w:t>。</w:t>
      </w:r>
      <w:r>
        <w:rPr>
          <w:rFonts w:hint="eastAsia" w:ascii="宋体" w:hAnsi="宋体" w:cs="宋体"/>
          <w:snapToGrid w:val="0"/>
          <w:color w:val="auto"/>
          <w:kern w:val="0"/>
          <w:szCs w:val="21"/>
          <w:highlight w:val="none"/>
        </w:rPr>
        <w:t>项目已具备招标条件，现邀请你单位参加该项目的施工投标。</w:t>
      </w:r>
    </w:p>
    <w:p w14:paraId="200229F6">
      <w:pPr>
        <w:keepLines/>
        <w:widowControl/>
        <w:kinsoku w:val="0"/>
        <w:autoSpaceDE w:val="0"/>
        <w:autoSpaceDN w:val="0"/>
        <w:spacing w:line="360" w:lineRule="auto"/>
        <w:jc w:val="left"/>
        <w:textAlignment w:val="baseline"/>
        <w:outlineLvl w:val="1"/>
        <w:rPr>
          <w:b/>
          <w:bCs/>
          <w:color w:val="auto"/>
          <w:szCs w:val="21"/>
          <w:highlight w:val="none"/>
        </w:rPr>
      </w:pPr>
      <w:bookmarkStart w:id="89" w:name="_Toc211498570"/>
      <w:r>
        <w:rPr>
          <w:rFonts w:ascii="黑体" w:hAnsi="黑体" w:eastAsia="黑体" w:cs="宋体"/>
          <w:b/>
          <w:snapToGrid w:val="0"/>
          <w:color w:val="auto"/>
          <w:kern w:val="0"/>
          <w:sz w:val="32"/>
          <w:szCs w:val="32"/>
          <w:highlight w:val="none"/>
        </w:rPr>
        <w:t>2. 项目概况</w:t>
      </w:r>
      <w:bookmarkEnd w:id="89"/>
    </w:p>
    <w:p w14:paraId="62F2CADC">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16A0104D">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05D1F982">
      <w:pPr>
        <w:spacing w:line="360" w:lineRule="auto"/>
        <w:ind w:firstLine="420" w:firstLineChars="200"/>
        <w:rPr>
          <w:b/>
          <w:bCs/>
          <w:color w:val="auto"/>
          <w:szCs w:val="21"/>
          <w:highlight w:val="none"/>
        </w:rPr>
      </w:pPr>
      <w:r>
        <w:rPr>
          <w:rFonts w:hint="eastAsia"/>
          <w:color w:val="auto"/>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00345CDE">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（由招标人根据招标项目具体情况，从下列资质指标牵引项中勾选招标项目需要的指标中对应的最高资质等级的指标牵引项，由系统自动匹配生成所需要的最低资质等级。）</w:t>
      </w:r>
    </w:p>
    <w:p w14:paraId="6C25335D">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2.3.1建筑工程施工总承包</w:t>
      </w:r>
    </w:p>
    <w:p w14:paraId="25D4AAC7">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067D92FE">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6EA67EB0">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万平方米的建筑工程；</w:t>
      </w:r>
    </w:p>
    <w:p w14:paraId="5E95F280">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5C4A5C5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2.3.2市政公用工程总承包</w:t>
      </w:r>
    </w:p>
    <w:p w14:paraId="43E09CE7">
      <w:pPr>
        <w:snapToGrid w:val="0"/>
        <w:spacing w:line="360" w:lineRule="auto"/>
        <w:ind w:firstLine="315" w:firstLineChars="150"/>
        <w:rPr>
          <w:color w:val="auto"/>
          <w:highlight w:val="none"/>
        </w:rPr>
      </w:pPr>
      <w:r>
        <w:rPr>
          <w:rFonts w:hint="eastAsia"/>
          <w:color w:val="auto"/>
          <w:highlight w:val="none"/>
        </w:rPr>
        <w:t>□城市道路工程（含快速路）；</w:t>
      </w:r>
    </w:p>
    <w:p w14:paraId="0036A708">
      <w:pPr>
        <w:snapToGrid w:val="0"/>
        <w:spacing w:line="360" w:lineRule="auto"/>
        <w:ind w:firstLine="315" w:firstLineChars="150"/>
        <w:rPr>
          <w:color w:val="auto"/>
          <w:highlight w:val="none"/>
        </w:rPr>
      </w:pPr>
      <w:r>
        <w:rPr>
          <w:rFonts w:hint="eastAsia"/>
          <w:color w:val="auto"/>
          <w:highlight w:val="none"/>
        </w:rPr>
        <w:t>□城市道路工程(不含快速路)；</w:t>
      </w:r>
    </w:p>
    <w:p w14:paraId="483ED96D">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271C71D3">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779A922C">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7ECD8DEC">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365713E2">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万吨/日的污水泵站</w:t>
      </w:r>
      <w:r>
        <w:rPr>
          <w:rFonts w:hint="eastAsia"/>
          <w:color w:val="auto"/>
          <w:highlight w:val="none"/>
          <w:lang w:val="en-US" w:eastAsia="zh-CN"/>
        </w:rPr>
        <w:t>或</w:t>
      </w:r>
      <w:r>
        <w:rPr>
          <w:rFonts w:hint="eastAsia"/>
          <w:color w:val="auto"/>
          <w:highlight w:val="none"/>
        </w:rPr>
        <w:t>雨水泵站；</w:t>
      </w:r>
    </w:p>
    <w:p w14:paraId="41A015D8">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3192DEF7">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米污水或中水</w:t>
      </w:r>
      <w:r>
        <w:rPr>
          <w:rFonts w:hint="eastAsia"/>
          <w:color w:val="auto"/>
          <w:highlight w:val="none"/>
          <w:lang w:val="en-US" w:eastAsia="zh-CN"/>
        </w:rPr>
        <w:t>或雨水</w:t>
      </w:r>
      <w:r>
        <w:rPr>
          <w:rFonts w:hint="eastAsia"/>
          <w:color w:val="auto"/>
          <w:highlight w:val="none"/>
        </w:rPr>
        <w:t>管道；</w:t>
      </w:r>
    </w:p>
    <w:p w14:paraId="36565877">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公斤/平方厘米中压、低压燃气管道、调压站；</w:t>
      </w:r>
    </w:p>
    <w:p w14:paraId="2987B49A">
      <w:pPr>
        <w:snapToGrid w:val="0"/>
        <w:spacing w:line="360" w:lineRule="auto"/>
        <w:ind w:firstLine="315" w:firstLineChars="150"/>
        <w:rPr>
          <w:color w:val="auto"/>
          <w:highlight w:val="none"/>
        </w:rPr>
      </w:pPr>
      <w:r>
        <w:rPr>
          <w:rFonts w:hint="eastAsia"/>
          <w:color w:val="auto"/>
          <w:highlight w:val="none"/>
        </w:rPr>
        <w:t>□ 中压以上燃气管道、调压站；</w:t>
      </w:r>
    </w:p>
    <w:p w14:paraId="014F1AFB">
      <w:pPr>
        <w:snapToGrid w:val="0"/>
        <w:spacing w:line="360" w:lineRule="auto"/>
        <w:ind w:firstLine="315" w:firstLineChars="15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06D1BF53">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653135F6">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6AAE39BF">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031DA6F1">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 )；</w:t>
      </w:r>
    </w:p>
    <w:p w14:paraId="6813A544">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13C9B118">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0DB273B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2.3.3地基基础工程专业承包</w:t>
      </w:r>
    </w:p>
    <w:p w14:paraId="75BF3936">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米工业、民用建筑工程的地基基础工程；</w:t>
      </w:r>
    </w:p>
    <w:p w14:paraId="7F65DCBB">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米构筑物的地基基础工程；</w:t>
      </w:r>
    </w:p>
    <w:p w14:paraId="0163BB39">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米的刚性桩复合地基处理；</w:t>
      </w:r>
    </w:p>
    <w:p w14:paraId="25DB0C50">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米的其它地基处理工程；</w:t>
      </w:r>
    </w:p>
    <w:p w14:paraId="6ED6B708">
      <w:pPr>
        <w:snapToGrid w:val="0"/>
        <w:spacing w:line="360" w:lineRule="auto"/>
        <w:ind w:firstLine="315" w:firstLineChars="150"/>
        <w:rPr>
          <w:color w:val="auto"/>
          <w:highlight w:val="none"/>
        </w:rPr>
      </w:pPr>
      <w:r>
        <w:rPr>
          <w:rFonts w:hint="eastAsia"/>
          <w:color w:val="auto"/>
          <w:highlight w:val="none"/>
        </w:rPr>
        <w:t>□单桩承受设计荷载</w:t>
      </w:r>
      <w:r>
        <w:rPr>
          <w:rFonts w:hint="eastAsia"/>
          <w:color w:val="auto"/>
          <w:highlight w:val="none"/>
          <w:u w:val="single"/>
        </w:rPr>
        <w:t xml:space="preserve">     </w:t>
      </w:r>
      <w:r>
        <w:rPr>
          <w:rFonts w:hint="eastAsia"/>
          <w:color w:val="auto"/>
          <w:highlight w:val="none"/>
        </w:rPr>
        <w:t>千牛的桩基础工程；</w:t>
      </w:r>
    </w:p>
    <w:p w14:paraId="5E4DF16B">
      <w:pPr>
        <w:snapToGrid w:val="0"/>
        <w:spacing w:line="360" w:lineRule="auto"/>
        <w:ind w:firstLine="315" w:firstLineChars="150"/>
        <w:rPr>
          <w:color w:val="auto"/>
          <w:highlight w:val="none"/>
        </w:rPr>
      </w:pPr>
      <w:r>
        <w:rPr>
          <w:rFonts w:hint="eastAsia"/>
          <w:color w:val="auto"/>
          <w:highlight w:val="none"/>
        </w:rPr>
        <w:t>□开挖深度</w:t>
      </w:r>
      <w:r>
        <w:rPr>
          <w:rFonts w:hint="eastAsia"/>
          <w:color w:val="auto"/>
          <w:highlight w:val="none"/>
          <w:u w:val="single"/>
        </w:rPr>
        <w:t xml:space="preserve">     </w:t>
      </w:r>
      <w:r>
        <w:rPr>
          <w:rFonts w:hint="eastAsia"/>
          <w:color w:val="auto"/>
          <w:highlight w:val="none"/>
        </w:rPr>
        <w:t>米的基坑围护工程。</w:t>
      </w:r>
    </w:p>
    <w:p w14:paraId="48664D28">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2.3.4起重设备安装工程专业承包</w:t>
      </w:r>
    </w:p>
    <w:p w14:paraId="7ABD81DE">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千牛·米塔式起重机、各类施工升降机和门式起重机的安装与拆卸。</w:t>
      </w:r>
    </w:p>
    <w:p w14:paraId="75929CD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2.3.5预拌混凝土专业承包</w:t>
      </w:r>
    </w:p>
    <w:p w14:paraId="5B0FFC8E">
      <w:pPr>
        <w:snapToGrid w:val="0"/>
        <w:spacing w:line="360" w:lineRule="auto"/>
        <w:ind w:firstLine="315" w:firstLineChars="150"/>
        <w:rPr>
          <w:color w:val="auto"/>
          <w:highlight w:val="none"/>
        </w:rPr>
      </w:pPr>
      <w:r>
        <w:rPr>
          <w:rFonts w:hint="eastAsia"/>
          <w:color w:val="auto"/>
          <w:highlight w:val="none"/>
        </w:rPr>
        <w:t>□ 各种强度等级的混凝土和特种混凝土。</w:t>
      </w:r>
    </w:p>
    <w:p w14:paraId="611AC078">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2.3.6电子与智能化工程专业</w:t>
      </w:r>
    </w:p>
    <w:p w14:paraId="4806A02A">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6B2A3FA8">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1844B955">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2.3.7消防设施工程专业</w:t>
      </w:r>
    </w:p>
    <w:p w14:paraId="3275B933">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7D276000">
      <w:pPr>
        <w:snapToGrid w:val="0"/>
        <w:spacing w:line="360" w:lineRule="auto"/>
        <w:ind w:firstLine="315" w:firstLineChars="150"/>
        <w:rPr>
          <w:color w:val="auto"/>
          <w:highlight w:val="none"/>
        </w:rPr>
      </w:pPr>
      <w:r>
        <w:rPr>
          <w:rFonts w:hint="eastAsia"/>
          <w:color w:val="auto"/>
          <w:highlight w:val="none"/>
        </w:rPr>
        <w:t>（1）一类高层民用建筑以外的民用建筑；</w:t>
      </w:r>
    </w:p>
    <w:p w14:paraId="160010CA">
      <w:pPr>
        <w:snapToGrid w:val="0"/>
        <w:spacing w:line="360" w:lineRule="auto"/>
        <w:ind w:firstLine="315" w:firstLineChars="150"/>
        <w:rPr>
          <w:color w:val="auto"/>
          <w:highlight w:val="none"/>
        </w:rPr>
      </w:pPr>
      <w:r>
        <w:rPr>
          <w:rFonts w:hint="eastAsia"/>
          <w:color w:val="auto"/>
          <w:highlight w:val="none"/>
        </w:rPr>
        <w:t>（2）火灾危险性丙类以下的厂房、仓库、储罐、堆场。</w:t>
      </w:r>
    </w:p>
    <w:p w14:paraId="6261A587">
      <w:pPr>
        <w:snapToGrid w:val="0"/>
        <w:spacing w:line="360" w:lineRule="auto"/>
        <w:ind w:firstLine="315" w:firstLineChars="150"/>
        <w:rPr>
          <w:color w:val="auto"/>
          <w:highlight w:val="none"/>
        </w:rPr>
      </w:pPr>
      <w:r>
        <w:rPr>
          <w:rFonts w:hint="eastAsia"/>
          <w:color w:val="auto"/>
          <w:highlight w:val="none"/>
        </w:rPr>
        <w:t>□ 一类高层民用建筑；</w:t>
      </w:r>
    </w:p>
    <w:p w14:paraId="37595E02">
      <w:pPr>
        <w:snapToGrid w:val="0"/>
        <w:spacing w:line="360" w:lineRule="auto"/>
        <w:ind w:firstLine="315" w:firstLineChars="150"/>
        <w:rPr>
          <w:color w:val="auto"/>
          <w:highlight w:val="none"/>
        </w:rPr>
      </w:pPr>
      <w:r>
        <w:rPr>
          <w:rFonts w:hint="eastAsia"/>
          <w:color w:val="auto"/>
          <w:highlight w:val="none"/>
        </w:rPr>
        <w:t>□ 火灾危险性乙类以上的厂房、仓库、储罐、堆场。</w:t>
      </w:r>
    </w:p>
    <w:p w14:paraId="7E2524FD">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2.3.8防水防腐保温工程</w:t>
      </w:r>
    </w:p>
    <w:p w14:paraId="0F8E14AF">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万元建筑防水工程的施工;</w:t>
      </w:r>
    </w:p>
    <w:p w14:paraId="1EA9F04C">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万元的各类防腐保温工程。</w:t>
      </w:r>
    </w:p>
    <w:p w14:paraId="20EC605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2.3.9钢结构工程专业</w:t>
      </w:r>
    </w:p>
    <w:p w14:paraId="09A402EE">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41303B7A">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 xml:space="preserve">米； </w:t>
      </w:r>
    </w:p>
    <w:p w14:paraId="2F68B0A9">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w:t>
      </w:r>
    </w:p>
    <w:p w14:paraId="2D97CC5E">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65A265D4">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 xml:space="preserve">平方米。 </w:t>
      </w:r>
    </w:p>
    <w:p w14:paraId="78E84BF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2.3.10模板脚手架专业</w:t>
      </w:r>
    </w:p>
    <w:p w14:paraId="5BA587E9">
      <w:pPr>
        <w:snapToGrid w:val="0"/>
        <w:spacing w:line="360" w:lineRule="auto"/>
        <w:ind w:firstLine="315" w:firstLineChars="150"/>
        <w:rPr>
          <w:color w:val="auto"/>
          <w:highlight w:val="none"/>
        </w:rPr>
      </w:pPr>
      <w:r>
        <w:rPr>
          <w:rFonts w:hint="eastAsia"/>
          <w:color w:val="auto"/>
          <w:highlight w:val="none"/>
        </w:rPr>
        <w:t>□各类模板、脚手架工程的设计、制作、安装、施工。</w:t>
      </w:r>
    </w:p>
    <w:p w14:paraId="07C86DEB">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2.3.11建筑装修装饰工程专业</w:t>
      </w:r>
    </w:p>
    <w:p w14:paraId="61F57FB4">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0B343AF8">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2.3.12建筑机电安装工程专业</w:t>
      </w:r>
    </w:p>
    <w:p w14:paraId="15FBBE39">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6DB55BB1">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1D7B7752">
      <w:pPr>
        <w:snapToGrid w:val="0"/>
        <w:spacing w:line="360" w:lineRule="auto"/>
        <w:ind w:firstLine="315" w:firstLineChars="150"/>
        <w:rPr>
          <w:color w:val="auto"/>
          <w:highlight w:val="none"/>
        </w:rPr>
      </w:pPr>
      <w:r>
        <w:rPr>
          <w:rFonts w:hint="eastAsia"/>
          <w:color w:val="auto"/>
          <w:highlight w:val="none"/>
        </w:rPr>
        <w:t>□非标准钢结构件的制作、安装。</w:t>
      </w:r>
    </w:p>
    <w:p w14:paraId="5FD06824">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2.3.13建筑幕墙工程专业</w:t>
      </w:r>
    </w:p>
    <w:p w14:paraId="27BE88EA">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4CCC1408">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2.3.14古建筑工程专业</w:t>
      </w:r>
    </w:p>
    <w:p w14:paraId="4F11B4C8">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38650E0A">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0D8E3C41">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3FA3C0F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2.3.15城市及道路照明工程专业</w:t>
      </w:r>
    </w:p>
    <w:p w14:paraId="5C4F8F19">
      <w:pPr>
        <w:snapToGrid w:val="0"/>
        <w:spacing w:line="360" w:lineRule="auto"/>
        <w:ind w:firstLine="315" w:firstLineChars="150"/>
        <w:rPr>
          <w:b/>
          <w:bCs/>
          <w:color w:val="auto"/>
          <w:sz w:val="28"/>
          <w:szCs w:val="28"/>
          <w:highlight w:val="none"/>
        </w:rPr>
      </w:pPr>
      <w:r>
        <w:rPr>
          <w:rFonts w:hint="eastAsia"/>
          <w:color w:val="auto"/>
          <w:highlight w:val="none"/>
          <w:lang w:eastAsia="zh-CN"/>
        </w:rPr>
        <w:t>□</w:t>
      </w: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35A807E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2.3.16特种专业工程</w:t>
      </w:r>
    </w:p>
    <w:p w14:paraId="57BC5382">
      <w:pPr>
        <w:snapToGrid w:val="0"/>
        <w:spacing w:line="360" w:lineRule="auto"/>
        <w:ind w:firstLine="315" w:firstLineChars="150"/>
        <w:rPr>
          <w:rFonts w:hint="eastAsia"/>
          <w:color w:val="auto"/>
          <w:highlight w:val="none"/>
        </w:rPr>
      </w:pPr>
      <w:r>
        <w:rPr>
          <w:rFonts w:hint="eastAsia"/>
          <w:color w:val="auto"/>
          <w:highlight w:val="none"/>
        </w:rPr>
        <w:t>□建筑物纠偏和平移</w:t>
      </w:r>
    </w:p>
    <w:p w14:paraId="0D8E31C6">
      <w:pPr>
        <w:snapToGrid w:val="0"/>
        <w:spacing w:line="360" w:lineRule="auto"/>
        <w:ind w:firstLine="315" w:firstLineChars="150"/>
        <w:rPr>
          <w:rFonts w:hint="eastAsia"/>
          <w:color w:val="auto"/>
          <w:highlight w:val="none"/>
        </w:rPr>
      </w:pPr>
      <w:r>
        <w:rPr>
          <w:rFonts w:hint="eastAsia"/>
          <w:color w:val="auto"/>
          <w:highlight w:val="none"/>
        </w:rPr>
        <w:t>□结构补强</w:t>
      </w:r>
    </w:p>
    <w:p w14:paraId="51E41876">
      <w:pPr>
        <w:snapToGrid w:val="0"/>
        <w:spacing w:line="360" w:lineRule="auto"/>
        <w:ind w:firstLine="315" w:firstLineChars="150"/>
        <w:rPr>
          <w:rFonts w:hint="eastAsia"/>
          <w:color w:val="auto"/>
          <w:highlight w:val="none"/>
        </w:rPr>
      </w:pPr>
      <w:r>
        <w:rPr>
          <w:rFonts w:hint="eastAsia"/>
          <w:color w:val="auto"/>
          <w:highlight w:val="none"/>
        </w:rPr>
        <w:t>□特殊设备起重吊装</w:t>
      </w:r>
    </w:p>
    <w:p w14:paraId="2C77591A">
      <w:pPr>
        <w:snapToGrid w:val="0"/>
        <w:spacing w:line="360" w:lineRule="auto"/>
        <w:ind w:firstLine="315" w:firstLineChars="150"/>
        <w:rPr>
          <w:rFonts w:hint="eastAsia"/>
          <w:color w:val="auto"/>
          <w:highlight w:val="none"/>
        </w:rPr>
      </w:pPr>
      <w:r>
        <w:rPr>
          <w:rFonts w:hint="eastAsia"/>
          <w:color w:val="auto"/>
          <w:highlight w:val="none"/>
        </w:rPr>
        <w:t>□特种防雷</w:t>
      </w:r>
    </w:p>
    <w:p w14:paraId="128E46A8">
      <w:pPr>
        <w:snapToGrid w:val="0"/>
        <w:spacing w:line="360" w:lineRule="auto"/>
        <w:ind w:firstLine="315" w:firstLineChars="150"/>
        <w:rPr>
          <w:rFonts w:hint="eastAsia"/>
          <w:color w:val="auto"/>
          <w:highlight w:val="none"/>
        </w:rPr>
      </w:pPr>
      <w:r>
        <w:rPr>
          <w:rFonts w:hint="eastAsia"/>
          <w:color w:val="auto"/>
          <w:highlight w:val="none"/>
        </w:rPr>
        <w:t>□</w:t>
      </w:r>
      <w:r>
        <w:rPr>
          <w:rFonts w:hint="eastAsia"/>
          <w:color w:val="auto"/>
          <w:highlight w:val="none"/>
          <w:lang w:val="en-US" w:eastAsia="zh-CN"/>
        </w:rPr>
        <w:t>特种专业工程</w:t>
      </w:r>
    </w:p>
    <w:p w14:paraId="02AF168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2.3.17桥梁工程专业</w:t>
      </w:r>
    </w:p>
    <w:p w14:paraId="20419C26">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1DD38713">
      <w:pPr>
        <w:snapToGrid w:val="0"/>
        <w:spacing w:line="360" w:lineRule="auto"/>
        <w:ind w:firstLine="315" w:firstLineChars="15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14F4722F">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2.3.18隧道工程专业</w:t>
      </w:r>
    </w:p>
    <w:p w14:paraId="150ED63D">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3E8FE5DA">
      <w:pPr>
        <w:snapToGrid w:val="0"/>
        <w:spacing w:line="360" w:lineRule="auto"/>
        <w:ind w:firstLine="315" w:firstLineChars="15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28E4D878">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2.3.19公路路面工程专业</w:t>
      </w:r>
      <w:bookmarkStart w:id="90" w:name="_Hlk193723500"/>
      <w:r>
        <w:rPr>
          <w:rFonts w:hint="eastAsia"/>
          <w:b/>
          <w:bCs/>
          <w:color w:val="auto"/>
          <w:sz w:val="28"/>
          <w:szCs w:val="28"/>
          <w:highlight w:val="none"/>
        </w:rPr>
        <w:t>（适用于市政公用工程中单独招标的路面工程）</w:t>
      </w:r>
      <w:bookmarkEnd w:id="90"/>
    </w:p>
    <w:p w14:paraId="641169EF">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级公路路面工程的施工</w:t>
      </w:r>
    </w:p>
    <w:p w14:paraId="668326C1">
      <w:pPr>
        <w:snapToGrid w:val="0"/>
        <w:spacing w:line="360" w:lineRule="auto"/>
        <w:rPr>
          <w:b/>
          <w:bCs/>
          <w:color w:val="auto"/>
          <w:sz w:val="28"/>
          <w:szCs w:val="28"/>
          <w:highlight w:val="none"/>
        </w:rPr>
      </w:pPr>
      <w:r>
        <w:rPr>
          <w:rFonts w:hint="eastAsia"/>
          <w:b/>
          <w:bCs/>
          <w:color w:val="auto"/>
          <w:sz w:val="28"/>
          <w:szCs w:val="28"/>
          <w:highlight w:val="none"/>
        </w:rPr>
        <w:t xml:space="preserve">  2.3.20公路交通工程专业</w:t>
      </w:r>
      <w:bookmarkStart w:id="91" w:name="_Hlk193723516"/>
      <w:r>
        <w:rPr>
          <w:rFonts w:hint="eastAsia"/>
          <w:b/>
          <w:bCs/>
          <w:color w:val="auto"/>
          <w:sz w:val="28"/>
          <w:szCs w:val="28"/>
          <w:highlight w:val="none"/>
        </w:rPr>
        <w:t>（适用于市政公用工程中单独招标的交通工程）</w:t>
      </w:r>
      <w:bookmarkEnd w:id="91"/>
    </w:p>
    <w:p w14:paraId="6BE72CAB">
      <w:pPr>
        <w:snapToGrid w:val="0"/>
        <w:spacing w:line="360" w:lineRule="auto"/>
        <w:ind w:firstLine="315" w:firstLineChars="150"/>
        <w:rPr>
          <w:color w:val="auto"/>
          <w:highlight w:val="none"/>
        </w:rPr>
      </w:pPr>
      <w:r>
        <w:rPr>
          <w:rFonts w:hint="eastAsia"/>
          <w:color w:val="auto"/>
          <w:highlight w:val="none"/>
        </w:rPr>
        <w:t>□公路安全设施分项</w:t>
      </w:r>
    </w:p>
    <w:p w14:paraId="64C13A17">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级公路标志、标线、护栏、隔离栅、防眩板等公路安全设施工程的施工及安装。</w:t>
      </w:r>
    </w:p>
    <w:p w14:paraId="241A3805">
      <w:pPr>
        <w:snapToGrid w:val="0"/>
        <w:spacing w:line="360" w:lineRule="auto"/>
        <w:ind w:firstLine="315" w:firstLineChars="150"/>
        <w:rPr>
          <w:color w:val="auto"/>
          <w:highlight w:val="none"/>
        </w:rPr>
      </w:pPr>
      <w:r>
        <w:rPr>
          <w:rFonts w:hint="eastAsia"/>
          <w:color w:val="auto"/>
          <w:highlight w:val="none"/>
        </w:rPr>
        <w:t>□公路机电工程分项</w:t>
      </w:r>
    </w:p>
    <w:p w14:paraId="22D22124">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通信、监控、收费、干线传输系统、移动通信系统、光（电）缆敷设工程、紧急电话系统、交通信息采集系统、信息发布系统、中央控制系统、供配电、照明、智能交通管理等机电系统及配套工程系统的施工及安装；公路桥梁及隧道工程健康监测、通风、通信管道等机电系统及配套设备的施工及安装。</w:t>
      </w:r>
    </w:p>
    <w:p w14:paraId="418C8C3E">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2.3.21装配式建筑项目</w:t>
      </w:r>
    </w:p>
    <w:p w14:paraId="3FA707E4">
      <w:pPr>
        <w:snapToGrid w:val="0"/>
        <w:spacing w:line="360" w:lineRule="auto"/>
        <w:ind w:firstLine="210" w:firstLineChars="100"/>
        <w:rPr>
          <w:color w:val="auto"/>
          <w:highlight w:val="none"/>
        </w:rPr>
      </w:pPr>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14742BDA">
      <w:pPr>
        <w:snapToGrid w:val="0"/>
        <w:spacing w:line="360" w:lineRule="auto"/>
        <w:ind w:firstLine="280" w:firstLineChars="100"/>
        <w:rPr>
          <w:color w:val="auto"/>
          <w:sz w:val="28"/>
          <w:szCs w:val="28"/>
          <w:highlight w:val="none"/>
        </w:rPr>
      </w:pPr>
      <w:r>
        <w:rPr>
          <w:rFonts w:hint="eastAsia"/>
          <w:color w:val="auto"/>
          <w:sz w:val="28"/>
          <w:szCs w:val="28"/>
          <w:highlight w:val="none"/>
        </w:rPr>
        <w:t>□</w:t>
      </w:r>
      <w:r>
        <w:rPr>
          <w:rFonts w:hint="eastAsia"/>
          <w:b/>
          <w:bCs/>
          <w:color w:val="auto"/>
          <w:sz w:val="28"/>
          <w:szCs w:val="28"/>
          <w:highlight w:val="none"/>
        </w:rPr>
        <w:t>施工总承包工程</w:t>
      </w:r>
      <w:r>
        <w:rPr>
          <w:b/>
          <w:bCs/>
          <w:color w:val="auto"/>
          <w:sz w:val="28"/>
          <w:szCs w:val="28"/>
          <w:highlight w:val="none"/>
        </w:rPr>
        <w:t>+</w:t>
      </w:r>
      <w:r>
        <w:rPr>
          <w:rFonts w:hint="eastAsia"/>
          <w:b/>
          <w:bCs/>
          <w:color w:val="auto"/>
          <w:sz w:val="28"/>
          <w:szCs w:val="28"/>
          <w:highlight w:val="none"/>
        </w:rPr>
        <w:t>施工总承包工程：</w:t>
      </w:r>
    </w:p>
    <w:p w14:paraId="36EBB8B5">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招标人根据项目情况选择施工的工程类别并设置资质或资格组合。</w:t>
      </w:r>
    </w:p>
    <w:p w14:paraId="027F0A41">
      <w:pPr>
        <w:snapToGrid w:val="0"/>
        <w:spacing w:line="360" w:lineRule="auto"/>
        <w:ind w:firstLine="280" w:firstLineChars="100"/>
        <w:rPr>
          <w:color w:val="auto"/>
          <w:sz w:val="28"/>
          <w:szCs w:val="28"/>
          <w:highlight w:val="none"/>
        </w:rPr>
      </w:pPr>
      <w:r>
        <w:rPr>
          <w:rFonts w:hint="eastAsia"/>
          <w:color w:val="auto"/>
          <w:sz w:val="28"/>
          <w:szCs w:val="28"/>
          <w:highlight w:val="none"/>
        </w:rPr>
        <w:t>□</w:t>
      </w:r>
      <w:r>
        <w:rPr>
          <w:rFonts w:hint="eastAsia"/>
          <w:b/>
          <w:bCs/>
          <w:color w:val="auto"/>
          <w:sz w:val="28"/>
          <w:szCs w:val="28"/>
          <w:highlight w:val="none"/>
        </w:rPr>
        <w:t>建筑工程施工总承包工程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776DD555">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47FDADB3">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□市政公用工程施工总承包工程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6FF10DD1">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60C74696">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□专业工程</w:t>
      </w:r>
      <w:r>
        <w:rPr>
          <w:b/>
          <w:bCs/>
          <w:color w:val="auto"/>
          <w:sz w:val="28"/>
          <w:szCs w:val="28"/>
          <w:highlight w:val="none"/>
        </w:rPr>
        <w:t>+</w:t>
      </w:r>
      <w:r>
        <w:rPr>
          <w:rFonts w:hint="eastAsia"/>
          <w:b/>
          <w:bCs/>
          <w:color w:val="auto"/>
          <w:sz w:val="28"/>
          <w:szCs w:val="28"/>
          <w:highlight w:val="none"/>
        </w:rPr>
        <w:t>专业工程：</w:t>
      </w:r>
    </w:p>
    <w:p w14:paraId="73A4D280">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603D44AC">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采用多资质组合招标的工程项目，最多不超过三个（不包括装配式建筑项目要求具备的装配式资格）资质。</w:t>
      </w:r>
    </w:p>
    <w:p w14:paraId="7919EE3A">
      <w:pPr>
        <w:kinsoku w:val="0"/>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7D2DA6DD">
      <w:pPr>
        <w:kinsoku w:val="0"/>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 ；</w:t>
      </w:r>
    </w:p>
    <w:p w14:paraId="7AA88700">
      <w:pPr>
        <w:kinsoku w:val="0"/>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192D8138">
      <w:pPr>
        <w:snapToGrid w:val="0"/>
        <w:spacing w:line="360" w:lineRule="auto"/>
        <w:ind w:firstLine="420" w:firstLineChars="200"/>
        <w:rPr>
          <w:color w:val="auto"/>
          <w:szCs w:val="21"/>
          <w:highlight w:val="none"/>
        </w:rPr>
      </w:pPr>
      <w:r>
        <w:rPr>
          <w:rFonts w:hint="eastAsia" w:ascii="宋体" w:hAnsi="宋体" w:eastAsia="Arial" w:cs="Arial"/>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0CA31F6B">
      <w:pPr>
        <w:keepLines/>
        <w:kinsoku w:val="0"/>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92" w:name="_Toc211498571"/>
      <w:r>
        <w:rPr>
          <w:rFonts w:hint="eastAsia" w:ascii="黑体" w:hAnsi="黑体" w:eastAsia="黑体" w:cs="宋体"/>
          <w:b/>
          <w:snapToGrid w:val="0"/>
          <w:color w:val="auto"/>
          <w:kern w:val="0"/>
          <w:sz w:val="32"/>
          <w:szCs w:val="32"/>
          <w:highlight w:val="none"/>
        </w:rPr>
        <w:t>3.招标范围</w:t>
      </w:r>
      <w:bookmarkEnd w:id="92"/>
    </w:p>
    <w:p w14:paraId="4E6E1686">
      <w:pPr>
        <w:widowControl/>
        <w:kinsoku w:val="0"/>
        <w:autoSpaceDE w:val="0"/>
        <w:autoSpaceDN w:val="0"/>
        <w:spacing w:line="360" w:lineRule="auto"/>
        <w:ind w:firstLine="420" w:firstLineChars="200"/>
        <w:jc w:val="left"/>
        <w:textAlignment w:val="baseline"/>
        <w:rPr>
          <w:rFonts w:eastAsia="黑体"/>
          <w:color w:val="auto"/>
          <w:sz w:val="30"/>
          <w:highlight w:val="none"/>
          <w:u w:val="singl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w:t>
      </w:r>
      <w:r>
        <w:rPr>
          <w:rFonts w:hint="eastAsia" w:eastAsia="黑体"/>
          <w:color w:val="auto"/>
          <w:sz w:val="30"/>
          <w:highlight w:val="none"/>
          <w:u w:val="single"/>
        </w:rPr>
        <w:t xml:space="preserve">                  </w:t>
      </w:r>
      <w:r>
        <w:rPr>
          <w:rFonts w:hint="eastAsia" w:ascii="宋体" w:hAnsi="宋体" w:eastAsia="Arial" w:cs="Arial"/>
          <w:snapToGrid w:val="0"/>
          <w:color w:val="auto"/>
          <w:kern w:val="0"/>
          <w:szCs w:val="21"/>
          <w:highlight w:val="none"/>
        </w:rPr>
        <w:t xml:space="preserve">                            （招标人根据项目情况补充填写）。 </w:t>
      </w:r>
      <w:r>
        <w:rPr>
          <w:rFonts w:hint="eastAsia" w:eastAsia="黑体"/>
          <w:color w:val="auto"/>
          <w:sz w:val="30"/>
          <w:highlight w:val="none"/>
        </w:rPr>
        <w:t xml:space="preserve"> </w:t>
      </w:r>
    </w:p>
    <w:p w14:paraId="3AE22E71">
      <w:pPr>
        <w:pStyle w:val="3"/>
        <w:spacing w:before="0" w:after="0" w:line="360" w:lineRule="auto"/>
        <w:rPr>
          <w:rFonts w:ascii="Times New Roman" w:hAnsi="Times New Roman" w:eastAsia="黑体"/>
          <w:color w:val="auto"/>
          <w:highlight w:val="none"/>
        </w:rPr>
      </w:pPr>
      <w:bookmarkStart w:id="93" w:name="_Toc211498572"/>
      <w:r>
        <w:rPr>
          <w:rFonts w:hint="eastAsia" w:ascii="Times New Roman" w:hAnsi="Times New Roman" w:eastAsia="黑体"/>
          <w:color w:val="auto"/>
          <w:highlight w:val="none"/>
        </w:rPr>
        <w:t>4</w:t>
      </w:r>
      <w:r>
        <w:rPr>
          <w:rFonts w:ascii="Times New Roman" w:hAnsi="Times New Roman" w:eastAsia="黑体"/>
          <w:color w:val="auto"/>
          <w:highlight w:val="none"/>
        </w:rPr>
        <w:t>.</w:t>
      </w:r>
      <w:r>
        <w:rPr>
          <w:rFonts w:hint="eastAsia" w:ascii="Times New Roman" w:hAnsi="Times New Roman" w:eastAsia="黑体"/>
          <w:color w:val="auto"/>
          <w:highlight w:val="none"/>
        </w:rPr>
        <w:t>投标人</w:t>
      </w:r>
      <w:r>
        <w:rPr>
          <w:rFonts w:ascii="Times New Roman" w:hAnsi="Times New Roman" w:eastAsia="黑体"/>
          <w:color w:val="auto"/>
          <w:highlight w:val="none"/>
        </w:rPr>
        <w:t>资格要求</w:t>
      </w:r>
      <w:bookmarkEnd w:id="93"/>
    </w:p>
    <w:p w14:paraId="5F195B3D">
      <w:pPr>
        <w:widowControl/>
        <w:kinsoku w:val="0"/>
        <w:autoSpaceDE w:val="0"/>
        <w:autoSpaceDN w:val="0"/>
        <w:spacing w:line="360" w:lineRule="auto"/>
        <w:ind w:firstLine="420" w:firstLineChars="200"/>
        <w:jc w:val="left"/>
        <w:textAlignment w:val="baseline"/>
        <w:outlineLvl w:val="2"/>
        <w:rPr>
          <w:rFonts w:ascii="宋体" w:hAnsi="宋体" w:eastAsia="Arial" w:cs="Arial"/>
          <w:snapToGrid w:val="0"/>
          <w:color w:val="auto"/>
          <w:kern w:val="0"/>
          <w:szCs w:val="21"/>
          <w:highlight w:val="none"/>
        </w:rPr>
      </w:pPr>
      <w:bookmarkStart w:id="94" w:name="_Toc193801668"/>
      <w:bookmarkStart w:id="95" w:name="_Toc211498573"/>
      <w:bookmarkStart w:id="96" w:name="_Toc193802245"/>
      <w:bookmarkStart w:id="97" w:name="_Toc193802625"/>
      <w:r>
        <w:rPr>
          <w:rFonts w:hint="eastAsia" w:ascii="宋体" w:hAnsi="宋体" w:cs="Arial"/>
          <w:snapToGrid w:val="0"/>
          <w:color w:val="auto"/>
          <w:kern w:val="0"/>
          <w:szCs w:val="21"/>
          <w:highlight w:val="none"/>
        </w:rPr>
        <w:t>4</w:t>
      </w:r>
      <w:r>
        <w:rPr>
          <w:rFonts w:ascii="宋体" w:hAnsi="宋体" w:eastAsia="Arial" w:cs="Arial"/>
          <w:snapToGrid w:val="0"/>
          <w:color w:val="auto"/>
          <w:kern w:val="0"/>
          <w:szCs w:val="21"/>
          <w:highlight w:val="none"/>
        </w:rPr>
        <w:t xml:space="preserve">.1 </w:t>
      </w:r>
      <w:r>
        <w:rPr>
          <w:rFonts w:ascii="Arial" w:hAnsi="Arial" w:eastAsia="Arial" w:cs="Arial"/>
          <w:snapToGrid w:val="0"/>
          <w:color w:val="auto"/>
          <w:kern w:val="0"/>
          <w:szCs w:val="21"/>
          <w:highlight w:val="none"/>
        </w:rPr>
        <w:t>本次招标要求投标人具备以下</w:t>
      </w:r>
      <w:r>
        <w:rPr>
          <w:rFonts w:hint="eastAsia" w:ascii="Arial" w:hAnsi="Arial" w:cs="Arial"/>
          <w:snapToGrid w:val="0"/>
          <w:color w:val="auto"/>
          <w:kern w:val="0"/>
          <w:szCs w:val="21"/>
          <w:highlight w:val="none"/>
        </w:rPr>
        <w:t>资格条件</w:t>
      </w:r>
      <w:r>
        <w:rPr>
          <w:rFonts w:ascii="Arial" w:hAnsi="Arial" w:eastAsia="Arial" w:cs="Arial"/>
          <w:snapToGrid w:val="0"/>
          <w:color w:val="auto"/>
          <w:kern w:val="0"/>
          <w:szCs w:val="21"/>
          <w:highlight w:val="none"/>
        </w:rPr>
        <w:t>：</w:t>
      </w:r>
      <w:bookmarkEnd w:id="94"/>
      <w:bookmarkEnd w:id="95"/>
      <w:bookmarkEnd w:id="96"/>
      <w:bookmarkEnd w:id="97"/>
    </w:p>
    <w:p w14:paraId="1B8E78DF">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r>
        <w:rPr>
          <w:rFonts w:hint="eastAsia"/>
          <w:color w:val="auto"/>
          <w:highlight w:val="none"/>
        </w:rPr>
        <w:t>。</w:t>
      </w:r>
      <w:r>
        <w:rPr>
          <w:color w:val="auto"/>
          <w:highlight w:val="none"/>
        </w:rPr>
        <w:t xml:space="preserve"> </w:t>
      </w:r>
    </w:p>
    <w:p w14:paraId="0B416CB3">
      <w:pPr>
        <w:spacing w:line="360" w:lineRule="auto"/>
        <w:ind w:firstLine="420" w:firstLineChars="200"/>
        <w:rPr>
          <w:color w:val="auto"/>
          <w:highlight w:val="none"/>
        </w:rPr>
      </w:pPr>
      <w:r>
        <w:rPr>
          <w:rFonts w:hint="eastAsia"/>
          <w:color w:val="auto"/>
          <w:highlight w:val="none"/>
        </w:rPr>
        <w:t>（2）</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b/>
          <w:bCs/>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ascii="Arial" w:hAnsi="Arial" w:cs="Arial"/>
          <w:snapToGrid w:val="0"/>
          <w:color w:val="auto"/>
          <w:kern w:val="0"/>
          <w:szCs w:val="21"/>
          <w:highlight w:val="none"/>
        </w:rPr>
        <w:t>且处于有效期</w:t>
      </w:r>
      <w:r>
        <w:rPr>
          <w:color w:val="auto"/>
          <w:highlight w:val="none"/>
        </w:rPr>
        <w:t>，</w:t>
      </w:r>
      <w:r>
        <w:rPr>
          <w:color w:val="auto"/>
          <w:highlight w:val="none"/>
          <w:u w:val="single"/>
        </w:rPr>
        <w:t>安全生产许可证处于有效期</w:t>
      </w:r>
      <w:r>
        <w:rPr>
          <w:rFonts w:hint="eastAsia"/>
          <w:color w:val="auto"/>
          <w:highlight w:val="none"/>
          <w:u w:val="single"/>
        </w:rPr>
        <w:t>（注：园林绿化工程、土石方工程安全生产许可证不作要求）</w:t>
      </w:r>
      <w:r>
        <w:rPr>
          <w:rFonts w:hint="eastAsia"/>
          <w:color w:val="auto"/>
          <w:highlight w:val="none"/>
        </w:rPr>
        <w:t>。</w:t>
      </w:r>
    </w:p>
    <w:p w14:paraId="4427B9E9">
      <w:pPr>
        <w:snapToGrid w:val="0"/>
        <w:spacing w:line="360" w:lineRule="auto"/>
        <w:ind w:firstLine="525" w:firstLineChars="250"/>
        <w:rPr>
          <w:color w:val="auto"/>
          <w:highlight w:val="none"/>
        </w:rPr>
      </w:pPr>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36E9995F">
      <w:pPr>
        <w:snapToGrid w:val="0"/>
        <w:spacing w:line="360" w:lineRule="auto"/>
        <w:ind w:firstLine="525" w:firstLineChars="250"/>
        <w:rPr>
          <w:rFonts w:hint="eastAsia" w:ascii="宋体" w:hAnsi="宋体" w:cs="宋体"/>
          <w:color w:val="auto"/>
          <w:szCs w:val="21"/>
          <w:highlight w:val="none"/>
        </w:rPr>
      </w:pPr>
      <w:r>
        <w:rPr>
          <w:rFonts w:hint="eastAsia"/>
          <w:color w:val="auto"/>
          <w:highlight w:val="none"/>
        </w:rPr>
        <w:t>（3）</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拟任</w:t>
      </w:r>
      <w:r>
        <w:rPr>
          <w:rFonts w:hint="eastAsia" w:ascii="宋体" w:hAnsi="宋体" w:cs="Arial"/>
          <w:snapToGrid w:val="0"/>
          <w:color w:val="auto"/>
          <w:kern w:val="0"/>
          <w:szCs w:val="21"/>
          <w:highlight w:val="none"/>
        </w:rPr>
        <w:t>项目经理</w:t>
      </w:r>
      <w:r>
        <w:rPr>
          <w:rFonts w:hint="eastAsia"/>
          <w:color w:val="auto"/>
          <w:highlight w:val="none"/>
        </w:rPr>
        <w:t xml:space="preserve">资格：具有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建筑工程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公路工程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市政公用工程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机电工程 </w:t>
      </w:r>
      <w:r>
        <w:rPr>
          <w:color w:val="auto"/>
          <w:highlight w:val="none"/>
          <w:u w:val="single"/>
        </w:rPr>
        <w:t xml:space="preserve"> </w:t>
      </w:r>
      <w:r>
        <w:rPr>
          <w:color w:val="auto"/>
          <w:highlight w:val="none"/>
        </w:rPr>
        <w:t>专业</w:t>
      </w:r>
      <w:r>
        <w:rPr>
          <w:rFonts w:hint="eastAsia"/>
          <w:color w:val="auto"/>
          <w:highlight w:val="none"/>
          <w:u w:val="single"/>
        </w:rPr>
        <w:t>□壹级□贰级及以上注册建造师执业资格证书</w:t>
      </w:r>
      <w:r>
        <w:rPr>
          <w:rFonts w:hint="eastAsia" w:ascii="Arial" w:hAnsi="Arial" w:eastAsia="Arial" w:cs="Arial"/>
          <w:snapToGrid w:val="0"/>
          <w:color w:val="auto"/>
          <w:kern w:val="0"/>
          <w:szCs w:val="21"/>
          <w:highlight w:val="none"/>
          <w:u w:val="single"/>
        </w:rPr>
        <w:t>以</w:t>
      </w:r>
      <w:r>
        <w:rPr>
          <w:rFonts w:hint="eastAsia"/>
          <w:color w:val="auto"/>
          <w:highlight w:val="none"/>
          <w:u w:val="single"/>
        </w:rPr>
        <w:t>及有效的项目负责人安全生产考核合格证书，且须满足第二章投标人须知前附表第10.5款要求。</w:t>
      </w:r>
    </w:p>
    <w:p w14:paraId="0575DFEC">
      <w:pPr>
        <w:spacing w:line="360" w:lineRule="auto"/>
        <w:ind w:firstLine="420" w:firstLineChars="200"/>
        <w:rPr>
          <w:color w:val="auto"/>
          <w:highlight w:val="none"/>
          <w:u w:val="singl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拟任</w:t>
      </w:r>
      <w:r>
        <w:rPr>
          <w:rFonts w:hint="eastAsia" w:ascii="宋体" w:hAnsi="宋体" w:cs="Arial"/>
          <w:snapToGrid w:val="0"/>
          <w:color w:val="auto"/>
          <w:kern w:val="0"/>
          <w:szCs w:val="21"/>
          <w:highlight w:val="none"/>
        </w:rPr>
        <w:t>项目经理</w:t>
      </w:r>
      <w:r>
        <w:rPr>
          <w:rFonts w:hint="eastAsia"/>
          <w:color w:val="auto"/>
          <w:highlight w:val="none"/>
        </w:rPr>
        <w:t>资格：具有风景园林专业或者园林绿化专业</w:t>
      </w:r>
      <w:r>
        <w:rPr>
          <w:color w:val="auto"/>
          <w:highlight w:val="none"/>
          <w:u w:val="single"/>
        </w:rPr>
        <w:t xml:space="preserve">     </w:t>
      </w:r>
      <w:r>
        <w:rPr>
          <w:rFonts w:hint="eastAsia"/>
          <w:color w:val="auto"/>
          <w:highlight w:val="none"/>
        </w:rPr>
        <w:t>级及以上职称（或具备市政公用工程专业</w:t>
      </w:r>
      <w:r>
        <w:rPr>
          <w:rFonts w:hint="eastAsia"/>
          <w:color w:val="auto"/>
          <w:highlight w:val="none"/>
          <w:u w:val="single"/>
        </w:rPr>
        <w:t>□壹级□贰级及以上</w:t>
      </w:r>
      <w:r>
        <w:rPr>
          <w:color w:val="auto"/>
          <w:highlight w:val="none"/>
        </w:rPr>
        <w:t xml:space="preserve"> </w:t>
      </w:r>
      <w:r>
        <w:rPr>
          <w:rFonts w:hint="eastAsia"/>
          <w:color w:val="auto"/>
          <w:highlight w:val="none"/>
        </w:rPr>
        <w:t xml:space="preserve"> 注册建造师执业资格证书）</w:t>
      </w:r>
      <w:r>
        <w:rPr>
          <w:rFonts w:hint="eastAsia"/>
          <w:color w:val="auto"/>
          <w:highlight w:val="none"/>
          <w:u w:val="single"/>
        </w:rPr>
        <w:t>且须满足第二章投标人须知前附表第10.5款要求。（仅适用于园林绿化项目）</w:t>
      </w:r>
    </w:p>
    <w:p w14:paraId="4C4981DB">
      <w:pPr>
        <w:spacing w:line="360" w:lineRule="auto"/>
        <w:ind w:firstLine="420" w:firstLineChars="200"/>
        <w:rPr>
          <w:color w:val="auto"/>
          <w:highlight w:val="none"/>
          <w:u w:val="single"/>
        </w:rPr>
      </w:pPr>
      <w:r>
        <w:rPr>
          <w:rFonts w:hint="eastAsia"/>
          <w:color w:val="auto"/>
          <w:highlight w:val="none"/>
        </w:rPr>
        <w:t>4.2</w:t>
      </w:r>
      <w:r>
        <w:rPr>
          <w:color w:val="auto"/>
          <w:highlight w:val="none"/>
        </w:rPr>
        <w:t xml:space="preserve">  本次招标</w:t>
      </w:r>
      <w:r>
        <w:rPr>
          <w:rFonts w:hint="eastAsia"/>
          <w:color w:val="auto"/>
          <w:highlight w:val="none"/>
        </w:rPr>
        <w:t>：</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14:paraId="066874FD">
      <w:pPr>
        <w:spacing w:line="360" w:lineRule="auto"/>
        <w:rPr>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2" w:char="00A3"/>
      </w:r>
      <w:r>
        <w:rPr>
          <w:color w:val="auto"/>
          <w:highlight w:val="none"/>
        </w:rPr>
        <w:t>不接受联合体投标</w:t>
      </w:r>
    </w:p>
    <w:p w14:paraId="03C5D604">
      <w:pPr>
        <w:spacing w:line="360" w:lineRule="auto"/>
        <w:ind w:left="199" w:leftChars="95" w:firstLine="210" w:firstLineChars="100"/>
        <w:rPr>
          <w:color w:val="auto"/>
          <w:highlight w:val="none"/>
        </w:rPr>
      </w:pPr>
      <w:r>
        <w:rPr>
          <w:rFonts w:hint="eastAsia"/>
          <w:color w:val="auto"/>
          <w:highlight w:val="none"/>
        </w:rPr>
        <w:t>4.3  入围业绩要求：</w:t>
      </w:r>
    </w:p>
    <w:p w14:paraId="59E743C1">
      <w:pPr>
        <w:spacing w:line="360" w:lineRule="auto"/>
        <w:ind w:left="199" w:leftChars="95" w:firstLine="210" w:firstLineChars="100"/>
        <w:rPr>
          <w:color w:val="auto"/>
          <w:highlight w:val="none"/>
        </w:rPr>
      </w:pPr>
      <w:r>
        <w:rPr>
          <w:color w:val="auto"/>
          <w:highlight w:val="none"/>
        </w:rPr>
        <w:t xml:space="preserve">4.3.1 </w:t>
      </w:r>
      <w:r>
        <w:rPr>
          <w:rFonts w:hint="eastAsia"/>
          <w:color w:val="auto"/>
          <w:highlight w:val="none"/>
        </w:rPr>
        <w:t>企业类似工程业绩</w:t>
      </w:r>
    </w:p>
    <w:p w14:paraId="62472104">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161D73E8">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要求投标截止时间前</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 xml:space="preserve"> 招标人选择的业绩牵引指标项+规模+工程内容（或工程类别） 的</w:t>
      </w:r>
      <w:r>
        <w:rPr>
          <w:rFonts w:hint="eastAsia"/>
          <w:color w:val="auto"/>
          <w:szCs w:val="21"/>
          <w:highlight w:val="none"/>
        </w:rPr>
        <w:t>施工业绩。</w:t>
      </w:r>
    </w:p>
    <w:p w14:paraId="091104FB">
      <w:pPr>
        <w:spacing w:line="360" w:lineRule="auto"/>
        <w:ind w:firstLine="420" w:firstLineChars="200"/>
        <w:rPr>
          <w:color w:val="auto"/>
          <w:szCs w:val="21"/>
          <w:highlight w:val="none"/>
        </w:rPr>
      </w:pPr>
      <w:r>
        <w:rPr>
          <w:color w:val="auto"/>
          <w:szCs w:val="21"/>
          <w:highlight w:val="none"/>
        </w:rPr>
        <w:t xml:space="preserve">4.3.2 </w:t>
      </w:r>
      <w:r>
        <w:rPr>
          <w:rFonts w:hint="eastAsia"/>
          <w:color w:val="auto"/>
          <w:szCs w:val="21"/>
          <w:highlight w:val="none"/>
        </w:rPr>
        <w:t>项目经理类似工程业绩</w:t>
      </w:r>
    </w:p>
    <w:p w14:paraId="091A3642">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78BC2E96">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要求投标截止时间前</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 的</w:t>
      </w:r>
      <w:r>
        <w:rPr>
          <w:rFonts w:hint="eastAsia"/>
          <w:color w:val="auto"/>
          <w:szCs w:val="21"/>
          <w:highlight w:val="none"/>
        </w:rPr>
        <w:t>施工业绩。</w:t>
      </w:r>
    </w:p>
    <w:p w14:paraId="0EEECA19">
      <w:pPr>
        <w:spacing w:line="360" w:lineRule="auto"/>
        <w:ind w:firstLine="420" w:firstLineChars="200"/>
        <w:rPr>
          <w:b/>
          <w:bCs/>
          <w:color w:val="auto"/>
          <w:szCs w:val="21"/>
          <w:highlight w:val="none"/>
        </w:rPr>
      </w:pPr>
      <w:r>
        <w:rPr>
          <w:rFonts w:hint="eastAsia"/>
          <w:color w:val="auto"/>
          <w:szCs w:val="21"/>
          <w:highlight w:val="none"/>
        </w:rPr>
        <w:t>注：</w:t>
      </w:r>
      <w:r>
        <w:rPr>
          <w:rFonts w:hint="eastAsia"/>
          <w:b/>
          <w:bCs/>
          <w:color w:val="auto"/>
          <w:szCs w:val="21"/>
          <w:highlight w:val="none"/>
        </w:rPr>
        <w:t>类似工程业绩牵引指标规模不高于招标项目选择指标或最高投标限价的50%，年限要求一般为近3年，轨道交通项目可放宽至5年。</w:t>
      </w:r>
    </w:p>
    <w:p w14:paraId="1204067E">
      <w:pPr>
        <w:spacing w:line="360" w:lineRule="auto"/>
        <w:ind w:firstLine="422" w:firstLineChars="200"/>
        <w:rPr>
          <w:color w:val="auto"/>
          <w:szCs w:val="21"/>
          <w:highlight w:val="none"/>
        </w:rPr>
      </w:pPr>
      <w:r>
        <w:rPr>
          <w:rFonts w:hint="eastAsia"/>
          <w:b/>
          <w:bCs/>
          <w:color w:val="auto"/>
          <w:szCs w:val="21"/>
          <w:highlight w:val="none"/>
        </w:rPr>
        <w:t>类似工程业绩具体要求详见第二章投标人须知前附表第</w:t>
      </w:r>
      <w:r>
        <w:rPr>
          <w:b/>
          <w:bCs/>
          <w:color w:val="auto"/>
          <w:szCs w:val="21"/>
          <w:highlight w:val="none"/>
        </w:rPr>
        <w:t>6.4</w:t>
      </w:r>
      <w:r>
        <w:rPr>
          <w:rFonts w:hint="eastAsia"/>
          <w:b/>
          <w:bCs/>
          <w:color w:val="auto"/>
          <w:szCs w:val="21"/>
          <w:highlight w:val="none"/>
        </w:rPr>
        <w:t>款。</w:t>
      </w:r>
    </w:p>
    <w:p w14:paraId="5FCEBBDD">
      <w:pPr>
        <w:spacing w:line="360" w:lineRule="auto"/>
        <w:ind w:firstLine="422" w:firstLineChars="200"/>
        <w:rPr>
          <w:rFonts w:hint="eastAsia" w:ascii="宋体" w:hAnsi="宋体" w:cs="宋体"/>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7DC26F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建筑工程施工总承包</w:t>
      </w:r>
    </w:p>
    <w:p w14:paraId="5CB26C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（高度、建筑面积、单跨跨度、单项合同额）。</w:t>
      </w:r>
    </w:p>
    <w:p w14:paraId="6775EE5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市政公用工程总承包</w:t>
      </w:r>
    </w:p>
    <w:p w14:paraId="5F30A56F">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□桥梁</w:t>
      </w:r>
      <w:r>
        <w:rPr>
          <w:rFonts w:hint="eastAsia" w:ascii="宋体" w:hAnsi="宋体" w:cs="宋体"/>
          <w:color w:val="auto"/>
          <w:szCs w:val="21"/>
          <w:highlight w:val="none"/>
          <w:lang w:val="en-US" w:eastAsia="zh-CN"/>
        </w:rPr>
        <w:t>工程（长度、单跨</w:t>
      </w:r>
      <w:r>
        <w:rPr>
          <w:rFonts w:ascii="宋体" w:hAnsi="宋体" w:cs="宋体"/>
          <w:color w:val="auto"/>
          <w:szCs w:val="21"/>
          <w:highlight w:val="none"/>
        </w:rPr>
        <w:t>跨度、</w:t>
      </w:r>
      <w:r>
        <w:rPr>
          <w:rFonts w:hint="eastAsia" w:ascii="宋体" w:hAnsi="宋体" w:cs="宋体"/>
          <w:color w:val="auto"/>
          <w:szCs w:val="21"/>
          <w:highlight w:val="none"/>
          <w:lang w:val="en-US" w:eastAsia="zh-CN"/>
        </w:rPr>
        <w:t>单项合同额）</w:t>
      </w:r>
    </w:p>
    <w:p w14:paraId="77F89805">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□管道</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lang w:eastAsia="zh-CN"/>
        </w:rPr>
        <w:t>（</w:t>
      </w:r>
      <w:r>
        <w:rPr>
          <w:rFonts w:ascii="宋体" w:hAnsi="宋体" w:cs="宋体"/>
          <w:color w:val="auto"/>
          <w:szCs w:val="21"/>
          <w:highlight w:val="none"/>
        </w:rPr>
        <w:t>直径或者压力、</w:t>
      </w:r>
      <w:r>
        <w:rPr>
          <w:rFonts w:hint="eastAsia" w:ascii="宋体" w:hAnsi="宋体" w:cs="宋体"/>
          <w:color w:val="auto"/>
          <w:szCs w:val="21"/>
          <w:highlight w:val="none"/>
          <w:lang w:val="en-US" w:eastAsia="zh-CN"/>
        </w:rPr>
        <w:t>单项合同额）</w:t>
      </w:r>
    </w:p>
    <w:p w14:paraId="70ED7046">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□供水</w:t>
      </w:r>
      <w:r>
        <w:rPr>
          <w:rFonts w:hint="eastAsia" w:ascii="宋体" w:hAnsi="宋体" w:cs="宋体"/>
          <w:color w:val="auto"/>
          <w:szCs w:val="21"/>
          <w:highlight w:val="none"/>
          <w:lang w:val="en-US" w:eastAsia="zh-CN"/>
        </w:rPr>
        <w:t>工程（供水</w:t>
      </w:r>
      <w:r>
        <w:rPr>
          <w:rFonts w:ascii="宋体" w:hAnsi="宋体" w:cs="宋体"/>
          <w:color w:val="auto"/>
          <w:szCs w:val="21"/>
          <w:highlight w:val="none"/>
        </w:rPr>
        <w:t>能力、</w:t>
      </w:r>
      <w:r>
        <w:rPr>
          <w:rFonts w:hint="eastAsia" w:ascii="宋体" w:hAnsi="宋体" w:cs="宋体"/>
          <w:color w:val="auto"/>
          <w:szCs w:val="21"/>
          <w:highlight w:val="none"/>
          <w:lang w:val="en-US" w:eastAsia="zh-CN"/>
        </w:rPr>
        <w:t>单项合同额）</w:t>
      </w:r>
    </w:p>
    <w:p w14:paraId="506A8087">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供气工程（</w:t>
      </w:r>
      <w:r>
        <w:rPr>
          <w:rFonts w:ascii="宋体" w:hAnsi="宋体" w:cs="宋体"/>
          <w:color w:val="auto"/>
          <w:szCs w:val="21"/>
          <w:highlight w:val="none"/>
        </w:rPr>
        <w:t>供气能力、</w:t>
      </w:r>
      <w:r>
        <w:rPr>
          <w:rFonts w:hint="eastAsia" w:ascii="宋体" w:hAnsi="宋体" w:cs="宋体"/>
          <w:color w:val="auto"/>
          <w:szCs w:val="21"/>
          <w:highlight w:val="none"/>
          <w:lang w:val="en-US" w:eastAsia="zh-CN"/>
        </w:rPr>
        <w:t>单项合同额）</w:t>
      </w:r>
    </w:p>
    <w:p w14:paraId="0DA02C7B">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供热工程（</w:t>
      </w:r>
      <w:r>
        <w:rPr>
          <w:rFonts w:ascii="宋体" w:hAnsi="宋体" w:cs="宋体"/>
          <w:color w:val="auto"/>
          <w:szCs w:val="21"/>
          <w:highlight w:val="none"/>
        </w:rPr>
        <w:t>供热能力、</w:t>
      </w:r>
      <w:r>
        <w:rPr>
          <w:rFonts w:hint="eastAsia" w:ascii="宋体" w:hAnsi="宋体" w:cs="宋体"/>
          <w:color w:val="auto"/>
          <w:szCs w:val="21"/>
          <w:highlight w:val="none"/>
          <w:lang w:val="en-US" w:eastAsia="zh-CN"/>
        </w:rPr>
        <w:t>单项合同额）</w:t>
      </w:r>
    </w:p>
    <w:p w14:paraId="1E0180E7">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污水处理工程（</w:t>
      </w:r>
      <w:r>
        <w:rPr>
          <w:rFonts w:ascii="宋体" w:hAnsi="宋体" w:cs="宋体"/>
          <w:color w:val="auto"/>
          <w:szCs w:val="21"/>
          <w:highlight w:val="none"/>
        </w:rPr>
        <w:t>污水处理能力、</w:t>
      </w:r>
      <w:r>
        <w:rPr>
          <w:rFonts w:hint="eastAsia" w:ascii="宋体" w:hAnsi="宋体" w:cs="宋体"/>
          <w:color w:val="auto"/>
          <w:szCs w:val="21"/>
          <w:highlight w:val="none"/>
          <w:lang w:val="en-US" w:eastAsia="zh-CN"/>
        </w:rPr>
        <w:t>单项合同额）</w:t>
      </w:r>
    </w:p>
    <w:p w14:paraId="27D4BD7C">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垃圾处理工程（</w:t>
      </w:r>
      <w:r>
        <w:rPr>
          <w:rFonts w:ascii="宋体" w:hAnsi="宋体" w:cs="宋体"/>
          <w:color w:val="auto"/>
          <w:szCs w:val="21"/>
          <w:highlight w:val="none"/>
        </w:rPr>
        <w:t>垃圾处理能力、</w:t>
      </w:r>
      <w:r>
        <w:rPr>
          <w:rFonts w:hint="eastAsia" w:ascii="宋体" w:hAnsi="宋体" w:cs="宋体"/>
          <w:color w:val="auto"/>
          <w:szCs w:val="21"/>
          <w:highlight w:val="none"/>
          <w:lang w:val="en-US" w:eastAsia="zh-CN"/>
        </w:rPr>
        <w:t>单项合同额）</w:t>
      </w:r>
    </w:p>
    <w:p w14:paraId="5DCD4C5C">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城市广场工程（</w:t>
      </w:r>
      <w:r>
        <w:rPr>
          <w:rFonts w:hint="eastAsia" w:ascii="宋体" w:hAnsi="宋体" w:cs="宋体"/>
          <w:color w:val="auto"/>
          <w:szCs w:val="21"/>
          <w:highlight w:val="none"/>
        </w:rPr>
        <w:t>城市广场面积、</w:t>
      </w:r>
      <w:r>
        <w:rPr>
          <w:rFonts w:hint="eastAsia" w:ascii="宋体" w:hAnsi="宋体" w:cs="宋体"/>
          <w:color w:val="auto"/>
          <w:szCs w:val="21"/>
          <w:highlight w:val="none"/>
          <w:lang w:val="en-US" w:eastAsia="zh-CN"/>
        </w:rPr>
        <w:t>单项合同额）</w:t>
      </w:r>
    </w:p>
    <w:p w14:paraId="4F62D53D">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rPr>
        <w:t>地面停车场</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硬质铺装面积、</w:t>
      </w:r>
      <w:r>
        <w:rPr>
          <w:rFonts w:hint="eastAsia" w:ascii="宋体" w:hAnsi="宋体" w:cs="宋体"/>
          <w:color w:val="auto"/>
          <w:szCs w:val="21"/>
          <w:highlight w:val="none"/>
          <w:lang w:val="en-US" w:eastAsia="zh-CN"/>
        </w:rPr>
        <w:t>单项合同额）</w:t>
      </w:r>
    </w:p>
    <w:p w14:paraId="5BE231AA">
      <w:pPr>
        <w:spacing w:line="360" w:lineRule="auto"/>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隧道工程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断面面积、</w:t>
      </w:r>
      <w:r>
        <w:rPr>
          <w:rFonts w:hint="eastAsia" w:ascii="宋体" w:hAnsi="宋体" w:cs="宋体"/>
          <w:color w:val="auto"/>
          <w:szCs w:val="21"/>
          <w:highlight w:val="none"/>
          <w:lang w:val="en-US" w:eastAsia="zh-CN"/>
        </w:rPr>
        <w:t>单项合同额）</w:t>
      </w:r>
    </w:p>
    <w:p w14:paraId="5A36ECBA">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rPr>
        <w:t>地下交通工程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断面面积、</w:t>
      </w:r>
      <w:r>
        <w:rPr>
          <w:rFonts w:hint="eastAsia" w:ascii="宋体" w:hAnsi="宋体" w:cs="宋体"/>
          <w:color w:val="auto"/>
          <w:szCs w:val="21"/>
          <w:highlight w:val="none"/>
          <w:lang w:val="en-US" w:eastAsia="zh-CN"/>
        </w:rPr>
        <w:t>单项合同额）</w:t>
      </w:r>
    </w:p>
    <w:p w14:paraId="20E4F2E2">
      <w:pPr>
        <w:spacing w:line="360" w:lineRule="auto"/>
        <w:ind w:firstLine="420"/>
        <w:rPr>
          <w:rFonts w:hint="eastAsia" w:ascii="宋体" w:hAnsi="宋体" w:cs="宋体"/>
          <w:color w:val="auto"/>
          <w:szCs w:val="21"/>
          <w:highlight w:val="none"/>
          <w:lang w:eastAsia="zh-CN"/>
        </w:rPr>
      </w:pPr>
      <w:r>
        <w:rPr>
          <w:rFonts w:ascii="宋体" w:hAnsi="宋体" w:cs="宋体"/>
          <w:color w:val="auto"/>
          <w:szCs w:val="21"/>
          <w:highlight w:val="none"/>
        </w:rPr>
        <w:t>□</w:t>
      </w:r>
      <w:r>
        <w:rPr>
          <w:rFonts w:hint="eastAsia" w:ascii="宋体" w:hAnsi="宋体" w:cs="宋体"/>
          <w:color w:val="auto"/>
          <w:szCs w:val="21"/>
          <w:highlight w:val="none"/>
        </w:rPr>
        <w:t>市政综合工程</w:t>
      </w:r>
      <w:r>
        <w:rPr>
          <w:rFonts w:hint="eastAsia" w:ascii="宋体" w:hAnsi="宋体" w:cs="宋体"/>
          <w:color w:val="auto"/>
          <w:szCs w:val="21"/>
          <w:highlight w:val="none"/>
          <w:lang w:eastAsia="zh-CN"/>
        </w:rPr>
        <w:t>（</w:t>
      </w:r>
      <w:r>
        <w:rPr>
          <w:rFonts w:ascii="宋体" w:hAnsi="宋体" w:cs="宋体"/>
          <w:color w:val="auto"/>
          <w:szCs w:val="21"/>
          <w:highlight w:val="none"/>
        </w:rPr>
        <w:t>单项合同额</w:t>
      </w:r>
      <w:r>
        <w:rPr>
          <w:rFonts w:hint="eastAsia" w:ascii="宋体" w:hAnsi="宋体" w:cs="宋体"/>
          <w:color w:val="auto"/>
          <w:szCs w:val="21"/>
          <w:highlight w:val="none"/>
          <w:lang w:eastAsia="zh-CN"/>
        </w:rPr>
        <w:t>）</w:t>
      </w:r>
    </w:p>
    <w:p w14:paraId="5E3850DA">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地</w:t>
      </w:r>
      <w:r>
        <w:rPr>
          <w:rFonts w:ascii="宋体" w:hAnsi="宋体" w:cs="宋体"/>
          <w:b/>
          <w:bCs/>
          <w:color w:val="auto"/>
          <w:szCs w:val="21"/>
          <w:highlight w:val="none"/>
        </w:rPr>
        <w:t>基基础工程</w:t>
      </w:r>
    </w:p>
    <w:p w14:paraId="73B3BD8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（工业、民用建筑工程</w:t>
      </w:r>
      <w:r>
        <w:rPr>
          <w:rFonts w:hint="eastAsia" w:ascii="宋体" w:hAnsi="宋体" w:cs="宋体"/>
          <w:color w:val="auto"/>
          <w:szCs w:val="21"/>
          <w:highlight w:val="none"/>
        </w:rPr>
        <w:t>的高度，构筑物高度、深度、单桩设计荷载、开挖深度、单项合同额</w:t>
      </w:r>
      <w:r>
        <w:rPr>
          <w:rFonts w:ascii="宋体" w:hAnsi="宋体" w:cs="宋体"/>
          <w:color w:val="auto"/>
          <w:szCs w:val="21"/>
          <w:highlight w:val="none"/>
        </w:rPr>
        <w:t>）。</w:t>
      </w:r>
    </w:p>
    <w:p w14:paraId="743D1A7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起重设备安装工程</w:t>
      </w:r>
    </w:p>
    <w:p w14:paraId="37704DA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塔式起重机、各类施工升降机和门式起重机的安装与拆卸的力矩、单项合同额</w:t>
      </w:r>
      <w:r>
        <w:rPr>
          <w:rFonts w:ascii="宋体" w:hAnsi="宋体" w:cs="宋体"/>
          <w:color w:val="auto"/>
          <w:szCs w:val="21"/>
          <w:highlight w:val="none"/>
        </w:rPr>
        <w:t>）。</w:t>
      </w:r>
    </w:p>
    <w:p w14:paraId="5D80A21E">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预拌混凝土</w:t>
      </w:r>
      <w:r>
        <w:rPr>
          <w:rFonts w:hint="eastAsia" w:ascii="宋体" w:hAnsi="宋体" w:cs="宋体"/>
          <w:b/>
          <w:bCs/>
          <w:color w:val="auto"/>
          <w:szCs w:val="21"/>
          <w:highlight w:val="none"/>
        </w:rPr>
        <w:t>工程</w:t>
      </w:r>
    </w:p>
    <w:p w14:paraId="7FD1826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ascii="宋体" w:hAnsi="宋体" w:cs="宋体"/>
          <w:color w:val="auto"/>
          <w:szCs w:val="21"/>
          <w:highlight w:val="none"/>
        </w:rPr>
        <w:t>。</w:t>
      </w:r>
    </w:p>
    <w:p w14:paraId="1E07164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电子与智能化工程</w:t>
      </w:r>
    </w:p>
    <w:p w14:paraId="29201EF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2F6ACB26">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消防设施工程</w:t>
      </w:r>
    </w:p>
    <w:p w14:paraId="74E1C2A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color w:val="auto"/>
          <w:highlight w:val="none"/>
        </w:rPr>
        <w:t>单体建筑面积、建筑物等级、火灾危险性级别</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2058803C">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防水防腐保温工程</w:t>
      </w:r>
    </w:p>
    <w:p w14:paraId="6820963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3D39144D">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钢结构工程</w:t>
      </w:r>
    </w:p>
    <w:p w14:paraId="03E6CB3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76B6FD7E">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模板脚手架</w:t>
      </w:r>
    </w:p>
    <w:p w14:paraId="75B736C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p>
    <w:p w14:paraId="31C3B332">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建筑装修装饰工程</w:t>
      </w:r>
    </w:p>
    <w:p w14:paraId="6BE107F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p>
    <w:p w14:paraId="2313999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建筑机电安装工程</w:t>
      </w:r>
    </w:p>
    <w:p w14:paraId="2078E6E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6161061A">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建筑幕墙工程</w:t>
      </w:r>
    </w:p>
    <w:p w14:paraId="3D448C6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657A96DC">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古建筑工程</w:t>
      </w:r>
    </w:p>
    <w:p w14:paraId="0C53780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、国家级工程、省级工程、单项合同额</w:t>
      </w:r>
      <w:r>
        <w:rPr>
          <w:rFonts w:ascii="宋体" w:hAnsi="宋体" w:cs="宋体"/>
          <w:color w:val="auto"/>
          <w:szCs w:val="21"/>
          <w:highlight w:val="none"/>
        </w:rPr>
        <w:t>）。</w:t>
      </w:r>
    </w:p>
    <w:p w14:paraId="7818414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城市及道路照明工程</w:t>
      </w:r>
    </w:p>
    <w:p w14:paraId="0E15612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（单项合同额）。</w:t>
      </w:r>
    </w:p>
    <w:p w14:paraId="1A5AFA7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特种专业工程</w:t>
      </w:r>
    </w:p>
    <w:p w14:paraId="38F0D07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5EABDAF4">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桥梁工程</w:t>
      </w:r>
    </w:p>
    <w:p w14:paraId="1AECF98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（单跨、桥梁长度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0781E90C">
      <w:pPr>
        <w:spacing w:line="360" w:lineRule="auto"/>
        <w:ind w:firstLine="420"/>
        <w:rPr>
          <w:rFonts w:hint="eastAsia" w:ascii="宋体" w:hAnsi="宋体" w:cs="宋体"/>
          <w:color w:val="auto"/>
          <w:szCs w:val="21"/>
          <w:highlight w:val="none"/>
        </w:rPr>
      </w:pPr>
      <w:r>
        <w:rPr>
          <w:rFonts w:ascii="宋体" w:hAnsi="宋体" w:cs="宋体"/>
          <w:b/>
          <w:bCs/>
          <w:color w:val="auto"/>
          <w:szCs w:val="21"/>
          <w:highlight w:val="none"/>
        </w:rPr>
        <w:t>隧道工程</w:t>
      </w:r>
    </w:p>
    <w:p w14:paraId="62EDB89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（断面面积、单洞长度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5ACE5FA9">
      <w:pPr>
        <w:spacing w:line="360" w:lineRule="auto"/>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路面工程（适用于市政公用工程中单独招标的路面工程）</w:t>
      </w:r>
    </w:p>
    <w:p w14:paraId="0D0274D3">
      <w:pPr>
        <w:snapToGrid w:val="0"/>
        <w:spacing w:line="360" w:lineRule="auto"/>
        <w:ind w:firstLine="420" w:firstLineChars="200"/>
        <w:rPr>
          <w:color w:val="auto"/>
          <w:highlight w:val="none"/>
        </w:rPr>
      </w:pPr>
      <w:r>
        <w:rPr>
          <w:rFonts w:hint="eastAsia"/>
          <w:color w:val="auto"/>
          <w:highlight w:val="none"/>
        </w:rPr>
        <w:t>□</w:t>
      </w: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rPr>
        <w:t>、单项合同额</w:t>
      </w:r>
      <w:r>
        <w:rPr>
          <w:rFonts w:hint="eastAsia"/>
          <w:color w:val="auto"/>
          <w:highlight w:val="none"/>
        </w:rPr>
        <w:t>）</w:t>
      </w:r>
    </w:p>
    <w:p w14:paraId="7D2346F9">
      <w:pPr>
        <w:snapToGrid w:val="0"/>
        <w:spacing w:line="360" w:lineRule="auto"/>
        <w:rPr>
          <w:rFonts w:hint="eastAsia" w:ascii="宋体" w:hAnsi="宋体" w:cs="宋体"/>
          <w:b/>
          <w:bCs/>
          <w:color w:val="auto"/>
          <w:szCs w:val="21"/>
          <w:highlight w:val="none"/>
        </w:rPr>
      </w:pPr>
      <w:r>
        <w:rPr>
          <w:b/>
          <w:bCs/>
          <w:color w:val="auto"/>
          <w:sz w:val="28"/>
          <w:szCs w:val="28"/>
          <w:highlight w:val="none"/>
        </w:rPr>
        <w:t xml:space="preserve">   </w:t>
      </w:r>
      <w:r>
        <w:rPr>
          <w:rFonts w:hint="eastAsia" w:ascii="宋体" w:hAnsi="宋体" w:cs="宋体"/>
          <w:b/>
          <w:bCs/>
          <w:color w:val="auto"/>
          <w:szCs w:val="21"/>
          <w:highlight w:val="none"/>
        </w:rPr>
        <w:t>交通工程</w:t>
      </w:r>
      <w:bookmarkStart w:id="98" w:name="_Hlk193723685"/>
      <w:r>
        <w:rPr>
          <w:rFonts w:hint="eastAsia" w:ascii="宋体" w:hAnsi="宋体" w:cs="宋体"/>
          <w:b/>
          <w:bCs/>
          <w:color w:val="auto"/>
          <w:szCs w:val="21"/>
          <w:highlight w:val="none"/>
        </w:rPr>
        <w:t>（适用于市政公用工程中单独招标的交通工程）</w:t>
      </w:r>
      <w:bookmarkEnd w:id="98"/>
    </w:p>
    <w:p w14:paraId="2B99832A">
      <w:pPr>
        <w:snapToGrid w:val="0"/>
        <w:spacing w:line="360" w:lineRule="auto"/>
        <w:ind w:firstLine="315" w:firstLineChars="150"/>
        <w:rPr>
          <w:color w:val="auto"/>
          <w:highlight w:val="none"/>
        </w:rPr>
      </w:pPr>
      <w:r>
        <w:rPr>
          <w:rFonts w:hint="eastAsia"/>
          <w:color w:val="auto"/>
          <w:highlight w:val="none"/>
        </w:rPr>
        <w:t>□安全设施工程</w:t>
      </w:r>
    </w:p>
    <w:p w14:paraId="77CC32AF">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rPr>
        <w:t>、单项合同额</w:t>
      </w:r>
      <w:r>
        <w:rPr>
          <w:rFonts w:hint="eastAsia"/>
          <w:color w:val="auto"/>
          <w:highlight w:val="none"/>
        </w:rPr>
        <w:t>）</w:t>
      </w:r>
    </w:p>
    <w:p w14:paraId="62367950">
      <w:pPr>
        <w:snapToGrid w:val="0"/>
        <w:spacing w:line="360" w:lineRule="auto"/>
        <w:ind w:firstLine="315" w:firstLineChars="150"/>
        <w:rPr>
          <w:color w:val="auto"/>
          <w:highlight w:val="none"/>
        </w:rPr>
      </w:pPr>
      <w:r>
        <w:rPr>
          <w:rFonts w:hint="eastAsia"/>
          <w:color w:val="auto"/>
          <w:highlight w:val="none"/>
        </w:rPr>
        <w:sym w:font="Wingdings 2" w:char="00A3"/>
      </w:r>
      <w:r>
        <w:rPr>
          <w:rFonts w:hint="eastAsia"/>
          <w:color w:val="auto"/>
          <w:highlight w:val="none"/>
        </w:rPr>
        <w:t>机电工程</w:t>
      </w:r>
    </w:p>
    <w:p w14:paraId="4EF7575B">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rPr>
        <w:t>、单项合同额</w:t>
      </w:r>
      <w:r>
        <w:rPr>
          <w:rFonts w:hint="eastAsia"/>
          <w:color w:val="auto"/>
          <w:highlight w:val="none"/>
        </w:rPr>
        <w:t>）</w:t>
      </w:r>
    </w:p>
    <w:p w14:paraId="71788F77">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园林绿化工程</w:t>
      </w:r>
    </w:p>
    <w:p w14:paraId="3A5DCE2E">
      <w:pPr>
        <w:snapToGrid w:val="0"/>
        <w:spacing w:line="360" w:lineRule="auto"/>
        <w:ind w:firstLine="315" w:firstLineChars="150"/>
        <w:rPr>
          <w:b/>
          <w:bCs/>
          <w:color w:val="auto"/>
          <w:sz w:val="28"/>
          <w:szCs w:val="28"/>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13B0AAC6">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土石方工程</w:t>
      </w:r>
    </w:p>
    <w:p w14:paraId="3A4507A9">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158643C9">
      <w:pPr>
        <w:spacing w:line="360" w:lineRule="auto"/>
        <w:ind w:left="199" w:leftChars="95" w:firstLine="210" w:firstLineChars="100"/>
        <w:rPr>
          <w:rFonts w:hint="eastAsia"/>
          <w:color w:val="auto"/>
          <w:highlight w:val="none"/>
        </w:rPr>
      </w:pPr>
    </w:p>
    <w:p w14:paraId="7B024A02">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4</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72F8D01D">
      <w:pPr>
        <w:spacing w:line="360" w:lineRule="auto"/>
        <w:ind w:left="199" w:leftChars="95" w:firstLine="210" w:firstLineChars="100"/>
        <w:rPr>
          <w:color w:val="auto"/>
          <w:highlight w:val="none"/>
        </w:rPr>
      </w:pPr>
      <w:r>
        <w:rPr>
          <w:rFonts w:hint="eastAsia"/>
          <w:color w:val="auto"/>
          <w:highlight w:val="none"/>
        </w:rPr>
        <w:t>4.5 其他</w:t>
      </w:r>
      <w:r>
        <w:rPr>
          <w:color w:val="auto"/>
          <w:highlight w:val="none"/>
          <w:u w:val="single"/>
        </w:rPr>
        <w:t xml:space="preserve">       </w:t>
      </w:r>
      <w:r>
        <w:rPr>
          <w:rFonts w:hint="eastAsia"/>
          <w:color w:val="auto"/>
          <w:highlight w:val="none"/>
          <w:u w:val="single"/>
        </w:rPr>
        <w:t xml:space="preserve">    </w:t>
      </w:r>
      <w:r>
        <w:rPr>
          <w:rFonts w:hint="eastAsia"/>
          <w:color w:val="auto"/>
          <w:highlight w:val="none"/>
        </w:rPr>
        <w:t>。</w:t>
      </w:r>
    </w:p>
    <w:p w14:paraId="46A08AE9">
      <w:pPr>
        <w:spacing w:line="360" w:lineRule="auto"/>
        <w:ind w:left="199" w:leftChars="95" w:firstLine="210" w:firstLineChars="100"/>
        <w:rPr>
          <w:color w:val="auto"/>
          <w:highlight w:val="none"/>
        </w:rPr>
      </w:pPr>
    </w:p>
    <w:p w14:paraId="2D6034D7">
      <w:pPr>
        <w:pStyle w:val="3"/>
        <w:spacing w:before="0" w:after="0" w:line="360" w:lineRule="auto"/>
        <w:ind w:firstLine="321" w:firstLineChars="100"/>
        <w:rPr>
          <w:rFonts w:ascii="Times New Roman" w:hAnsi="Times New Roman" w:eastAsia="黑体"/>
          <w:color w:val="auto"/>
          <w:highlight w:val="none"/>
        </w:rPr>
      </w:pPr>
      <w:bookmarkStart w:id="99" w:name="_Toc211498574"/>
      <w:r>
        <w:rPr>
          <w:rFonts w:ascii="Times New Roman" w:hAnsi="Times New Roman" w:eastAsia="黑体"/>
          <w:color w:val="auto"/>
          <w:highlight w:val="none"/>
        </w:rPr>
        <w:t>5.招标文件的获取</w:t>
      </w:r>
      <w:bookmarkEnd w:id="99"/>
    </w:p>
    <w:p w14:paraId="7CB8FEC9">
      <w:pPr>
        <w:widowControl/>
        <w:tabs>
          <w:tab w:val="left" w:pos="360"/>
        </w:tabs>
        <w:spacing w:line="360" w:lineRule="auto"/>
        <w:ind w:firstLine="420" w:firstLineChars="200"/>
        <w:jc w:val="left"/>
        <w:rPr>
          <w:color w:val="auto"/>
          <w:szCs w:val="21"/>
          <w:highlight w:val="none"/>
        </w:rPr>
      </w:pPr>
      <w:r>
        <w:rPr>
          <w:color w:val="auto"/>
          <w:szCs w:val="21"/>
          <w:highlight w:val="none"/>
        </w:rPr>
        <w:t>5.1 有投标意愿者，请于</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时止（北京时间，下同）</w:t>
      </w: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电子招标投标交易平台名称  </w:t>
      </w:r>
      <w:r>
        <w:rPr>
          <w:color w:val="auto"/>
          <w:szCs w:val="21"/>
          <w:highlight w:val="none"/>
        </w:rPr>
        <w:t>下载</w:t>
      </w:r>
      <w:r>
        <w:rPr>
          <w:rFonts w:hint="eastAsia"/>
          <w:color w:val="auto"/>
          <w:szCs w:val="21"/>
          <w:highlight w:val="none"/>
        </w:rPr>
        <w:t>数据电文形式的</w:t>
      </w:r>
      <w:r>
        <w:rPr>
          <w:color w:val="auto"/>
          <w:szCs w:val="21"/>
          <w:highlight w:val="none"/>
        </w:rPr>
        <w:t>招标文件。招标文件包括图纸、工程量清单、最高投标限价、合同条款等</w:t>
      </w:r>
      <w:r>
        <w:rPr>
          <w:rFonts w:hint="eastAsia"/>
          <w:color w:val="auto"/>
          <w:szCs w:val="21"/>
          <w:highlight w:val="none"/>
        </w:rPr>
        <w:t>。</w:t>
      </w:r>
    </w:p>
    <w:p w14:paraId="571D1B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5.2 </w:t>
      </w:r>
      <w:r>
        <w:rPr>
          <w:rFonts w:ascii="宋体" w:hAnsi="宋体"/>
          <w:color w:val="auto"/>
          <w:szCs w:val="21"/>
          <w:highlight w:val="none"/>
        </w:rPr>
        <w:t>招标人对招标文件、</w:t>
      </w:r>
      <w:r>
        <w:rPr>
          <w:rFonts w:hint="eastAsia" w:ascii="宋体" w:hAnsi="宋体"/>
          <w:color w:val="auto"/>
          <w:szCs w:val="21"/>
          <w:highlight w:val="none"/>
        </w:rPr>
        <w:t>图纸及</w:t>
      </w:r>
      <w:r>
        <w:rPr>
          <w:rFonts w:ascii="宋体" w:hAnsi="宋体"/>
          <w:color w:val="auto"/>
          <w:szCs w:val="21"/>
          <w:highlight w:val="none"/>
        </w:rPr>
        <w:t>工程量清单的修改、澄清答疑在</w:t>
      </w:r>
      <w:r>
        <w:rPr>
          <w:rFonts w:ascii="宋体" w:hAnsi="宋体"/>
          <w:color w:val="auto"/>
          <w:szCs w:val="21"/>
          <w:highlight w:val="none"/>
          <w:u w:val="single"/>
        </w:rPr>
        <w:t xml:space="preserve">  </w:t>
      </w:r>
      <w:r>
        <w:rPr>
          <w:rFonts w:hint="eastAsia"/>
          <w:i/>
          <w:iCs/>
          <w:color w:val="auto"/>
          <w:szCs w:val="21"/>
          <w:highlight w:val="none"/>
          <w:u w:val="single"/>
        </w:rPr>
        <w:t xml:space="preserve"> 电子招标投标交易平台名称 </w:t>
      </w:r>
      <w:r>
        <w:rPr>
          <w:rFonts w:hint="eastAsia"/>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发布，投标</w:t>
      </w:r>
      <w:r>
        <w:rPr>
          <w:color w:val="auto"/>
          <w:szCs w:val="21"/>
          <w:highlight w:val="none"/>
        </w:rPr>
        <w:t>人</w:t>
      </w:r>
      <w:r>
        <w:rPr>
          <w:rFonts w:ascii="宋体" w:hAnsi="宋体"/>
          <w:color w:val="auto"/>
          <w:szCs w:val="21"/>
          <w:highlight w:val="none"/>
        </w:rPr>
        <w:t>自行下载。</w:t>
      </w:r>
    </w:p>
    <w:p w14:paraId="6A93012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5.3 投标人要求澄清招标文件的截止时间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p>
    <w:p w14:paraId="45F31903">
      <w:pPr>
        <w:spacing w:line="360" w:lineRule="auto"/>
        <w:ind w:firstLine="420" w:firstLineChars="200"/>
        <w:rPr>
          <w:rFonts w:hint="eastAsia" w:ascii="宋体" w:hAnsi="宋体"/>
          <w:color w:val="auto"/>
          <w:szCs w:val="21"/>
          <w:highlight w:val="none"/>
        </w:rPr>
      </w:pPr>
    </w:p>
    <w:p w14:paraId="0C36691E">
      <w:pPr>
        <w:pStyle w:val="3"/>
        <w:spacing w:before="0" w:after="0" w:line="360" w:lineRule="auto"/>
        <w:rPr>
          <w:rFonts w:ascii="Times New Roman" w:hAnsi="Times New Roman" w:eastAsia="黑体"/>
          <w:color w:val="auto"/>
          <w:highlight w:val="none"/>
        </w:rPr>
      </w:pPr>
      <w:r>
        <w:rPr>
          <w:rFonts w:hint="eastAsia" w:ascii="Times New Roman" w:hAnsi="Times New Roman" w:eastAsia="黑体"/>
          <w:color w:val="auto"/>
          <w:highlight w:val="none"/>
        </w:rPr>
        <w:t xml:space="preserve"> </w:t>
      </w:r>
      <w:bookmarkStart w:id="100" w:name="_Toc211498575"/>
      <w:r>
        <w:rPr>
          <w:rFonts w:ascii="Times New Roman" w:hAnsi="Times New Roman" w:eastAsia="黑体"/>
          <w:color w:val="auto"/>
          <w:highlight w:val="none"/>
        </w:rPr>
        <w:t>6.投标文件的递交</w:t>
      </w:r>
      <w:bookmarkEnd w:id="100"/>
    </w:p>
    <w:p w14:paraId="45B84CF7">
      <w:pPr>
        <w:widowControl/>
        <w:tabs>
          <w:tab w:val="left" w:pos="360"/>
        </w:tabs>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2"/>
          <w:highlight w:val="none"/>
        </w:rPr>
        <w:t>电子</w:t>
      </w:r>
      <w:r>
        <w:rPr>
          <w:rFonts w:ascii="Arial" w:hAnsi="Arial" w:eastAsia="Arial" w:cs="Arial"/>
          <w:snapToGrid w:val="0"/>
          <w:color w:val="auto"/>
          <w:kern w:val="0"/>
          <w:szCs w:val="22"/>
          <w:highlight w:val="none"/>
        </w:rPr>
        <w:t>投标文件递交的截止时间（投标截止时间，下同）</w:t>
      </w:r>
      <w:r>
        <w:rPr>
          <w:rFonts w:ascii="Arial" w:hAnsi="Arial" w:eastAsia="Arial" w:cs="Arial"/>
          <w:snapToGrid w:val="0"/>
          <w:color w:val="auto"/>
          <w:kern w:val="0"/>
          <w:szCs w:val="21"/>
          <w:highlight w:val="none"/>
        </w:rPr>
        <w:t>及开标时间为</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年</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月</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日</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时</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分</w:t>
      </w:r>
      <w:r>
        <w:rPr>
          <w:rFonts w:hint="eastAsia" w:ascii="Arial" w:hAnsi="Arial" w:cs="Arial"/>
          <w:snapToGrid w:val="0"/>
          <w:color w:val="auto"/>
          <w:kern w:val="0"/>
          <w:szCs w:val="22"/>
          <w:highlight w:val="none"/>
        </w:rPr>
        <w:t>。</w:t>
      </w:r>
      <w:r>
        <w:rPr>
          <w:rFonts w:ascii="Arial" w:hAnsi="Arial" w:eastAsia="Arial" w:cs="Arial"/>
          <w:snapToGrid w:val="0"/>
          <w:color w:val="auto"/>
          <w:kern w:val="0"/>
          <w:szCs w:val="21"/>
          <w:highlight w:val="none"/>
        </w:rPr>
        <w:t>请投标人登录</w:t>
      </w:r>
      <w:r>
        <w:rPr>
          <w:rFonts w:hint="eastAsia" w:ascii="Arial" w:hAnsi="Arial" w:eastAsia="Arial" w:cs="Arial"/>
          <w:snapToGrid w:val="0"/>
          <w:color w:val="auto"/>
          <w:kern w:val="0"/>
          <w:szCs w:val="21"/>
          <w:highlight w:val="none"/>
          <w:u w:val="single"/>
        </w:rPr>
        <w:t xml:space="preserve">   </w:t>
      </w:r>
      <w:r>
        <w:rPr>
          <w:rFonts w:hint="eastAsia" w:ascii="Arial" w:hAnsi="Arial" w:cs="Arial"/>
          <w:snapToGrid w:val="0"/>
          <w:color w:val="auto"/>
          <w:kern w:val="0"/>
          <w:szCs w:val="21"/>
          <w:highlight w:val="none"/>
          <w:u w:val="single"/>
        </w:rPr>
        <w:t xml:space="preserve">   </w:t>
      </w:r>
      <w:r>
        <w:rPr>
          <w:rFonts w:hint="eastAsia"/>
          <w:color w:val="auto"/>
          <w:highlight w:val="none"/>
          <w:u w:val="singl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下载</w:t>
      </w:r>
      <w:r>
        <w:rPr>
          <w:rFonts w:hint="eastAsia" w:ascii="Arial" w:hAnsi="Arial" w:eastAsia="Arial" w:cs="Arial"/>
          <w:snapToGrid w:val="0"/>
          <w:color w:val="auto"/>
          <w:kern w:val="0"/>
          <w:szCs w:val="21"/>
          <w:highlight w:val="none"/>
        </w:rPr>
        <w:t>电子投标文件制作工具</w:t>
      </w:r>
      <w:r>
        <w:rPr>
          <w:rFonts w:ascii="Arial" w:hAnsi="Arial" w:eastAsia="Arial" w:cs="Arial"/>
          <w:snapToGrid w:val="0"/>
          <w:color w:val="auto"/>
          <w:kern w:val="0"/>
          <w:szCs w:val="21"/>
          <w:highlight w:val="none"/>
        </w:rPr>
        <w:t>编制投标文件，</w:t>
      </w:r>
      <w:r>
        <w:rPr>
          <w:rFonts w:hint="eastAsia" w:ascii="Arial" w:hAnsi="Arial" w:eastAsia="Arial" w:cs="Arial"/>
          <w:snapToGrid w:val="0"/>
          <w:color w:val="auto"/>
          <w:kern w:val="0"/>
          <w:szCs w:val="21"/>
          <w:highlight w:val="none"/>
        </w:rPr>
        <w:t>投标人应</w:t>
      </w:r>
      <w:r>
        <w:rPr>
          <w:rFonts w:ascii="Arial" w:hAnsi="Arial" w:eastAsia="Arial" w:cs="Arial"/>
          <w:snapToGrid w:val="0"/>
          <w:color w:val="auto"/>
          <w:kern w:val="0"/>
          <w:szCs w:val="21"/>
          <w:highlight w:val="none"/>
        </w:rPr>
        <w:t>在投标截止时间前通过</w:t>
      </w:r>
      <w:r>
        <w:rPr>
          <w:rFonts w:ascii="Arial" w:hAnsi="Arial" w:cs="Arial"/>
          <w:snapToGrid w:val="0"/>
          <w:color w:val="auto"/>
          <w:kern w:val="0"/>
          <w:szCs w:val="21"/>
          <w:highlight w:val="none"/>
          <w:u w:val="single"/>
        </w:rPr>
        <w:t xml:space="preserve"> </w:t>
      </w:r>
      <w:r>
        <w:rPr>
          <w:rFonts w:hint="eastAsia" w:ascii="Arial" w:hAnsi="Arial" w:eastAsia="Arial" w:cs="Arial"/>
          <w:snapToGrid w:val="0"/>
          <w:color w:val="auto"/>
          <w:kern w:val="0"/>
          <w:szCs w:val="22"/>
          <w:highlight w:val="none"/>
          <w:u w:val="single"/>
        </w:rPr>
        <w:t>（电子招标投标交易平台名称）</w:t>
      </w:r>
      <w:r>
        <w:rPr>
          <w:rFonts w:ascii="Arial" w:hAnsi="Arial" w:eastAsia="Arial" w:cs="Arial"/>
          <w:snapToGrid w:val="0"/>
          <w:color w:val="auto"/>
          <w:kern w:val="0"/>
          <w:szCs w:val="21"/>
          <w:highlight w:val="none"/>
        </w:rPr>
        <w:t>递交</w:t>
      </w:r>
      <w:r>
        <w:rPr>
          <w:rFonts w:hint="eastAsia" w:ascii="Arial" w:hAnsi="Arial" w:eastAsia="Arial" w:cs="Arial"/>
          <w:snapToGrid w:val="0"/>
          <w:color w:val="auto"/>
          <w:kern w:val="0"/>
          <w:szCs w:val="21"/>
          <w:highlight w:val="none"/>
        </w:rPr>
        <w:t>数据电文形式的投标文件</w:t>
      </w:r>
      <w:r>
        <w:rPr>
          <w:rFonts w:ascii="Arial" w:hAnsi="Arial" w:eastAsia="Arial" w:cs="Arial"/>
          <w:snapToGrid w:val="0"/>
          <w:color w:val="auto"/>
          <w:kern w:val="0"/>
          <w:szCs w:val="21"/>
          <w:highlight w:val="none"/>
        </w:rPr>
        <w:t>。逾期</w:t>
      </w:r>
      <w:r>
        <w:rPr>
          <w:rFonts w:hint="eastAsia" w:ascii="Arial" w:hAnsi="Arial" w:eastAsia="Arial" w:cs="Arial"/>
          <w:snapToGrid w:val="0"/>
          <w:color w:val="auto"/>
          <w:kern w:val="0"/>
          <w:szCs w:val="21"/>
          <w:highlight w:val="none"/>
        </w:rPr>
        <w:t>递交</w:t>
      </w:r>
      <w:r>
        <w:rPr>
          <w:rFonts w:ascii="Arial" w:hAnsi="Arial" w:eastAsia="Arial" w:cs="Arial"/>
          <w:snapToGrid w:val="0"/>
          <w:color w:val="auto"/>
          <w:kern w:val="0"/>
          <w:szCs w:val="21"/>
          <w:highlight w:val="none"/>
        </w:rPr>
        <w:t>的投标文件，</w:t>
      </w:r>
      <w:r>
        <w:rPr>
          <w:rFonts w:hint="eastAsia" w:ascii="Arial" w:hAnsi="Arial" w:eastAsia="Arial" w:cs="Arial"/>
          <w:snapToGrid w:val="0"/>
          <w:color w:val="auto"/>
          <w:kern w:val="0"/>
          <w:szCs w:val="21"/>
          <w:highlight w:val="none"/>
        </w:rPr>
        <w:t>电子招标投标交易平台</w:t>
      </w:r>
      <w:r>
        <w:rPr>
          <w:rFonts w:ascii="Arial" w:hAnsi="Arial" w:eastAsia="Arial" w:cs="Arial"/>
          <w:snapToGrid w:val="0"/>
          <w:color w:val="auto"/>
          <w:kern w:val="0"/>
          <w:szCs w:val="21"/>
          <w:highlight w:val="none"/>
        </w:rPr>
        <w:t>予以拒收。</w:t>
      </w:r>
    </w:p>
    <w:p w14:paraId="49092A2C">
      <w:pPr>
        <w:widowControl/>
        <w:tabs>
          <w:tab w:val="left" w:pos="360"/>
        </w:tabs>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eastAsia="Arial" w:cs="Arial"/>
          <w:snapToGrid w:val="0"/>
          <w:color w:val="auto"/>
          <w:kern w:val="0"/>
          <w:szCs w:val="22"/>
          <w:highlight w:val="none"/>
        </w:rPr>
        <w:t>电子投标文件的解密截止时间为投标截止时间后</w:t>
      </w:r>
      <w:r>
        <w:rPr>
          <w:rFonts w:hint="eastAsia"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rPr>
        <w:t>分钟。请投标人确保投标文件如期解密。在开标现场解密的，请投标人自备解密电脑和网络。</w:t>
      </w:r>
    </w:p>
    <w:p w14:paraId="22C601C9">
      <w:pPr>
        <w:pStyle w:val="3"/>
        <w:spacing w:before="0" w:after="0" w:line="360" w:lineRule="auto"/>
        <w:rPr>
          <w:rFonts w:ascii="Times New Roman" w:hAnsi="Times New Roman" w:eastAsia="黑体"/>
          <w:color w:val="auto"/>
          <w:highlight w:val="none"/>
        </w:rPr>
      </w:pPr>
      <w:bookmarkStart w:id="101" w:name="_Toc211498576"/>
      <w:r>
        <w:rPr>
          <w:rFonts w:hint="eastAsia" w:ascii="Times New Roman" w:hAnsi="Times New Roman" w:eastAsia="黑体"/>
          <w:color w:val="auto"/>
          <w:highlight w:val="none"/>
        </w:rPr>
        <w:t>7</w:t>
      </w:r>
      <w:r>
        <w:rPr>
          <w:rFonts w:ascii="Times New Roman" w:hAnsi="Times New Roman" w:eastAsia="黑体"/>
          <w:color w:val="auto"/>
          <w:highlight w:val="none"/>
        </w:rPr>
        <w:t>.评标办法</w:t>
      </w:r>
      <w:r>
        <w:rPr>
          <w:rFonts w:hint="eastAsia" w:ascii="Times New Roman" w:hAnsi="Times New Roman" w:eastAsia="黑体"/>
          <w:color w:val="auto"/>
          <w:szCs w:val="24"/>
          <w:highlight w:val="none"/>
        </w:rPr>
        <w:t>及确定中标人方式</w:t>
      </w:r>
      <w:bookmarkEnd w:id="101"/>
    </w:p>
    <w:p w14:paraId="3CE88DFD">
      <w:pPr>
        <w:snapToGrid w:val="0"/>
        <w:spacing w:line="360" w:lineRule="auto"/>
        <w:ind w:firstLine="315" w:firstLineChars="150"/>
        <w:rPr>
          <w:color w:val="auto"/>
          <w:highlight w:val="none"/>
        </w:rPr>
      </w:pPr>
      <w:r>
        <w:rPr>
          <w:rFonts w:hint="eastAsia"/>
          <w:color w:val="auto"/>
          <w:highlight w:val="none"/>
        </w:rPr>
        <w:t>7.1评标办法</w:t>
      </w:r>
    </w:p>
    <w:p w14:paraId="4E39CAC4">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经评审的最低投标价法；</w:t>
      </w:r>
      <w:r>
        <w:rPr>
          <w:rFonts w:hint="eastAsia"/>
          <w:color w:val="auto"/>
          <w:highlight w:val="none"/>
        </w:rPr>
        <w:sym w:font="Wingdings 2" w:char="00A3"/>
      </w:r>
      <w:r>
        <w:rPr>
          <w:rFonts w:hint="eastAsia"/>
          <w:color w:val="auto"/>
          <w:highlight w:val="none"/>
        </w:rPr>
        <w:t>合理低价法；</w:t>
      </w:r>
      <w:r>
        <w:rPr>
          <w:rFonts w:hint="eastAsia"/>
          <w:color w:val="auto"/>
          <w:highlight w:val="none"/>
        </w:rPr>
        <w:sym w:font="Wingdings 2" w:char="00A3"/>
      </w:r>
      <w:r>
        <w:rPr>
          <w:rFonts w:hint="eastAsia"/>
          <w:color w:val="auto"/>
          <w:highlight w:val="none"/>
        </w:rPr>
        <w:t>技术评分最低标价法；</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78DCCCF2">
      <w:pPr>
        <w:snapToGrid w:val="0"/>
        <w:spacing w:after="0" w:line="360" w:lineRule="auto"/>
        <w:ind w:firstLine="315" w:firstLineChars="150"/>
        <w:rPr>
          <w:color w:val="auto"/>
          <w:highlight w:val="none"/>
        </w:rPr>
      </w:pPr>
      <w:r>
        <w:rPr>
          <w:rFonts w:hint="eastAsia"/>
          <w:color w:val="auto"/>
          <w:highlight w:val="none"/>
        </w:rPr>
        <w:t>7.2确定中标人方式</w:t>
      </w:r>
    </w:p>
    <w:p w14:paraId="7FEBB661">
      <w:pPr>
        <w:snapToGrid w:val="0"/>
        <w:spacing w:after="0" w:line="360" w:lineRule="auto"/>
        <w:ind w:firstLine="315" w:firstLineChars="150"/>
        <w:rPr>
          <w:color w:val="auto"/>
          <w:highlight w:val="none"/>
        </w:rPr>
      </w:pPr>
      <w:r>
        <w:rPr>
          <w:color w:val="auto"/>
          <w:szCs w:val="21"/>
          <w:highlight w:val="none"/>
        </w:rPr>
        <w:sym w:font="Wingdings 2" w:char="00A3"/>
      </w:r>
      <w:r>
        <w:rPr>
          <w:rFonts w:hint="eastAsia"/>
          <w:color w:val="auto"/>
          <w:szCs w:val="21"/>
          <w:highlight w:val="none"/>
        </w:rPr>
        <w:t>排序法；</w:t>
      </w:r>
      <w:r>
        <w:rPr>
          <w:color w:val="auto"/>
          <w:szCs w:val="21"/>
          <w:highlight w:val="none"/>
        </w:rPr>
        <w:sym w:font="Wingdings 2" w:char="00A3"/>
      </w:r>
      <w:r>
        <w:rPr>
          <w:rFonts w:hint="eastAsia"/>
          <w:color w:val="auto"/>
          <w:szCs w:val="21"/>
          <w:highlight w:val="none"/>
        </w:rPr>
        <w:t>评定分离法</w:t>
      </w:r>
    </w:p>
    <w:p w14:paraId="52785684">
      <w:pPr>
        <w:pStyle w:val="3"/>
        <w:spacing w:before="0" w:after="0" w:line="360" w:lineRule="auto"/>
        <w:rPr>
          <w:rFonts w:ascii="Times New Roman" w:hAnsi="Times New Roman" w:eastAsia="黑体"/>
          <w:color w:val="auto"/>
          <w:highlight w:val="none"/>
        </w:rPr>
      </w:pPr>
      <w:bookmarkStart w:id="102" w:name="_Toc211498577"/>
      <w:r>
        <w:rPr>
          <w:rFonts w:hint="eastAsia" w:ascii="Times New Roman" w:hAnsi="Times New Roman" w:eastAsia="黑体"/>
          <w:color w:val="auto"/>
          <w:highlight w:val="none"/>
        </w:rPr>
        <w:t>8</w:t>
      </w:r>
      <w:r>
        <w:rPr>
          <w:rFonts w:ascii="Times New Roman" w:hAnsi="Times New Roman" w:eastAsia="黑体"/>
          <w:color w:val="auto"/>
          <w:highlight w:val="none"/>
        </w:rPr>
        <w:t>.其它</w:t>
      </w:r>
      <w:bookmarkEnd w:id="102"/>
    </w:p>
    <w:p w14:paraId="61CA42E3">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本招标项目采用电子化招投标，投标人在投标前可在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下载招标文件等相关资料。</w:t>
      </w:r>
    </w:p>
    <w:p w14:paraId="5549C052">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请各投标人及时下载安装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的电子投标文件制作软件、造价软件（如需）</w:t>
      </w:r>
      <w:r>
        <w:rPr>
          <w:rFonts w:hint="eastAsia" w:ascii="Arial" w:hAnsi="Arial" w:eastAsia="Arial" w:cs="Arial"/>
          <w:snapToGrid w:val="0"/>
          <w:color w:val="auto"/>
          <w:kern w:val="0"/>
          <w:szCs w:val="21"/>
          <w:highlight w:val="none"/>
        </w:rPr>
        <w:t>，参与投标的投标人</w:t>
      </w:r>
      <w:r>
        <w:rPr>
          <w:rFonts w:hint="eastAsia" w:ascii="Arial" w:hAnsi="Arial" w:cs="Arial"/>
          <w:snapToGrid w:val="0"/>
          <w:color w:val="auto"/>
          <w:kern w:val="0"/>
          <w:szCs w:val="21"/>
          <w:highlight w:val="none"/>
        </w:rPr>
        <w:t>需使用电子投标文件制作软件制作投标文件</w:t>
      </w:r>
      <w:r>
        <w:rPr>
          <w:rFonts w:hint="eastAsia" w:ascii="Arial" w:hAnsi="Arial" w:eastAsia="Arial" w:cs="Arial"/>
          <w:snapToGrid w:val="0"/>
          <w:color w:val="auto"/>
          <w:kern w:val="0"/>
          <w:szCs w:val="21"/>
          <w:highlight w:val="none"/>
        </w:rPr>
        <w:t>。</w:t>
      </w:r>
    </w:p>
    <w:p w14:paraId="7895ABA3">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各投标人须在</w:t>
      </w:r>
      <w:r>
        <w:rPr>
          <w:rFonts w:hint="eastAsia" w:ascii="Arial" w:hAnsi="Arial" w:cs="Arial"/>
          <w:snapToGrid w:val="0"/>
          <w:color w:val="auto"/>
          <w:kern w:val="0"/>
          <w:szCs w:val="21"/>
          <w:highlight w:val="none"/>
          <w:u w:val="single"/>
        </w:rPr>
        <w:t xml:space="preserve"> </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rPr>
        <w:t xml:space="preserve"> </w:t>
      </w:r>
      <w:r>
        <w:rPr>
          <w:rFonts w:hint="eastAsia" w:ascii="Arial" w:hAnsi="Arial" w:eastAsia="Arial" w:cs="Arial"/>
          <w:snapToGrid w:val="0"/>
          <w:color w:val="auto"/>
          <w:kern w:val="0"/>
          <w:szCs w:val="21"/>
          <w:highlight w:val="none"/>
        </w:rPr>
        <w:t>进行注册并办理企业数字证书（CA证书，含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）、法人数字证书（含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）、签字章等。具体办理流程详见湖南省公共资源交易平台数字证书专区相关信息。</w:t>
      </w:r>
    </w:p>
    <w:p w14:paraId="7936F7E5">
      <w:pPr>
        <w:ind w:firstLine="525" w:firstLineChars="250"/>
        <w:rPr>
          <w:color w:val="auto"/>
          <w:highlight w:val="none"/>
        </w:rPr>
      </w:pPr>
      <w:r>
        <w:rPr>
          <w:rFonts w:hint="eastAsia" w:ascii="Arial" w:hAnsi="Arial" w:eastAsia="Arial" w:cs="Arial"/>
          <w:snapToGrid w:val="0"/>
          <w:color w:val="auto"/>
          <w:kern w:val="0"/>
          <w:szCs w:val="21"/>
          <w:highlight w:val="none"/>
        </w:rPr>
        <w:t>注：本项目投标过程中，电子系统</w:t>
      </w:r>
      <w:r>
        <w:rPr>
          <w:rFonts w:ascii="Arial" w:hAnsi="Arial" w:eastAsia="Arial" w:cs="Arial"/>
          <w:snapToGrid w:val="0"/>
          <w:color w:val="auto"/>
          <w:kern w:val="0"/>
          <w:szCs w:val="21"/>
          <w:highlight w:val="none"/>
        </w:rPr>
        <w:t>使用操作遇到问题时可及时向</w:t>
      </w:r>
      <w:r>
        <w:rPr>
          <w:rFonts w:hint="eastAsia" w:ascii="Arial" w:hAnsi="Arial" w:cs="Arial"/>
          <w:i/>
          <w:iCs/>
          <w:snapToGrid w:val="0"/>
          <w:color w:val="auto"/>
          <w:kern w:val="0"/>
          <w:szCs w:val="21"/>
          <w:highlight w:val="none"/>
        </w:rPr>
        <w:t xml:space="preserve"> </w:t>
      </w:r>
      <w:r>
        <w:rPr>
          <w:rFonts w:hint="eastAsia" w:ascii="Arial" w:hAnsi="Arial" w:cs="Arial"/>
          <w:i/>
          <w:iCs/>
          <w:snapToGrid w:val="0"/>
          <w:color w:val="auto"/>
          <w:kern w:val="0"/>
          <w:szCs w:val="21"/>
          <w:highlight w:val="none"/>
          <w:u w:val="single"/>
        </w:rPr>
        <w:t>电子招标投标交易平台名称</w:t>
      </w:r>
      <w:r>
        <w:rPr>
          <w:rFonts w:hint="eastAsia" w:ascii="Arial" w:hAnsi="Arial" w:cs="Arial"/>
          <w:snapToGrid w:val="0"/>
          <w:color w:val="auto"/>
          <w:kern w:val="0"/>
          <w:szCs w:val="21"/>
          <w:highlight w:val="none"/>
        </w:rPr>
        <w:t>咨询</w:t>
      </w:r>
      <w:r>
        <w:rPr>
          <w:rFonts w:ascii="Arial" w:hAnsi="Arial" w:eastAsia="Arial" w:cs="Arial"/>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5BDD7C61">
      <w:pPr>
        <w:pStyle w:val="3"/>
        <w:spacing w:before="0" w:after="0" w:line="360" w:lineRule="auto"/>
        <w:rPr>
          <w:rFonts w:ascii="Times New Roman" w:hAnsi="Times New Roman" w:eastAsia="黑体"/>
          <w:b w:val="0"/>
          <w:bCs w:val="0"/>
          <w:color w:val="auto"/>
          <w:sz w:val="30"/>
          <w:highlight w:val="none"/>
        </w:rPr>
      </w:pPr>
    </w:p>
    <w:p w14:paraId="40002D1B">
      <w:pPr>
        <w:pStyle w:val="3"/>
        <w:spacing w:before="0" w:after="0" w:line="360" w:lineRule="auto"/>
        <w:rPr>
          <w:rFonts w:ascii="Times New Roman" w:hAnsi="Times New Roman" w:eastAsia="黑体"/>
          <w:color w:val="auto"/>
          <w:highlight w:val="none"/>
        </w:rPr>
      </w:pPr>
      <w:bookmarkStart w:id="103" w:name="_Toc211498578"/>
      <w:r>
        <w:rPr>
          <w:rFonts w:hint="eastAsia" w:ascii="Times New Roman" w:hAnsi="Times New Roman" w:eastAsia="黑体"/>
          <w:color w:val="auto"/>
          <w:highlight w:val="none"/>
        </w:rPr>
        <w:t>9.</w:t>
      </w:r>
      <w:r>
        <w:rPr>
          <w:rFonts w:ascii="Times New Roman" w:hAnsi="Times New Roman" w:eastAsia="黑体"/>
          <w:color w:val="auto"/>
          <w:highlight w:val="none"/>
        </w:rPr>
        <w:t>联系方式</w:t>
      </w:r>
      <w:bookmarkEnd w:id="103"/>
    </w:p>
    <w:p w14:paraId="543CCD1C">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0D78F56">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F55819E">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9314C7B">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63E041F">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57D6156">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EAC518B">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47EBB4D">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B762F97">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08EA15B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7142501C">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325B278">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6BEF274">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2ECA632">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DAD8655">
      <w:pPr>
        <w:widowControl/>
        <w:kinsoku w:val="0"/>
        <w:autoSpaceDE w:val="0"/>
        <w:autoSpaceDN w:val="0"/>
        <w:spacing w:line="360" w:lineRule="auto"/>
        <w:ind w:left="399" w:leftChars="190"/>
        <w:jc w:val="left"/>
        <w:textAlignment w:val="baseline"/>
        <w:rPr>
          <w:color w:val="auto"/>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电    话：_</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bookmarkEnd w:id="87"/>
      <w:bookmarkEnd w:id="88"/>
      <w:r>
        <w:rPr>
          <w:color w:val="auto"/>
          <w:szCs w:val="21"/>
          <w:highlight w:val="none"/>
        </w:rPr>
        <w:t xml:space="preserve">   </w:t>
      </w:r>
    </w:p>
    <w:p w14:paraId="3AF4D5D8">
      <w:pPr>
        <w:spacing w:line="360" w:lineRule="auto"/>
        <w:jc w:val="right"/>
        <w:rPr>
          <w:color w:val="auto"/>
          <w:szCs w:val="21"/>
          <w:highlight w:val="none"/>
        </w:rPr>
      </w:pPr>
    </w:p>
    <w:p w14:paraId="5F67EB50">
      <w:pPr>
        <w:spacing w:line="360" w:lineRule="auto"/>
        <w:jc w:val="right"/>
        <w:rPr>
          <w:color w:val="auto"/>
          <w:szCs w:val="21"/>
          <w:highlight w:val="none"/>
        </w:rPr>
      </w:pPr>
    </w:p>
    <w:p w14:paraId="43B4C22C">
      <w:pPr>
        <w:spacing w:line="360" w:lineRule="auto"/>
        <w:jc w:val="right"/>
        <w:rPr>
          <w:color w:val="auto"/>
          <w:szCs w:val="21"/>
          <w:highlight w:val="none"/>
        </w:rPr>
      </w:pPr>
    </w:p>
    <w:p w14:paraId="3944706F">
      <w:pPr>
        <w:pStyle w:val="2"/>
        <w:spacing w:before="0" w:after="0"/>
        <w:jc w:val="center"/>
        <w:rPr>
          <w:rFonts w:ascii="Times New Roman" w:hAnsi="Times New Roman" w:eastAsia="黑体"/>
          <w:b w:val="0"/>
          <w:bCs w:val="0"/>
          <w:color w:val="auto"/>
          <w:highlight w:val="none"/>
        </w:rPr>
      </w:pPr>
      <w:bookmarkStart w:id="104" w:name="_Toc211498579"/>
      <w:bookmarkStart w:id="105" w:name="_Toc80006087"/>
      <w:r>
        <w:rPr>
          <w:rFonts w:ascii="Times New Roman" w:hAnsi="Times New Roman" w:eastAsia="黑体"/>
          <w:b w:val="0"/>
          <w:bCs w:val="0"/>
          <w:color w:val="auto"/>
          <w:highlight w:val="none"/>
        </w:rPr>
        <w:t xml:space="preserve">第一章 </w:t>
      </w:r>
      <w:r>
        <w:rPr>
          <w:rFonts w:hint="eastAsia" w:ascii="Times New Roman" w:hAnsi="Times New Roman" w:eastAsia="黑体"/>
          <w:b w:val="0"/>
          <w:bCs w:val="0"/>
          <w:color w:val="auto"/>
          <w:highlight w:val="none"/>
        </w:rPr>
        <w:t>资格预审公告（适用于进行资格预审的公开招标项目）</w:t>
      </w:r>
      <w:bookmarkEnd w:id="104"/>
    </w:p>
    <w:p w14:paraId="47779171">
      <w:pPr>
        <w:pStyle w:val="2"/>
        <w:spacing w:before="0" w:after="0"/>
        <w:jc w:val="center"/>
        <w:rPr>
          <w:rFonts w:ascii="Times New Roman" w:hAnsi="Times New Roman" w:eastAsia="黑体"/>
          <w:b w:val="0"/>
          <w:bCs w:val="0"/>
          <w:color w:val="auto"/>
          <w:highlight w:val="none"/>
        </w:rPr>
      </w:pPr>
    </w:p>
    <w:p w14:paraId="19C0AE50">
      <w:pPr>
        <w:ind w:firstLine="570"/>
        <w:jc w:val="center"/>
        <w:rPr>
          <w:rFonts w:eastAsia="黑体"/>
          <w:color w:val="auto"/>
          <w:sz w:val="28"/>
          <w:highlight w:val="none"/>
        </w:rPr>
      </w:pPr>
      <w:r>
        <w:rPr>
          <w:rFonts w:eastAsia="黑体"/>
          <w:color w:val="auto"/>
          <w:sz w:val="28"/>
          <w:highlight w:val="none"/>
          <w:u w:val="single"/>
        </w:rPr>
        <w:t>（</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w:t>
      </w:r>
      <w:r>
        <w:rPr>
          <w:rFonts w:hint="eastAsia" w:eastAsia="黑体"/>
          <w:color w:val="auto"/>
          <w:sz w:val="28"/>
          <w:highlight w:val="none"/>
        </w:rPr>
        <w:t xml:space="preserve">施工资格预审公告（代招标公告） </w:t>
      </w:r>
    </w:p>
    <w:p w14:paraId="55159F3F">
      <w:pPr>
        <w:spacing w:line="360" w:lineRule="auto"/>
        <w:ind w:firstLine="437"/>
        <w:jc w:val="right"/>
        <w:rPr>
          <w:color w:val="auto"/>
          <w:szCs w:val="21"/>
          <w:highlight w:val="none"/>
        </w:rPr>
      </w:pPr>
    </w:p>
    <w:p w14:paraId="1C7DA214">
      <w:pPr>
        <w:pStyle w:val="3"/>
        <w:spacing w:before="0" w:after="0" w:line="360" w:lineRule="auto"/>
        <w:rPr>
          <w:rFonts w:ascii="Times New Roman" w:hAnsi="Times New Roman" w:eastAsia="黑体"/>
          <w:color w:val="auto"/>
          <w:highlight w:val="none"/>
        </w:rPr>
      </w:pPr>
      <w:bookmarkStart w:id="106" w:name="_Toc211498580"/>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106"/>
    </w:p>
    <w:p w14:paraId="3AC0DEC1">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w:t>
      </w:r>
      <w:r>
        <w:rPr>
          <w:rFonts w:hint="eastAsia" w:ascii="宋体" w:hAnsi="宋体" w:eastAsia="Arial" w:cs="Arial"/>
          <w:snapToGrid w:val="0"/>
          <w:color w:val="auto"/>
          <w:kern w:val="0"/>
          <w:sz w:val="24"/>
          <w:szCs w:val="21"/>
          <w:highlight w:val="none"/>
        </w:rPr>
        <w:t>招标代理机构为</w:t>
      </w:r>
      <w:r>
        <w:rPr>
          <w:rFonts w:ascii="宋体" w:hAnsi="宋体" w:eastAsia="Arial" w:cs="Arial"/>
          <w:snapToGrid w:val="0"/>
          <w:color w:val="auto"/>
          <w:kern w:val="0"/>
          <w:sz w:val="24"/>
          <w:szCs w:val="21"/>
          <w:highlight w:val="none"/>
          <w:u w:val="single"/>
        </w:rPr>
        <w:t xml:space="preserve">  </w:t>
      </w:r>
      <w:r>
        <w:rPr>
          <w:rFonts w:hint="eastAsia" w:ascii="宋体" w:hAnsi="宋体"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rPr>
        <w:t xml:space="preserve"> </w:t>
      </w:r>
      <w:r>
        <w:rPr>
          <w:rFonts w:hint="eastAsia" w:ascii="宋体" w:hAnsi="宋体" w:eastAsia="Arial" w:cs="Arial"/>
          <w:snapToGrid w:val="0"/>
          <w:color w:val="auto"/>
          <w:kern w:val="0"/>
          <w:sz w:val="24"/>
          <w:szCs w:val="21"/>
          <w:highlight w:val="none"/>
        </w:rPr>
        <w:t>。</w:t>
      </w:r>
      <w:r>
        <w:rPr>
          <w:rFonts w:ascii="宋体" w:hAnsi="宋体" w:eastAsia="Arial" w:cs="Arial"/>
          <w:snapToGrid w:val="0"/>
          <w:color w:val="auto"/>
          <w:kern w:val="0"/>
          <w:szCs w:val="21"/>
          <w:highlight w:val="none"/>
        </w:rPr>
        <w:t>项目已具备招标条件，现进行公开招标</w:t>
      </w:r>
      <w:r>
        <w:rPr>
          <w:rFonts w:hint="eastAsia" w:ascii="宋体" w:hAnsi="宋体" w:cs="宋体"/>
          <w:snapToGrid w:val="0"/>
          <w:color w:val="auto"/>
          <w:kern w:val="0"/>
          <w:szCs w:val="21"/>
          <w:highlight w:val="none"/>
        </w:rPr>
        <w:t>，</w:t>
      </w:r>
      <w:r>
        <w:rPr>
          <w:rFonts w:hint="eastAsia"/>
          <w:color w:val="auto"/>
          <w:highlight w:val="none"/>
        </w:rPr>
        <w:t>特邀请有兴趣的潜在投标人（以下简称申请人）提出资格预审申请。</w:t>
      </w:r>
    </w:p>
    <w:p w14:paraId="4803D539">
      <w:pPr>
        <w:keepLines/>
        <w:widowControl/>
        <w:kinsoku w:val="0"/>
        <w:autoSpaceDE w:val="0"/>
        <w:autoSpaceDN w:val="0"/>
        <w:spacing w:line="360" w:lineRule="auto"/>
        <w:jc w:val="left"/>
        <w:textAlignment w:val="baseline"/>
        <w:outlineLvl w:val="1"/>
        <w:rPr>
          <w:b/>
          <w:bCs/>
          <w:color w:val="auto"/>
          <w:szCs w:val="21"/>
          <w:highlight w:val="none"/>
        </w:rPr>
      </w:pPr>
      <w:bookmarkStart w:id="107" w:name="_Toc211498581"/>
      <w:r>
        <w:rPr>
          <w:rFonts w:ascii="黑体" w:hAnsi="黑体" w:eastAsia="黑体" w:cs="宋体"/>
          <w:b/>
          <w:snapToGrid w:val="0"/>
          <w:color w:val="auto"/>
          <w:kern w:val="0"/>
          <w:sz w:val="32"/>
          <w:szCs w:val="32"/>
          <w:highlight w:val="none"/>
        </w:rPr>
        <w:t>2. 项目概况</w:t>
      </w:r>
      <w:bookmarkEnd w:id="107"/>
    </w:p>
    <w:p w14:paraId="0DB8F17D">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24BBE484">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57FE9482">
      <w:pPr>
        <w:spacing w:line="360" w:lineRule="auto"/>
        <w:ind w:firstLine="420" w:firstLineChars="200"/>
        <w:rPr>
          <w:b/>
          <w:bCs/>
          <w:color w:val="auto"/>
          <w:szCs w:val="21"/>
          <w:highlight w:val="none"/>
        </w:rPr>
      </w:pPr>
      <w:r>
        <w:rPr>
          <w:rFonts w:hint="eastAsia"/>
          <w:color w:val="auto"/>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5AB7FE8F">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（由招标人根据招标项目具体情况，从下列资质指标牵引项中勾选招标项目需要的指标中对应的最高资质等级的指标牵引项，由系统自动匹配生成所需要的最低资质等级。）</w:t>
      </w:r>
    </w:p>
    <w:p w14:paraId="1F98C5C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2.3.1建筑工程施工总承包</w:t>
      </w:r>
    </w:p>
    <w:p w14:paraId="7BC089A0">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47CDB0EB">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65E08B08">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万平方米的建筑工程；</w:t>
      </w:r>
    </w:p>
    <w:p w14:paraId="09E47586">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6898B7DE">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2.3.2市政公用工程总承包</w:t>
      </w:r>
    </w:p>
    <w:p w14:paraId="35958D63">
      <w:pPr>
        <w:snapToGrid w:val="0"/>
        <w:spacing w:line="360" w:lineRule="auto"/>
        <w:ind w:firstLine="315" w:firstLineChars="150"/>
        <w:rPr>
          <w:color w:val="auto"/>
          <w:highlight w:val="none"/>
        </w:rPr>
      </w:pPr>
      <w:r>
        <w:rPr>
          <w:rFonts w:hint="eastAsia"/>
          <w:color w:val="auto"/>
          <w:highlight w:val="none"/>
        </w:rPr>
        <w:t>□城市道路工程（含快速路）；</w:t>
      </w:r>
    </w:p>
    <w:p w14:paraId="76ADEF7D">
      <w:pPr>
        <w:snapToGrid w:val="0"/>
        <w:spacing w:line="360" w:lineRule="auto"/>
        <w:ind w:firstLine="315" w:firstLineChars="150"/>
        <w:rPr>
          <w:color w:val="auto"/>
          <w:highlight w:val="none"/>
        </w:rPr>
      </w:pPr>
      <w:r>
        <w:rPr>
          <w:rFonts w:hint="eastAsia"/>
          <w:color w:val="auto"/>
          <w:highlight w:val="none"/>
        </w:rPr>
        <w:t>□城市道路工程(不含快速路)；</w:t>
      </w:r>
    </w:p>
    <w:p w14:paraId="476DBE2C">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07B5289E">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1FDE945B">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13CE876D">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51A88455">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万吨/日的污水泵站</w:t>
      </w:r>
      <w:r>
        <w:rPr>
          <w:rFonts w:hint="eastAsia"/>
          <w:color w:val="auto"/>
          <w:highlight w:val="none"/>
          <w:lang w:val="en-US" w:eastAsia="zh-CN"/>
        </w:rPr>
        <w:t>或</w:t>
      </w:r>
      <w:r>
        <w:rPr>
          <w:rFonts w:hint="eastAsia"/>
          <w:color w:val="auto"/>
          <w:highlight w:val="none"/>
        </w:rPr>
        <w:t>雨水泵站；</w:t>
      </w:r>
    </w:p>
    <w:p w14:paraId="67F79503">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59BE7983">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米污水或中水</w:t>
      </w:r>
      <w:r>
        <w:rPr>
          <w:rFonts w:hint="eastAsia"/>
          <w:color w:val="auto"/>
          <w:highlight w:val="none"/>
          <w:lang w:val="en-US" w:eastAsia="zh-CN"/>
        </w:rPr>
        <w:t>或雨水</w:t>
      </w:r>
      <w:r>
        <w:rPr>
          <w:rFonts w:hint="eastAsia"/>
          <w:color w:val="auto"/>
          <w:highlight w:val="none"/>
        </w:rPr>
        <w:t>管道；</w:t>
      </w:r>
    </w:p>
    <w:p w14:paraId="69A2D585">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公斤/平方厘米中压、低压燃气管道、调压站；</w:t>
      </w:r>
    </w:p>
    <w:p w14:paraId="6E90396A">
      <w:pPr>
        <w:snapToGrid w:val="0"/>
        <w:spacing w:line="360" w:lineRule="auto"/>
        <w:ind w:firstLine="315" w:firstLineChars="150"/>
        <w:rPr>
          <w:color w:val="auto"/>
          <w:highlight w:val="none"/>
        </w:rPr>
      </w:pPr>
      <w:r>
        <w:rPr>
          <w:rFonts w:hint="eastAsia"/>
          <w:color w:val="auto"/>
          <w:highlight w:val="none"/>
        </w:rPr>
        <w:t>□ 中压以上燃气管道、调压站；</w:t>
      </w:r>
    </w:p>
    <w:p w14:paraId="7C8DDC4F">
      <w:pPr>
        <w:snapToGrid w:val="0"/>
        <w:spacing w:line="360" w:lineRule="auto"/>
        <w:ind w:firstLine="315" w:firstLineChars="15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6F9A7807">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1CB5C95D">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22B2847C">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5409910E">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 )；</w:t>
      </w:r>
    </w:p>
    <w:p w14:paraId="348C56B6">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65E33CFE">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26FAFD97">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2.3.3地基基础工程专业承包</w:t>
      </w:r>
    </w:p>
    <w:p w14:paraId="51C56C3B">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米工业、民用建筑工程的地基基础工程；</w:t>
      </w:r>
    </w:p>
    <w:p w14:paraId="36AEAF50">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米构筑物的地基基础工程；</w:t>
      </w:r>
    </w:p>
    <w:p w14:paraId="7D54EF14">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米的刚性桩复合地基处理；</w:t>
      </w:r>
    </w:p>
    <w:p w14:paraId="57870CF7">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米的其它地基处理工程；</w:t>
      </w:r>
    </w:p>
    <w:p w14:paraId="602D809A">
      <w:pPr>
        <w:snapToGrid w:val="0"/>
        <w:spacing w:line="360" w:lineRule="auto"/>
        <w:ind w:firstLine="315" w:firstLineChars="150"/>
        <w:rPr>
          <w:color w:val="auto"/>
          <w:highlight w:val="none"/>
        </w:rPr>
      </w:pPr>
      <w:r>
        <w:rPr>
          <w:rFonts w:hint="eastAsia"/>
          <w:color w:val="auto"/>
          <w:highlight w:val="none"/>
        </w:rPr>
        <w:t>□单桩承受设计荷载</w:t>
      </w:r>
      <w:r>
        <w:rPr>
          <w:rFonts w:hint="eastAsia"/>
          <w:color w:val="auto"/>
          <w:highlight w:val="none"/>
          <w:u w:val="single"/>
        </w:rPr>
        <w:t xml:space="preserve">     </w:t>
      </w:r>
      <w:r>
        <w:rPr>
          <w:rFonts w:hint="eastAsia"/>
          <w:color w:val="auto"/>
          <w:highlight w:val="none"/>
        </w:rPr>
        <w:t>千牛的桩基础工程；</w:t>
      </w:r>
    </w:p>
    <w:p w14:paraId="458635FC">
      <w:pPr>
        <w:snapToGrid w:val="0"/>
        <w:spacing w:line="360" w:lineRule="auto"/>
        <w:ind w:firstLine="315" w:firstLineChars="150"/>
        <w:rPr>
          <w:color w:val="auto"/>
          <w:highlight w:val="none"/>
        </w:rPr>
      </w:pPr>
      <w:r>
        <w:rPr>
          <w:rFonts w:hint="eastAsia"/>
          <w:color w:val="auto"/>
          <w:highlight w:val="none"/>
        </w:rPr>
        <w:t>□开挖深度</w:t>
      </w:r>
      <w:r>
        <w:rPr>
          <w:rFonts w:hint="eastAsia"/>
          <w:color w:val="auto"/>
          <w:highlight w:val="none"/>
          <w:u w:val="single"/>
        </w:rPr>
        <w:t xml:space="preserve">     </w:t>
      </w:r>
      <w:r>
        <w:rPr>
          <w:rFonts w:hint="eastAsia"/>
          <w:color w:val="auto"/>
          <w:highlight w:val="none"/>
        </w:rPr>
        <w:t>米的基坑围护工程。</w:t>
      </w:r>
    </w:p>
    <w:p w14:paraId="5B69D6F7">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2.3.4起重设备安装工程专业承包</w:t>
      </w:r>
    </w:p>
    <w:p w14:paraId="2D9C3C21">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千牛·米塔式起重机、各类施工升降机和门式起重机的安装与拆卸。</w:t>
      </w:r>
    </w:p>
    <w:p w14:paraId="1AFFA71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2.3.5预拌混凝土专业承包</w:t>
      </w:r>
    </w:p>
    <w:p w14:paraId="514033D2">
      <w:pPr>
        <w:snapToGrid w:val="0"/>
        <w:spacing w:line="360" w:lineRule="auto"/>
        <w:ind w:firstLine="315" w:firstLineChars="150"/>
        <w:rPr>
          <w:color w:val="auto"/>
          <w:highlight w:val="none"/>
        </w:rPr>
      </w:pPr>
      <w:r>
        <w:rPr>
          <w:rFonts w:hint="eastAsia"/>
          <w:color w:val="auto"/>
          <w:highlight w:val="none"/>
        </w:rPr>
        <w:t>□ 各种强度等级的混凝土和特种混凝土。</w:t>
      </w:r>
    </w:p>
    <w:p w14:paraId="55B4B5C0">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2.3.6电子与智能化工程专业</w:t>
      </w:r>
    </w:p>
    <w:p w14:paraId="12C51F6F">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277C44DF">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5F3FF8E9">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2.3.7消防设施工程专业</w:t>
      </w:r>
    </w:p>
    <w:p w14:paraId="1C28D690">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510629DA">
      <w:pPr>
        <w:snapToGrid w:val="0"/>
        <w:spacing w:line="360" w:lineRule="auto"/>
        <w:ind w:firstLine="315" w:firstLineChars="150"/>
        <w:rPr>
          <w:color w:val="auto"/>
          <w:highlight w:val="none"/>
        </w:rPr>
      </w:pPr>
      <w:r>
        <w:rPr>
          <w:rFonts w:hint="eastAsia"/>
          <w:color w:val="auto"/>
          <w:highlight w:val="none"/>
        </w:rPr>
        <w:t>（1）一类高层民用建筑以外的民用建筑；</w:t>
      </w:r>
    </w:p>
    <w:p w14:paraId="2F8DE19B">
      <w:pPr>
        <w:snapToGrid w:val="0"/>
        <w:spacing w:line="360" w:lineRule="auto"/>
        <w:ind w:firstLine="315" w:firstLineChars="150"/>
        <w:rPr>
          <w:color w:val="auto"/>
          <w:highlight w:val="none"/>
        </w:rPr>
      </w:pPr>
      <w:r>
        <w:rPr>
          <w:rFonts w:hint="eastAsia"/>
          <w:color w:val="auto"/>
          <w:highlight w:val="none"/>
        </w:rPr>
        <w:t>（2）火灾危险性丙类以下的厂房、仓库、储罐、堆场。</w:t>
      </w:r>
    </w:p>
    <w:p w14:paraId="5A7DF5F3">
      <w:pPr>
        <w:snapToGrid w:val="0"/>
        <w:spacing w:line="360" w:lineRule="auto"/>
        <w:ind w:firstLine="315" w:firstLineChars="150"/>
        <w:rPr>
          <w:color w:val="auto"/>
          <w:highlight w:val="none"/>
        </w:rPr>
      </w:pPr>
      <w:r>
        <w:rPr>
          <w:rFonts w:hint="eastAsia"/>
          <w:color w:val="auto"/>
          <w:highlight w:val="none"/>
        </w:rPr>
        <w:t>□ 一类高层民用建筑；</w:t>
      </w:r>
    </w:p>
    <w:p w14:paraId="63BAA81D">
      <w:pPr>
        <w:snapToGrid w:val="0"/>
        <w:spacing w:line="360" w:lineRule="auto"/>
        <w:ind w:firstLine="315" w:firstLineChars="150"/>
        <w:rPr>
          <w:color w:val="auto"/>
          <w:highlight w:val="none"/>
        </w:rPr>
      </w:pPr>
      <w:r>
        <w:rPr>
          <w:rFonts w:hint="eastAsia"/>
          <w:color w:val="auto"/>
          <w:highlight w:val="none"/>
        </w:rPr>
        <w:t>□ 火灾危险性乙类以上的厂房、仓库、储罐、堆场。</w:t>
      </w:r>
    </w:p>
    <w:p w14:paraId="471423B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2.3.8防水防腐保温工程</w:t>
      </w:r>
    </w:p>
    <w:p w14:paraId="57360074">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万元建筑防水工程的施工;</w:t>
      </w:r>
    </w:p>
    <w:p w14:paraId="3C7BAF20">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万元的各类防腐保温工程。</w:t>
      </w:r>
    </w:p>
    <w:p w14:paraId="485C6961">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2.3.9钢结构工程专业</w:t>
      </w:r>
    </w:p>
    <w:p w14:paraId="419E893B">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324AA0FC">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 xml:space="preserve">米； </w:t>
      </w:r>
    </w:p>
    <w:p w14:paraId="1D5A3139">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w:t>
      </w:r>
    </w:p>
    <w:p w14:paraId="46D11158">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602BD746">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 xml:space="preserve">平方米。 </w:t>
      </w:r>
    </w:p>
    <w:p w14:paraId="58AD6DD3">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2.3.10模板脚手架专业</w:t>
      </w:r>
    </w:p>
    <w:p w14:paraId="0021857C">
      <w:pPr>
        <w:snapToGrid w:val="0"/>
        <w:spacing w:line="360" w:lineRule="auto"/>
        <w:ind w:firstLine="315" w:firstLineChars="150"/>
        <w:rPr>
          <w:color w:val="auto"/>
          <w:highlight w:val="none"/>
        </w:rPr>
      </w:pPr>
      <w:r>
        <w:rPr>
          <w:rFonts w:hint="eastAsia"/>
          <w:color w:val="auto"/>
          <w:highlight w:val="none"/>
        </w:rPr>
        <w:t>□各类模板、脚手架工程的设计、制作、安装、施工。</w:t>
      </w:r>
    </w:p>
    <w:p w14:paraId="1905434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2.3.11建筑装修装饰工程专业</w:t>
      </w:r>
    </w:p>
    <w:p w14:paraId="0E55FFBD">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5097F27F">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2.3.12建筑机电安装工程专业</w:t>
      </w:r>
    </w:p>
    <w:p w14:paraId="4E7549D5">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6C78886C">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0D2BD148">
      <w:pPr>
        <w:snapToGrid w:val="0"/>
        <w:spacing w:line="360" w:lineRule="auto"/>
        <w:ind w:firstLine="315" w:firstLineChars="150"/>
        <w:rPr>
          <w:color w:val="auto"/>
          <w:highlight w:val="none"/>
        </w:rPr>
      </w:pPr>
      <w:r>
        <w:rPr>
          <w:rFonts w:hint="eastAsia"/>
          <w:color w:val="auto"/>
          <w:highlight w:val="none"/>
        </w:rPr>
        <w:t>□非标准钢结构件的制作、安装。</w:t>
      </w:r>
    </w:p>
    <w:p w14:paraId="332589E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2.3.13建筑幕墙工程专业</w:t>
      </w:r>
    </w:p>
    <w:p w14:paraId="16479FBA">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7536701D">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2.3.14古建筑工程专业</w:t>
      </w:r>
    </w:p>
    <w:p w14:paraId="2FDD1428">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1630036A">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3B8E91ED">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1F302EA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2.3.15城市及道路照明工程专业</w:t>
      </w:r>
    </w:p>
    <w:p w14:paraId="10CC769C">
      <w:pPr>
        <w:snapToGrid w:val="0"/>
        <w:spacing w:line="360" w:lineRule="auto"/>
        <w:ind w:firstLine="315" w:firstLineChars="150"/>
        <w:rPr>
          <w:b/>
          <w:bCs/>
          <w:color w:val="auto"/>
          <w:sz w:val="28"/>
          <w:szCs w:val="28"/>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6C32C783">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2.3.16特种专业工程</w:t>
      </w:r>
    </w:p>
    <w:p w14:paraId="057410C5">
      <w:pPr>
        <w:snapToGrid w:val="0"/>
        <w:spacing w:line="360" w:lineRule="auto"/>
        <w:ind w:firstLine="315" w:firstLineChars="150"/>
        <w:rPr>
          <w:rFonts w:hint="eastAsia"/>
          <w:color w:val="auto"/>
          <w:highlight w:val="none"/>
        </w:rPr>
      </w:pPr>
      <w:r>
        <w:rPr>
          <w:rFonts w:hint="eastAsia"/>
          <w:color w:val="auto"/>
          <w:highlight w:val="none"/>
        </w:rPr>
        <w:t>□建筑物纠偏和平移</w:t>
      </w:r>
    </w:p>
    <w:p w14:paraId="7521484A">
      <w:pPr>
        <w:snapToGrid w:val="0"/>
        <w:spacing w:line="360" w:lineRule="auto"/>
        <w:ind w:firstLine="315" w:firstLineChars="150"/>
        <w:rPr>
          <w:rFonts w:hint="eastAsia"/>
          <w:color w:val="auto"/>
          <w:highlight w:val="none"/>
        </w:rPr>
      </w:pPr>
      <w:r>
        <w:rPr>
          <w:rFonts w:hint="eastAsia"/>
          <w:color w:val="auto"/>
          <w:highlight w:val="none"/>
        </w:rPr>
        <w:t>□结构补强</w:t>
      </w:r>
    </w:p>
    <w:p w14:paraId="19D0FCC8">
      <w:pPr>
        <w:snapToGrid w:val="0"/>
        <w:spacing w:line="360" w:lineRule="auto"/>
        <w:ind w:firstLine="315" w:firstLineChars="150"/>
        <w:rPr>
          <w:rFonts w:hint="eastAsia"/>
          <w:color w:val="auto"/>
          <w:highlight w:val="none"/>
        </w:rPr>
      </w:pPr>
      <w:r>
        <w:rPr>
          <w:rFonts w:hint="eastAsia"/>
          <w:color w:val="auto"/>
          <w:highlight w:val="none"/>
        </w:rPr>
        <w:t>□特殊设备起重吊装</w:t>
      </w:r>
    </w:p>
    <w:p w14:paraId="421A894A">
      <w:pPr>
        <w:snapToGrid w:val="0"/>
        <w:spacing w:line="360" w:lineRule="auto"/>
        <w:ind w:firstLine="315" w:firstLineChars="150"/>
        <w:rPr>
          <w:rFonts w:hint="eastAsia"/>
          <w:color w:val="auto"/>
          <w:highlight w:val="none"/>
        </w:rPr>
      </w:pPr>
      <w:r>
        <w:rPr>
          <w:rFonts w:hint="eastAsia"/>
          <w:color w:val="auto"/>
          <w:highlight w:val="none"/>
        </w:rPr>
        <w:t>□特种防雷</w:t>
      </w:r>
    </w:p>
    <w:p w14:paraId="76C5F59D">
      <w:pPr>
        <w:snapToGrid w:val="0"/>
        <w:spacing w:line="360" w:lineRule="auto"/>
        <w:ind w:firstLine="315" w:firstLineChars="150"/>
        <w:rPr>
          <w:rFonts w:hint="eastAsia"/>
          <w:color w:val="auto"/>
          <w:highlight w:val="none"/>
        </w:rPr>
      </w:pPr>
      <w:r>
        <w:rPr>
          <w:rFonts w:hint="eastAsia"/>
          <w:color w:val="auto"/>
          <w:highlight w:val="none"/>
        </w:rPr>
        <w:t>□</w:t>
      </w:r>
      <w:r>
        <w:rPr>
          <w:rFonts w:hint="eastAsia"/>
          <w:color w:val="auto"/>
          <w:highlight w:val="none"/>
          <w:lang w:val="en-US" w:eastAsia="zh-CN"/>
        </w:rPr>
        <w:t>特种专业工程</w:t>
      </w:r>
    </w:p>
    <w:p w14:paraId="2FC1F38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2.3.17桥梁工程专业</w:t>
      </w:r>
    </w:p>
    <w:p w14:paraId="6E94D43F">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75F53347">
      <w:pPr>
        <w:snapToGrid w:val="0"/>
        <w:spacing w:line="360" w:lineRule="auto"/>
        <w:ind w:firstLine="315" w:firstLineChars="15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24EF81FD">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2.3.18隧道工程专业</w:t>
      </w:r>
    </w:p>
    <w:p w14:paraId="3901C009">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7DA9BA8B">
      <w:pPr>
        <w:snapToGrid w:val="0"/>
        <w:spacing w:line="360" w:lineRule="auto"/>
        <w:ind w:firstLine="315" w:firstLineChars="15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3AAF3A39">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2.3.19公路路面工程专业（适用于市政公用工程中单独招标的路面工程）</w:t>
      </w:r>
    </w:p>
    <w:p w14:paraId="5182EE51">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级公路路面工程的施工</w:t>
      </w:r>
    </w:p>
    <w:p w14:paraId="092A08A8">
      <w:pPr>
        <w:snapToGrid w:val="0"/>
        <w:spacing w:line="360" w:lineRule="auto"/>
        <w:rPr>
          <w:b/>
          <w:bCs/>
          <w:color w:val="auto"/>
          <w:sz w:val="28"/>
          <w:szCs w:val="28"/>
          <w:highlight w:val="none"/>
        </w:rPr>
      </w:pPr>
      <w:r>
        <w:rPr>
          <w:rFonts w:hint="eastAsia"/>
          <w:b/>
          <w:bCs/>
          <w:color w:val="auto"/>
          <w:sz w:val="28"/>
          <w:szCs w:val="28"/>
          <w:highlight w:val="none"/>
        </w:rPr>
        <w:t xml:space="preserve">  2.3.20公路交通工程专业（适用于市政公用工程中单独招标的交通工程）</w:t>
      </w:r>
    </w:p>
    <w:p w14:paraId="388EB89D">
      <w:pPr>
        <w:snapToGrid w:val="0"/>
        <w:spacing w:line="360" w:lineRule="auto"/>
        <w:ind w:firstLine="315" w:firstLineChars="150"/>
        <w:rPr>
          <w:color w:val="auto"/>
          <w:highlight w:val="none"/>
        </w:rPr>
      </w:pPr>
      <w:r>
        <w:rPr>
          <w:rFonts w:hint="eastAsia"/>
          <w:color w:val="auto"/>
          <w:highlight w:val="none"/>
        </w:rPr>
        <w:t>□公路安全设施分项</w:t>
      </w:r>
    </w:p>
    <w:p w14:paraId="16AAB3E8">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级公路标志、标线、护栏、隔离栅、防眩板等公路安全设施工程的施工及安装</w:t>
      </w:r>
    </w:p>
    <w:p w14:paraId="206F91E6">
      <w:pPr>
        <w:snapToGrid w:val="0"/>
        <w:spacing w:line="360" w:lineRule="auto"/>
        <w:ind w:firstLine="315" w:firstLineChars="150"/>
        <w:rPr>
          <w:color w:val="auto"/>
          <w:highlight w:val="none"/>
        </w:rPr>
      </w:pPr>
      <w:r>
        <w:rPr>
          <w:rFonts w:hint="eastAsia"/>
          <w:color w:val="auto"/>
          <w:highlight w:val="none"/>
        </w:rPr>
        <w:t>□公路机电工程分项</w:t>
      </w:r>
    </w:p>
    <w:p w14:paraId="17BE65F4">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通信、监控、收费、干线传输系统、移动通信系统、光（电）缆敷设工程、紧急电话系统、交通信息采集系统、信息发布系统、中央控制系统、供配电、照明、智能交通管理等机电系统及配套工程系统的施工及安装；公路桥梁及隧道工程健康监测、通风、通信管道等机电系统及配套设备的施工及安装。</w:t>
      </w:r>
    </w:p>
    <w:p w14:paraId="173BEC7C">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2.3.21装配式建筑项目</w:t>
      </w:r>
    </w:p>
    <w:p w14:paraId="79D2589F">
      <w:pPr>
        <w:snapToGrid w:val="0"/>
        <w:spacing w:line="360" w:lineRule="auto"/>
        <w:ind w:firstLine="420" w:firstLineChars="200"/>
        <w:rPr>
          <w:rFonts w:hint="eastAsia"/>
          <w:color w:val="auto"/>
          <w:highlight w:val="none"/>
        </w:rPr>
      </w:pPr>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70D739E7">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□施工总承包工程</w:t>
      </w:r>
      <w:r>
        <w:rPr>
          <w:b/>
          <w:bCs/>
          <w:color w:val="auto"/>
          <w:sz w:val="28"/>
          <w:szCs w:val="28"/>
          <w:highlight w:val="none"/>
        </w:rPr>
        <w:t>+</w:t>
      </w:r>
      <w:r>
        <w:rPr>
          <w:rFonts w:hint="eastAsia"/>
          <w:b/>
          <w:bCs/>
          <w:color w:val="auto"/>
          <w:sz w:val="28"/>
          <w:szCs w:val="28"/>
          <w:highlight w:val="none"/>
        </w:rPr>
        <w:t>施工总承包工程：</w:t>
      </w:r>
    </w:p>
    <w:p w14:paraId="50B14303">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招标人根据项目情况选择施工总承包资质类别并设置资质或资格组合。</w:t>
      </w:r>
    </w:p>
    <w:p w14:paraId="1F1D0256">
      <w:pPr>
        <w:snapToGrid w:val="0"/>
        <w:spacing w:line="360" w:lineRule="auto"/>
        <w:rPr>
          <w:color w:val="auto"/>
          <w:highlight w:val="none"/>
        </w:rPr>
      </w:pPr>
      <w:r>
        <w:rPr>
          <w:rFonts w:hint="eastAsia"/>
          <w:b/>
          <w:bCs/>
          <w:color w:val="auto"/>
          <w:sz w:val="28"/>
          <w:szCs w:val="28"/>
          <w:highlight w:val="none"/>
        </w:rPr>
        <w:t xml:space="preserve">  □建筑工程施工总承包工程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1F44B9A4">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662685C6">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□市政公用工程施工总承包工程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65581AE1">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60658E3E">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□专业工程</w:t>
      </w:r>
      <w:r>
        <w:rPr>
          <w:b/>
          <w:bCs/>
          <w:color w:val="auto"/>
          <w:sz w:val="28"/>
          <w:szCs w:val="28"/>
          <w:highlight w:val="none"/>
        </w:rPr>
        <w:t>+</w:t>
      </w:r>
      <w:r>
        <w:rPr>
          <w:rFonts w:hint="eastAsia"/>
          <w:b/>
          <w:bCs/>
          <w:color w:val="auto"/>
          <w:sz w:val="28"/>
          <w:szCs w:val="28"/>
          <w:highlight w:val="none"/>
        </w:rPr>
        <w:t>专业工程：</w:t>
      </w:r>
    </w:p>
    <w:p w14:paraId="021A617C">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7E9C2EE7">
      <w:pPr>
        <w:snapToGrid w:val="0"/>
        <w:spacing w:line="360" w:lineRule="auto"/>
        <w:ind w:firstLine="422" w:firstLineChars="200"/>
        <w:rPr>
          <w:rFonts w:hint="eastAsia" w:ascii="宋体" w:hAnsi="宋体" w:cs="Arial"/>
          <w:snapToGrid w:val="0"/>
          <w:color w:val="auto"/>
          <w:kern w:val="0"/>
          <w:szCs w:val="21"/>
          <w:highlight w:val="none"/>
        </w:rPr>
      </w:pPr>
      <w:r>
        <w:rPr>
          <w:rFonts w:hint="eastAsia"/>
          <w:b/>
          <w:bCs/>
          <w:color w:val="auto"/>
          <w:highlight w:val="none"/>
        </w:rPr>
        <w:t>注：采用多资质组合招标的工程项目，最多不超过三个（不包括装配式建筑项目要求具备的装配式资格）资质。</w:t>
      </w:r>
    </w:p>
    <w:p w14:paraId="2415A779">
      <w:pPr>
        <w:kinsoku w:val="0"/>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358FF348">
      <w:pPr>
        <w:kinsoku w:val="0"/>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 ；</w:t>
      </w:r>
    </w:p>
    <w:p w14:paraId="7F388CAC">
      <w:pPr>
        <w:kinsoku w:val="0"/>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3A0F22D2">
      <w:pPr>
        <w:kinsoku w:val="0"/>
        <w:autoSpaceDE w:val="0"/>
        <w:autoSpaceDN w:val="0"/>
        <w:spacing w:line="360" w:lineRule="auto"/>
        <w:ind w:firstLine="420" w:firstLineChars="200"/>
        <w:textAlignment w:val="baseline"/>
        <w:rPr>
          <w:color w:val="auto"/>
          <w:szCs w:val="21"/>
          <w:highlight w:val="none"/>
        </w:rPr>
      </w:pPr>
      <w:r>
        <w:rPr>
          <w:rFonts w:hint="eastAsia" w:ascii="宋体" w:hAnsi="宋体" w:eastAsia="Arial" w:cs="Arial"/>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56081328">
      <w:pPr>
        <w:keepLines/>
        <w:kinsoku w:val="0"/>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108" w:name="_Toc211498582"/>
      <w:r>
        <w:rPr>
          <w:rFonts w:hint="eastAsia" w:ascii="黑体" w:hAnsi="黑体" w:eastAsia="黑体" w:cs="宋体"/>
          <w:b/>
          <w:snapToGrid w:val="0"/>
          <w:color w:val="auto"/>
          <w:kern w:val="0"/>
          <w:sz w:val="32"/>
          <w:szCs w:val="32"/>
          <w:highlight w:val="none"/>
        </w:rPr>
        <w:t>3.招标范围</w:t>
      </w:r>
      <w:bookmarkEnd w:id="108"/>
    </w:p>
    <w:p w14:paraId="045E276A">
      <w:pPr>
        <w:widowControl/>
        <w:kinsoku w:val="0"/>
        <w:autoSpaceDE w:val="0"/>
        <w:autoSpaceDN w:val="0"/>
        <w:spacing w:line="360" w:lineRule="auto"/>
        <w:ind w:firstLine="420" w:firstLineChars="200"/>
        <w:jc w:val="left"/>
        <w:textAlignment w:val="baseline"/>
        <w:rPr>
          <w:rFonts w:eastAsia="黑体"/>
          <w:color w:val="auto"/>
          <w:sz w:val="30"/>
          <w:highlight w:val="none"/>
          <w:u w:val="singl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w:t>
      </w:r>
      <w:r>
        <w:rPr>
          <w:rFonts w:hint="eastAsia" w:eastAsia="黑体"/>
          <w:color w:val="auto"/>
          <w:sz w:val="30"/>
          <w:highlight w:val="none"/>
          <w:u w:val="single"/>
        </w:rPr>
        <w:t xml:space="preserve">                 </w:t>
      </w:r>
      <w:r>
        <w:rPr>
          <w:rFonts w:hint="eastAsia" w:ascii="宋体" w:hAnsi="宋体" w:eastAsia="Arial" w:cs="Arial"/>
          <w:snapToGrid w:val="0"/>
          <w:color w:val="auto"/>
          <w:kern w:val="0"/>
          <w:szCs w:val="21"/>
          <w:highlight w:val="none"/>
        </w:rPr>
        <w:t xml:space="preserve">                            （招标人根据项目情况补充填写）。 </w:t>
      </w:r>
      <w:r>
        <w:rPr>
          <w:rFonts w:hint="eastAsia" w:eastAsia="黑体"/>
          <w:color w:val="auto"/>
          <w:sz w:val="30"/>
          <w:highlight w:val="none"/>
        </w:rPr>
        <w:t xml:space="preserve"> </w:t>
      </w:r>
    </w:p>
    <w:p w14:paraId="3D914F0A">
      <w:pPr>
        <w:keepLines/>
        <w:kinsoku w:val="0"/>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109" w:name="_Toc211498583"/>
      <w:r>
        <w:rPr>
          <w:rFonts w:ascii="黑体" w:hAnsi="黑体" w:eastAsia="黑体" w:cs="宋体"/>
          <w:b/>
          <w:snapToGrid w:val="0"/>
          <w:color w:val="auto"/>
          <w:kern w:val="0"/>
          <w:sz w:val="32"/>
          <w:szCs w:val="32"/>
          <w:highlight w:val="none"/>
        </w:rPr>
        <w:t>4.</w:t>
      </w:r>
      <w:r>
        <w:rPr>
          <w:rFonts w:hint="eastAsia" w:ascii="黑体" w:hAnsi="黑体" w:eastAsia="黑体" w:cs="宋体"/>
          <w:b/>
          <w:snapToGrid w:val="0"/>
          <w:color w:val="auto"/>
          <w:kern w:val="0"/>
          <w:sz w:val="32"/>
          <w:szCs w:val="32"/>
          <w:highlight w:val="none"/>
        </w:rPr>
        <w:t>申请人资格要求</w:t>
      </w:r>
      <w:bookmarkEnd w:id="109"/>
    </w:p>
    <w:p w14:paraId="35553D3F">
      <w:pPr>
        <w:widowControl/>
        <w:kinsoku w:val="0"/>
        <w:autoSpaceDE w:val="0"/>
        <w:autoSpaceDN w:val="0"/>
        <w:spacing w:line="360" w:lineRule="auto"/>
        <w:ind w:firstLine="420" w:firstLineChars="200"/>
        <w:jc w:val="left"/>
        <w:textAlignment w:val="baseline"/>
        <w:outlineLvl w:val="2"/>
        <w:rPr>
          <w:rFonts w:ascii="宋体" w:hAnsi="宋体" w:eastAsia="Arial" w:cs="Arial"/>
          <w:snapToGrid w:val="0"/>
          <w:color w:val="auto"/>
          <w:kern w:val="0"/>
          <w:szCs w:val="21"/>
          <w:highlight w:val="none"/>
        </w:rPr>
      </w:pPr>
      <w:bookmarkStart w:id="110" w:name="_Toc211498584"/>
      <w:bookmarkStart w:id="111" w:name="_Toc193802636"/>
      <w:bookmarkStart w:id="112" w:name="_Toc193801679"/>
      <w:bookmarkStart w:id="113" w:name="_Toc193802256"/>
      <w:r>
        <w:rPr>
          <w:rFonts w:hint="eastAsia" w:ascii="宋体" w:hAnsi="宋体" w:cs="Arial"/>
          <w:snapToGrid w:val="0"/>
          <w:color w:val="auto"/>
          <w:kern w:val="0"/>
          <w:szCs w:val="21"/>
          <w:highlight w:val="none"/>
        </w:rPr>
        <w:t>4</w:t>
      </w:r>
      <w:r>
        <w:rPr>
          <w:rFonts w:ascii="宋体" w:hAnsi="宋体" w:eastAsia="Arial" w:cs="Arial"/>
          <w:snapToGrid w:val="0"/>
          <w:color w:val="auto"/>
          <w:kern w:val="0"/>
          <w:szCs w:val="21"/>
          <w:highlight w:val="none"/>
        </w:rPr>
        <w:t xml:space="preserve">.1 </w:t>
      </w:r>
      <w:r>
        <w:rPr>
          <w:rFonts w:ascii="Arial" w:hAnsi="Arial" w:eastAsia="Arial" w:cs="Arial"/>
          <w:snapToGrid w:val="0"/>
          <w:color w:val="auto"/>
          <w:kern w:val="0"/>
          <w:szCs w:val="21"/>
          <w:highlight w:val="none"/>
        </w:rPr>
        <w:t>本次招标要求投标人具备以下</w:t>
      </w:r>
      <w:r>
        <w:rPr>
          <w:rFonts w:hint="eastAsia" w:ascii="Arial" w:hAnsi="Arial" w:cs="Arial"/>
          <w:snapToGrid w:val="0"/>
          <w:color w:val="auto"/>
          <w:kern w:val="0"/>
          <w:szCs w:val="21"/>
          <w:highlight w:val="none"/>
        </w:rPr>
        <w:t>资格条件</w:t>
      </w:r>
      <w:r>
        <w:rPr>
          <w:rFonts w:ascii="Arial" w:hAnsi="Arial" w:eastAsia="Arial" w:cs="Arial"/>
          <w:snapToGrid w:val="0"/>
          <w:color w:val="auto"/>
          <w:kern w:val="0"/>
          <w:szCs w:val="21"/>
          <w:highlight w:val="none"/>
        </w:rPr>
        <w:t>：</w:t>
      </w:r>
      <w:bookmarkEnd w:id="110"/>
      <w:bookmarkEnd w:id="111"/>
      <w:bookmarkEnd w:id="112"/>
      <w:bookmarkEnd w:id="113"/>
    </w:p>
    <w:p w14:paraId="229A832D">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r>
        <w:rPr>
          <w:rFonts w:hint="eastAsia"/>
          <w:color w:val="auto"/>
          <w:highlight w:val="none"/>
        </w:rPr>
        <w:t>。</w:t>
      </w:r>
      <w:r>
        <w:rPr>
          <w:color w:val="auto"/>
          <w:highlight w:val="none"/>
        </w:rPr>
        <w:t xml:space="preserve"> </w:t>
      </w:r>
    </w:p>
    <w:p w14:paraId="77D48DC8">
      <w:pPr>
        <w:spacing w:line="360" w:lineRule="auto"/>
        <w:ind w:firstLine="420" w:firstLineChars="200"/>
        <w:rPr>
          <w:color w:val="auto"/>
          <w:highlight w:val="none"/>
        </w:rPr>
      </w:pPr>
      <w:r>
        <w:rPr>
          <w:rFonts w:hint="eastAsia"/>
          <w:color w:val="auto"/>
          <w:highlight w:val="none"/>
        </w:rPr>
        <w:t>（2）</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b/>
          <w:bCs/>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ascii="Arial" w:hAnsi="Arial" w:cs="Arial"/>
          <w:snapToGrid w:val="0"/>
          <w:color w:val="auto"/>
          <w:kern w:val="0"/>
          <w:szCs w:val="21"/>
          <w:highlight w:val="none"/>
        </w:rPr>
        <w:t>且处于有效期</w:t>
      </w:r>
      <w:r>
        <w:rPr>
          <w:color w:val="auto"/>
          <w:highlight w:val="none"/>
        </w:rPr>
        <w:t>，</w:t>
      </w:r>
      <w:r>
        <w:rPr>
          <w:color w:val="auto"/>
          <w:highlight w:val="none"/>
          <w:u w:val="single"/>
        </w:rPr>
        <w:t>安全生产许可证处于有效期</w:t>
      </w:r>
      <w:r>
        <w:rPr>
          <w:rFonts w:hint="eastAsia"/>
          <w:color w:val="auto"/>
          <w:highlight w:val="none"/>
          <w:u w:val="single"/>
        </w:rPr>
        <w:t>（注：园林绿化工程、土石方工程安全生产许可证不作要求）</w:t>
      </w:r>
      <w:r>
        <w:rPr>
          <w:rFonts w:hint="eastAsia"/>
          <w:color w:val="auto"/>
          <w:highlight w:val="none"/>
        </w:rPr>
        <w:t>。</w:t>
      </w:r>
    </w:p>
    <w:p w14:paraId="1A5F689A">
      <w:pPr>
        <w:spacing w:line="360" w:lineRule="auto"/>
        <w:ind w:firstLine="420" w:firstLineChars="200"/>
        <w:rPr>
          <w:color w:val="auto"/>
          <w:highlight w:val="none"/>
        </w:rPr>
      </w:pPr>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209C5133">
      <w:pPr>
        <w:spacing w:line="360" w:lineRule="auto"/>
        <w:ind w:firstLine="420" w:firstLineChars="200"/>
        <w:rPr>
          <w:rFonts w:hint="eastAsia" w:ascii="宋体" w:hAnsi="宋体" w:cs="宋体"/>
          <w:color w:val="auto"/>
          <w:szCs w:val="21"/>
          <w:highlight w:val="none"/>
        </w:rPr>
      </w:pPr>
      <w:r>
        <w:rPr>
          <w:rFonts w:hint="eastAsia"/>
          <w:color w:val="auto"/>
          <w:highlight w:val="none"/>
        </w:rPr>
        <w:t>（3）</w:t>
      </w:r>
      <w:r>
        <w:rPr>
          <w:color w:val="auto"/>
          <w:highlight w:val="none"/>
        </w:rPr>
        <w:t xml:space="preserve"> </w:t>
      </w:r>
      <w:r>
        <w:rPr>
          <w:rFonts w:hint="eastAsia" w:ascii="宋体" w:hAnsi="宋体" w:cs="宋体"/>
          <w:color w:val="auto"/>
          <w:szCs w:val="21"/>
          <w:highlight w:val="none"/>
        </w:rPr>
        <w:sym w:font="Wingdings 2" w:char="00A3"/>
      </w:r>
      <w:r>
        <w:rPr>
          <w:rFonts w:hint="eastAsia" w:ascii="宋体" w:hAnsi="宋体" w:cs="Arial"/>
          <w:snapToGrid w:val="0"/>
          <w:color w:val="auto"/>
          <w:kern w:val="0"/>
          <w:szCs w:val="21"/>
          <w:highlight w:val="none"/>
        </w:rPr>
        <w:t>拟任项目经理</w:t>
      </w:r>
      <w:r>
        <w:rPr>
          <w:rFonts w:hint="eastAsia"/>
          <w:color w:val="auto"/>
          <w:highlight w:val="none"/>
        </w:rPr>
        <w:t>资格：具有</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建筑工程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公路工程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市政公用工程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机电工程</w:t>
      </w:r>
      <w:r>
        <w:rPr>
          <w:rFonts w:hint="eastAsia"/>
          <w:color w:val="auto"/>
          <w:highlight w:val="none"/>
        </w:rPr>
        <w:t>专</w:t>
      </w:r>
      <w:r>
        <w:rPr>
          <w:color w:val="auto"/>
          <w:highlight w:val="none"/>
        </w:rPr>
        <w:t>业</w:t>
      </w:r>
      <w:r>
        <w:rPr>
          <w:rFonts w:hint="eastAsia"/>
          <w:color w:val="auto"/>
          <w:highlight w:val="none"/>
          <w:u w:val="single"/>
        </w:rPr>
        <w:t>□壹级□贰级及以上注册建造师执业资格证书</w:t>
      </w:r>
      <w:r>
        <w:rPr>
          <w:rFonts w:hint="eastAsia" w:ascii="Arial" w:hAnsi="Arial" w:eastAsia="Arial" w:cs="Arial"/>
          <w:snapToGrid w:val="0"/>
          <w:color w:val="auto"/>
          <w:kern w:val="0"/>
          <w:szCs w:val="21"/>
          <w:highlight w:val="none"/>
          <w:u w:val="single"/>
        </w:rPr>
        <w:t>以</w:t>
      </w:r>
      <w:r>
        <w:rPr>
          <w:rFonts w:hint="eastAsia"/>
          <w:color w:val="auto"/>
          <w:highlight w:val="none"/>
          <w:u w:val="single"/>
        </w:rPr>
        <w:t>及有效的项目负责人安全生产考核合格证书，且须满足第二章投标人须知前附表第10.5款要求。</w:t>
      </w:r>
    </w:p>
    <w:p w14:paraId="61EB241C">
      <w:pPr>
        <w:spacing w:line="360" w:lineRule="auto"/>
        <w:ind w:firstLine="420" w:firstLineChars="200"/>
        <w:rPr>
          <w:color w:val="auto"/>
          <w:highlight w:val="none"/>
          <w:u w:val="single"/>
        </w:rPr>
      </w:pPr>
      <w:r>
        <w:rPr>
          <w:rFonts w:hint="eastAsia" w:ascii="宋体" w:hAnsi="宋体" w:cs="宋体"/>
          <w:color w:val="auto"/>
          <w:szCs w:val="21"/>
          <w:highlight w:val="none"/>
        </w:rPr>
        <w:sym w:font="Wingdings 2" w:char="00A3"/>
      </w:r>
      <w:r>
        <w:rPr>
          <w:rFonts w:hint="eastAsia" w:ascii="宋体" w:hAnsi="宋体" w:cs="Arial"/>
          <w:snapToGrid w:val="0"/>
          <w:color w:val="auto"/>
          <w:kern w:val="0"/>
          <w:szCs w:val="21"/>
          <w:highlight w:val="none"/>
        </w:rPr>
        <w:t>拟任项目经理</w:t>
      </w:r>
      <w:r>
        <w:rPr>
          <w:rFonts w:hint="eastAsia"/>
          <w:color w:val="auto"/>
          <w:highlight w:val="none"/>
        </w:rPr>
        <w:t>资格：具有具有风景园林专业或者园林绿化专业</w:t>
      </w:r>
      <w:r>
        <w:rPr>
          <w:color w:val="auto"/>
          <w:highlight w:val="none"/>
          <w:u w:val="single"/>
        </w:rPr>
        <w:t xml:space="preserve">     </w:t>
      </w:r>
      <w:r>
        <w:rPr>
          <w:rFonts w:hint="eastAsia"/>
          <w:color w:val="auto"/>
          <w:highlight w:val="none"/>
        </w:rPr>
        <w:t>级及以上职称（或具备市政公用工程专业</w:t>
      </w:r>
      <w:r>
        <w:rPr>
          <w:rFonts w:hint="eastAsia"/>
          <w:color w:val="auto"/>
          <w:highlight w:val="none"/>
          <w:u w:val="single"/>
        </w:rPr>
        <w:t>□壹级□贰级及以上</w:t>
      </w:r>
      <w:r>
        <w:rPr>
          <w:rFonts w:hint="eastAsia"/>
          <w:color w:val="auto"/>
          <w:highlight w:val="none"/>
        </w:rPr>
        <w:t xml:space="preserve">  注册建造师执业资格证书）</w:t>
      </w:r>
      <w:r>
        <w:rPr>
          <w:rFonts w:hint="eastAsia"/>
          <w:color w:val="auto"/>
          <w:highlight w:val="none"/>
          <w:u w:val="single"/>
        </w:rPr>
        <w:t>，且须满足第二章投标人须知前附表第10.5款要求。（仅适用于园林绿化项目）</w:t>
      </w:r>
    </w:p>
    <w:p w14:paraId="13922635">
      <w:pPr>
        <w:spacing w:line="360" w:lineRule="auto"/>
        <w:ind w:firstLine="420" w:firstLineChars="200"/>
        <w:rPr>
          <w:color w:val="auto"/>
          <w:highlight w:val="none"/>
          <w:u w:val="single"/>
        </w:rPr>
      </w:pPr>
      <w:r>
        <w:rPr>
          <w:rFonts w:hint="eastAsia"/>
          <w:color w:val="auto"/>
          <w:highlight w:val="none"/>
        </w:rPr>
        <w:t>4.2</w:t>
      </w:r>
      <w:r>
        <w:rPr>
          <w:color w:val="auto"/>
          <w:highlight w:val="none"/>
        </w:rPr>
        <w:t xml:space="preserve">  本次招标</w:t>
      </w:r>
      <w:r>
        <w:rPr>
          <w:rFonts w:hint="eastAsia"/>
          <w:color w:val="auto"/>
          <w:highlight w:val="none"/>
        </w:rPr>
        <w:t>：</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14:paraId="07A7D00E">
      <w:pPr>
        <w:spacing w:line="360" w:lineRule="auto"/>
        <w:rPr>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2" w:char="00A3"/>
      </w:r>
      <w:r>
        <w:rPr>
          <w:color w:val="auto"/>
          <w:highlight w:val="none"/>
        </w:rPr>
        <w:t>不接受联合体投标</w:t>
      </w:r>
    </w:p>
    <w:p w14:paraId="64777039">
      <w:pPr>
        <w:spacing w:line="360" w:lineRule="auto"/>
        <w:ind w:left="199" w:leftChars="95" w:firstLine="210" w:firstLineChars="100"/>
        <w:rPr>
          <w:color w:val="auto"/>
          <w:highlight w:val="none"/>
        </w:rPr>
      </w:pPr>
      <w:r>
        <w:rPr>
          <w:rFonts w:hint="eastAsia"/>
          <w:color w:val="auto"/>
          <w:highlight w:val="none"/>
        </w:rPr>
        <w:t>4.3  入围业绩要求：</w:t>
      </w:r>
    </w:p>
    <w:p w14:paraId="227769DB">
      <w:pPr>
        <w:spacing w:line="360" w:lineRule="auto"/>
        <w:ind w:left="199" w:leftChars="95" w:firstLine="210" w:firstLineChars="100"/>
        <w:rPr>
          <w:color w:val="auto"/>
          <w:highlight w:val="none"/>
        </w:rPr>
      </w:pPr>
      <w:r>
        <w:rPr>
          <w:color w:val="auto"/>
          <w:highlight w:val="none"/>
        </w:rPr>
        <w:t xml:space="preserve">4.3.1 </w:t>
      </w:r>
      <w:r>
        <w:rPr>
          <w:rFonts w:hint="eastAsia"/>
          <w:color w:val="auto"/>
          <w:highlight w:val="none"/>
        </w:rPr>
        <w:t>企业类似工程业绩</w:t>
      </w:r>
    </w:p>
    <w:p w14:paraId="599F7486">
      <w:pPr>
        <w:spacing w:line="360" w:lineRule="auto"/>
        <w:ind w:left="199" w:leftChars="95" w:firstLine="210" w:firstLineChars="100"/>
        <w:rPr>
          <w:color w:val="auto"/>
          <w:highlight w:val="none"/>
        </w:rPr>
      </w:pPr>
      <w:r>
        <w:rPr>
          <w:color w:val="auto"/>
          <w:highlight w:val="none"/>
        </w:rPr>
        <w:sym w:font="Wingdings" w:char="00A8"/>
      </w:r>
      <w:r>
        <w:rPr>
          <w:rFonts w:hint="eastAsia"/>
          <w:color w:val="auto"/>
          <w:highlight w:val="none"/>
        </w:rPr>
        <w:t>不要求类似工程业绩；</w:t>
      </w:r>
    </w:p>
    <w:p w14:paraId="3CBDE959">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要求投标截止时间前</w:t>
      </w:r>
      <w:r>
        <w:rPr>
          <w:rFonts w:hint="eastAsia"/>
          <w:color w:val="auto"/>
          <w:szCs w:val="21"/>
          <w:highlight w:val="none"/>
        </w:rPr>
        <w:t>近</w:t>
      </w:r>
      <w:r>
        <w:rPr>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w:t>
      </w:r>
      <w:r>
        <w:rPr>
          <w:b/>
          <w:bCs/>
          <w:color w:val="auto"/>
          <w:szCs w:val="21"/>
          <w:highlight w:val="none"/>
          <w:u w:val="single"/>
        </w:rPr>
        <w:t xml:space="preserve"> </w:t>
      </w:r>
      <w:r>
        <w:rPr>
          <w:rFonts w:hint="eastAsia"/>
          <w:b/>
          <w:bCs/>
          <w:color w:val="auto"/>
          <w:szCs w:val="21"/>
          <w:highlight w:val="none"/>
          <w:u w:val="single"/>
        </w:rPr>
        <w:t>的</w:t>
      </w:r>
      <w:r>
        <w:rPr>
          <w:rFonts w:hint="eastAsia"/>
          <w:color w:val="auto"/>
          <w:szCs w:val="21"/>
          <w:highlight w:val="none"/>
        </w:rPr>
        <w:t>施工业绩。</w:t>
      </w:r>
    </w:p>
    <w:p w14:paraId="7EF47C8F">
      <w:pPr>
        <w:spacing w:line="360" w:lineRule="auto"/>
        <w:ind w:firstLine="420" w:firstLineChars="200"/>
        <w:rPr>
          <w:color w:val="auto"/>
          <w:szCs w:val="21"/>
          <w:highlight w:val="none"/>
        </w:rPr>
      </w:pPr>
      <w:r>
        <w:rPr>
          <w:color w:val="auto"/>
          <w:szCs w:val="21"/>
          <w:highlight w:val="none"/>
        </w:rPr>
        <w:t xml:space="preserve">4.3.2 </w:t>
      </w:r>
      <w:r>
        <w:rPr>
          <w:rFonts w:hint="eastAsia"/>
          <w:color w:val="auto"/>
          <w:szCs w:val="21"/>
          <w:highlight w:val="none"/>
        </w:rPr>
        <w:t>项目经理类似工程业绩</w:t>
      </w:r>
    </w:p>
    <w:p w14:paraId="56122EC6">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2E91B217">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要求投标截止时间前</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 的</w:t>
      </w:r>
      <w:r>
        <w:rPr>
          <w:rFonts w:hint="eastAsia"/>
          <w:color w:val="auto"/>
          <w:szCs w:val="21"/>
          <w:highlight w:val="none"/>
        </w:rPr>
        <w:t>施工业绩。</w:t>
      </w:r>
    </w:p>
    <w:p w14:paraId="44559C04">
      <w:pPr>
        <w:spacing w:line="360" w:lineRule="auto"/>
        <w:ind w:firstLine="420" w:firstLineChars="200"/>
        <w:rPr>
          <w:b/>
          <w:bCs/>
          <w:color w:val="auto"/>
          <w:szCs w:val="21"/>
          <w:highlight w:val="none"/>
        </w:rPr>
      </w:pPr>
      <w:r>
        <w:rPr>
          <w:rFonts w:hint="eastAsia"/>
          <w:color w:val="auto"/>
          <w:szCs w:val="21"/>
          <w:highlight w:val="none"/>
        </w:rPr>
        <w:t>注：</w:t>
      </w:r>
      <w:r>
        <w:rPr>
          <w:rFonts w:hint="eastAsia"/>
          <w:b/>
          <w:bCs/>
          <w:color w:val="auto"/>
          <w:szCs w:val="21"/>
          <w:highlight w:val="none"/>
        </w:rPr>
        <w:t>类似工程业绩牵引指标规模不高于招标项目选择指标或最高投标限价的50%，年限要求一般为近3年，轨道交通项目可放宽至5年。</w:t>
      </w:r>
    </w:p>
    <w:p w14:paraId="5255302D">
      <w:pPr>
        <w:spacing w:line="360" w:lineRule="auto"/>
        <w:ind w:firstLine="422" w:firstLineChars="200"/>
        <w:rPr>
          <w:color w:val="auto"/>
          <w:szCs w:val="21"/>
          <w:highlight w:val="none"/>
        </w:rPr>
      </w:pPr>
      <w:r>
        <w:rPr>
          <w:rFonts w:hint="eastAsia"/>
          <w:b/>
          <w:bCs/>
          <w:color w:val="auto"/>
          <w:szCs w:val="21"/>
          <w:highlight w:val="none"/>
        </w:rPr>
        <w:t>类似工程业绩具体要求详见第二章投标人须知前附表第</w:t>
      </w:r>
      <w:r>
        <w:rPr>
          <w:b/>
          <w:bCs/>
          <w:color w:val="auto"/>
          <w:szCs w:val="21"/>
          <w:highlight w:val="none"/>
        </w:rPr>
        <w:t>6.4</w:t>
      </w:r>
      <w:r>
        <w:rPr>
          <w:rFonts w:hint="eastAsia"/>
          <w:b/>
          <w:bCs/>
          <w:color w:val="auto"/>
          <w:szCs w:val="21"/>
          <w:highlight w:val="none"/>
        </w:rPr>
        <w:t>款。</w:t>
      </w:r>
    </w:p>
    <w:p w14:paraId="7187D120">
      <w:pPr>
        <w:spacing w:line="360" w:lineRule="auto"/>
        <w:ind w:firstLine="422" w:firstLineChars="200"/>
        <w:rPr>
          <w:b/>
          <w:bCs/>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0C2A70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建筑工程施工总承包</w:t>
      </w:r>
    </w:p>
    <w:p w14:paraId="6C51C2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（高度、建筑面积、单跨跨度、单项合同额）。</w:t>
      </w:r>
    </w:p>
    <w:p w14:paraId="6A1B5AE3">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市政公用工程总承包</w:t>
      </w:r>
    </w:p>
    <w:p w14:paraId="2A9D67DE">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□桥梁</w:t>
      </w:r>
      <w:r>
        <w:rPr>
          <w:rFonts w:hint="eastAsia" w:ascii="宋体" w:hAnsi="宋体" w:cs="宋体"/>
          <w:color w:val="auto"/>
          <w:szCs w:val="21"/>
          <w:highlight w:val="none"/>
          <w:lang w:val="en-US" w:eastAsia="zh-CN"/>
        </w:rPr>
        <w:t>工程（长度、单跨</w:t>
      </w:r>
      <w:r>
        <w:rPr>
          <w:rFonts w:ascii="宋体" w:hAnsi="宋体" w:cs="宋体"/>
          <w:color w:val="auto"/>
          <w:szCs w:val="21"/>
          <w:highlight w:val="none"/>
        </w:rPr>
        <w:t>跨度、</w:t>
      </w:r>
      <w:r>
        <w:rPr>
          <w:rFonts w:hint="eastAsia" w:ascii="宋体" w:hAnsi="宋体" w:cs="宋体"/>
          <w:color w:val="auto"/>
          <w:szCs w:val="21"/>
          <w:highlight w:val="none"/>
          <w:lang w:val="en-US" w:eastAsia="zh-CN"/>
        </w:rPr>
        <w:t>单项合同额）</w:t>
      </w:r>
    </w:p>
    <w:p w14:paraId="7E233DC7">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□管道</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lang w:eastAsia="zh-CN"/>
        </w:rPr>
        <w:t>（</w:t>
      </w:r>
      <w:r>
        <w:rPr>
          <w:rFonts w:ascii="宋体" w:hAnsi="宋体" w:cs="宋体"/>
          <w:color w:val="auto"/>
          <w:szCs w:val="21"/>
          <w:highlight w:val="none"/>
        </w:rPr>
        <w:t>直径或者压力、</w:t>
      </w:r>
      <w:r>
        <w:rPr>
          <w:rFonts w:hint="eastAsia" w:ascii="宋体" w:hAnsi="宋体" w:cs="宋体"/>
          <w:color w:val="auto"/>
          <w:szCs w:val="21"/>
          <w:highlight w:val="none"/>
          <w:lang w:val="en-US" w:eastAsia="zh-CN"/>
        </w:rPr>
        <w:t>单项合同额）</w:t>
      </w:r>
    </w:p>
    <w:p w14:paraId="21043FE4">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□供水</w:t>
      </w:r>
      <w:r>
        <w:rPr>
          <w:rFonts w:hint="eastAsia" w:ascii="宋体" w:hAnsi="宋体" w:cs="宋体"/>
          <w:color w:val="auto"/>
          <w:szCs w:val="21"/>
          <w:highlight w:val="none"/>
          <w:lang w:val="en-US" w:eastAsia="zh-CN"/>
        </w:rPr>
        <w:t>工程（供水</w:t>
      </w:r>
      <w:r>
        <w:rPr>
          <w:rFonts w:ascii="宋体" w:hAnsi="宋体" w:cs="宋体"/>
          <w:color w:val="auto"/>
          <w:szCs w:val="21"/>
          <w:highlight w:val="none"/>
        </w:rPr>
        <w:t>能力、</w:t>
      </w:r>
      <w:r>
        <w:rPr>
          <w:rFonts w:hint="eastAsia" w:ascii="宋体" w:hAnsi="宋体" w:cs="宋体"/>
          <w:color w:val="auto"/>
          <w:szCs w:val="21"/>
          <w:highlight w:val="none"/>
          <w:lang w:val="en-US" w:eastAsia="zh-CN"/>
        </w:rPr>
        <w:t>单项合同额）</w:t>
      </w:r>
    </w:p>
    <w:p w14:paraId="71280738">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供气工程（</w:t>
      </w:r>
      <w:r>
        <w:rPr>
          <w:rFonts w:ascii="宋体" w:hAnsi="宋体" w:cs="宋体"/>
          <w:color w:val="auto"/>
          <w:szCs w:val="21"/>
          <w:highlight w:val="none"/>
        </w:rPr>
        <w:t>供气能力、</w:t>
      </w:r>
      <w:r>
        <w:rPr>
          <w:rFonts w:hint="eastAsia" w:ascii="宋体" w:hAnsi="宋体" w:cs="宋体"/>
          <w:color w:val="auto"/>
          <w:szCs w:val="21"/>
          <w:highlight w:val="none"/>
          <w:lang w:val="en-US" w:eastAsia="zh-CN"/>
        </w:rPr>
        <w:t>单项合同额）</w:t>
      </w:r>
    </w:p>
    <w:p w14:paraId="1A59D3E0">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供热工程（</w:t>
      </w:r>
      <w:r>
        <w:rPr>
          <w:rFonts w:ascii="宋体" w:hAnsi="宋体" w:cs="宋体"/>
          <w:color w:val="auto"/>
          <w:szCs w:val="21"/>
          <w:highlight w:val="none"/>
        </w:rPr>
        <w:t>供热能力、</w:t>
      </w:r>
      <w:r>
        <w:rPr>
          <w:rFonts w:hint="eastAsia" w:ascii="宋体" w:hAnsi="宋体" w:cs="宋体"/>
          <w:color w:val="auto"/>
          <w:szCs w:val="21"/>
          <w:highlight w:val="none"/>
          <w:lang w:val="en-US" w:eastAsia="zh-CN"/>
        </w:rPr>
        <w:t>单项合同额）</w:t>
      </w:r>
    </w:p>
    <w:p w14:paraId="18CD267C">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污水处理工程（</w:t>
      </w:r>
      <w:r>
        <w:rPr>
          <w:rFonts w:ascii="宋体" w:hAnsi="宋体" w:cs="宋体"/>
          <w:color w:val="auto"/>
          <w:szCs w:val="21"/>
          <w:highlight w:val="none"/>
        </w:rPr>
        <w:t>污水处理能力、</w:t>
      </w:r>
      <w:r>
        <w:rPr>
          <w:rFonts w:hint="eastAsia" w:ascii="宋体" w:hAnsi="宋体" w:cs="宋体"/>
          <w:color w:val="auto"/>
          <w:szCs w:val="21"/>
          <w:highlight w:val="none"/>
          <w:lang w:val="en-US" w:eastAsia="zh-CN"/>
        </w:rPr>
        <w:t>单项合同额）</w:t>
      </w:r>
    </w:p>
    <w:p w14:paraId="5CFCEDEB">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垃圾处理工程（</w:t>
      </w:r>
      <w:r>
        <w:rPr>
          <w:rFonts w:ascii="宋体" w:hAnsi="宋体" w:cs="宋体"/>
          <w:color w:val="auto"/>
          <w:szCs w:val="21"/>
          <w:highlight w:val="none"/>
        </w:rPr>
        <w:t>垃圾处理能力、</w:t>
      </w:r>
      <w:r>
        <w:rPr>
          <w:rFonts w:hint="eastAsia" w:ascii="宋体" w:hAnsi="宋体" w:cs="宋体"/>
          <w:color w:val="auto"/>
          <w:szCs w:val="21"/>
          <w:highlight w:val="none"/>
          <w:lang w:val="en-US" w:eastAsia="zh-CN"/>
        </w:rPr>
        <w:t>单项合同额）</w:t>
      </w:r>
    </w:p>
    <w:p w14:paraId="639F9EC1">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城市广场工程（</w:t>
      </w:r>
      <w:r>
        <w:rPr>
          <w:rFonts w:hint="eastAsia" w:ascii="宋体" w:hAnsi="宋体" w:cs="宋体"/>
          <w:color w:val="auto"/>
          <w:szCs w:val="21"/>
          <w:highlight w:val="none"/>
        </w:rPr>
        <w:t>城市广场面积、</w:t>
      </w:r>
      <w:r>
        <w:rPr>
          <w:rFonts w:hint="eastAsia" w:ascii="宋体" w:hAnsi="宋体" w:cs="宋体"/>
          <w:color w:val="auto"/>
          <w:szCs w:val="21"/>
          <w:highlight w:val="none"/>
          <w:lang w:val="en-US" w:eastAsia="zh-CN"/>
        </w:rPr>
        <w:t>单项合同额）</w:t>
      </w:r>
    </w:p>
    <w:p w14:paraId="25F86FBA">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rPr>
        <w:t>地面停车场</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硬质铺装面积、</w:t>
      </w:r>
      <w:r>
        <w:rPr>
          <w:rFonts w:hint="eastAsia" w:ascii="宋体" w:hAnsi="宋体" w:cs="宋体"/>
          <w:color w:val="auto"/>
          <w:szCs w:val="21"/>
          <w:highlight w:val="none"/>
          <w:lang w:val="en-US" w:eastAsia="zh-CN"/>
        </w:rPr>
        <w:t>单项合同额）</w:t>
      </w:r>
    </w:p>
    <w:p w14:paraId="08153AB9">
      <w:pPr>
        <w:spacing w:line="360" w:lineRule="auto"/>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隧道工程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断面面积、</w:t>
      </w:r>
      <w:r>
        <w:rPr>
          <w:rFonts w:hint="eastAsia" w:ascii="宋体" w:hAnsi="宋体" w:cs="宋体"/>
          <w:color w:val="auto"/>
          <w:szCs w:val="21"/>
          <w:highlight w:val="none"/>
          <w:lang w:val="en-US" w:eastAsia="zh-CN"/>
        </w:rPr>
        <w:t>单项合同额）</w:t>
      </w:r>
    </w:p>
    <w:p w14:paraId="65A598EE">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rPr>
        <w:t>地下交通工程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断面面积、</w:t>
      </w:r>
      <w:r>
        <w:rPr>
          <w:rFonts w:hint="eastAsia" w:ascii="宋体" w:hAnsi="宋体" w:cs="宋体"/>
          <w:color w:val="auto"/>
          <w:szCs w:val="21"/>
          <w:highlight w:val="none"/>
          <w:lang w:val="en-US" w:eastAsia="zh-CN"/>
        </w:rPr>
        <w:t>单项合同额）</w:t>
      </w:r>
    </w:p>
    <w:p w14:paraId="7F157DDF">
      <w:pPr>
        <w:spacing w:line="360" w:lineRule="auto"/>
        <w:ind w:firstLine="420"/>
        <w:rPr>
          <w:rFonts w:hint="eastAsia" w:ascii="宋体" w:hAnsi="宋体" w:cs="宋体"/>
          <w:color w:val="auto"/>
          <w:szCs w:val="21"/>
          <w:highlight w:val="none"/>
          <w:lang w:eastAsia="zh-CN"/>
        </w:rPr>
      </w:pPr>
      <w:r>
        <w:rPr>
          <w:rFonts w:ascii="宋体" w:hAnsi="宋体" w:cs="宋体"/>
          <w:color w:val="auto"/>
          <w:szCs w:val="21"/>
          <w:highlight w:val="none"/>
        </w:rPr>
        <w:t>□</w:t>
      </w:r>
      <w:r>
        <w:rPr>
          <w:rFonts w:hint="eastAsia" w:ascii="宋体" w:hAnsi="宋体" w:cs="宋体"/>
          <w:color w:val="auto"/>
          <w:szCs w:val="21"/>
          <w:highlight w:val="none"/>
        </w:rPr>
        <w:t>市政综合工程</w:t>
      </w:r>
      <w:r>
        <w:rPr>
          <w:rFonts w:hint="eastAsia" w:ascii="宋体" w:hAnsi="宋体" w:cs="宋体"/>
          <w:color w:val="auto"/>
          <w:szCs w:val="21"/>
          <w:highlight w:val="none"/>
          <w:lang w:eastAsia="zh-CN"/>
        </w:rPr>
        <w:t>（</w:t>
      </w:r>
      <w:r>
        <w:rPr>
          <w:rFonts w:ascii="宋体" w:hAnsi="宋体" w:cs="宋体"/>
          <w:color w:val="auto"/>
          <w:szCs w:val="21"/>
          <w:highlight w:val="none"/>
        </w:rPr>
        <w:t>单项合同额</w:t>
      </w:r>
      <w:r>
        <w:rPr>
          <w:rFonts w:hint="eastAsia" w:ascii="宋体" w:hAnsi="宋体" w:cs="宋体"/>
          <w:color w:val="auto"/>
          <w:szCs w:val="21"/>
          <w:highlight w:val="none"/>
          <w:lang w:eastAsia="zh-CN"/>
        </w:rPr>
        <w:t>）</w:t>
      </w:r>
    </w:p>
    <w:p w14:paraId="30A5B933">
      <w:pPr>
        <w:spacing w:line="360" w:lineRule="auto"/>
        <w:ind w:firstLine="420" w:firstLineChars="0"/>
        <w:rPr>
          <w:rFonts w:hint="eastAsia" w:ascii="宋体" w:hAnsi="宋体" w:cs="宋体"/>
          <w:b/>
          <w:bCs/>
          <w:color w:val="auto"/>
          <w:szCs w:val="21"/>
          <w:highlight w:val="none"/>
        </w:rPr>
      </w:pPr>
      <w:r>
        <w:rPr>
          <w:rFonts w:ascii="宋体" w:hAnsi="宋体" w:cs="宋体"/>
          <w:b/>
          <w:bCs/>
          <w:color w:val="auto"/>
          <w:szCs w:val="21"/>
          <w:highlight w:val="none"/>
        </w:rPr>
        <w:t>地基基础工程</w:t>
      </w:r>
    </w:p>
    <w:p w14:paraId="0E77136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（工业、民用建筑工程</w:t>
      </w:r>
      <w:r>
        <w:rPr>
          <w:rFonts w:hint="eastAsia" w:ascii="宋体" w:hAnsi="宋体" w:cs="宋体"/>
          <w:color w:val="auto"/>
          <w:szCs w:val="21"/>
          <w:highlight w:val="none"/>
        </w:rPr>
        <w:t>的高度，构筑物高度、深度、单桩设计荷载、开挖深度、单项合同额</w:t>
      </w:r>
      <w:r>
        <w:rPr>
          <w:rFonts w:ascii="宋体" w:hAnsi="宋体" w:cs="宋体"/>
          <w:color w:val="auto"/>
          <w:szCs w:val="21"/>
          <w:highlight w:val="none"/>
        </w:rPr>
        <w:t>）。</w:t>
      </w:r>
    </w:p>
    <w:p w14:paraId="114F29C0">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起重设备安装工程</w:t>
      </w:r>
    </w:p>
    <w:p w14:paraId="0B8D3FF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塔式起重机、各类施工升降机和门式起重机的安装与拆卸的力矩、单项合同额</w:t>
      </w:r>
      <w:r>
        <w:rPr>
          <w:rFonts w:ascii="宋体" w:hAnsi="宋体" w:cs="宋体"/>
          <w:color w:val="auto"/>
          <w:szCs w:val="21"/>
          <w:highlight w:val="none"/>
        </w:rPr>
        <w:t>）。</w:t>
      </w:r>
    </w:p>
    <w:p w14:paraId="5182ACA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预拌混凝土</w:t>
      </w:r>
      <w:r>
        <w:rPr>
          <w:rFonts w:hint="eastAsia" w:ascii="宋体" w:hAnsi="宋体" w:cs="宋体"/>
          <w:b/>
          <w:bCs/>
          <w:color w:val="auto"/>
          <w:szCs w:val="21"/>
          <w:highlight w:val="none"/>
        </w:rPr>
        <w:t>工程</w:t>
      </w:r>
    </w:p>
    <w:p w14:paraId="75E6279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ascii="宋体" w:hAnsi="宋体" w:cs="宋体"/>
          <w:color w:val="auto"/>
          <w:szCs w:val="21"/>
          <w:highlight w:val="none"/>
        </w:rPr>
        <w:t>。</w:t>
      </w:r>
    </w:p>
    <w:p w14:paraId="6E75BE5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电子与智能化工程</w:t>
      </w:r>
    </w:p>
    <w:p w14:paraId="736021D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5BAA9E88">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消防设施工程</w:t>
      </w:r>
    </w:p>
    <w:p w14:paraId="5BBCAE7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color w:val="auto"/>
          <w:highlight w:val="none"/>
        </w:rPr>
        <w:t>单体建筑面积、建筑物等级、火灾危险性级别</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232F40D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防水防腐保温工程</w:t>
      </w:r>
    </w:p>
    <w:p w14:paraId="4676917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2ED3B3ED">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钢结构工程</w:t>
      </w:r>
    </w:p>
    <w:p w14:paraId="2934383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7803669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模板脚手架</w:t>
      </w:r>
    </w:p>
    <w:p w14:paraId="6D6657F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p>
    <w:p w14:paraId="68F94D1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建筑装修装饰工程</w:t>
      </w:r>
    </w:p>
    <w:p w14:paraId="3D7D89E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p>
    <w:p w14:paraId="518A8AA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建筑机电安装工程</w:t>
      </w:r>
    </w:p>
    <w:p w14:paraId="2FACD24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70FA3A1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建筑幕墙工程</w:t>
      </w:r>
    </w:p>
    <w:p w14:paraId="5920D65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1CAB0EAA">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古建筑工程</w:t>
      </w:r>
    </w:p>
    <w:p w14:paraId="3903DD5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、国家级工程、省级工程、单项合同额</w:t>
      </w:r>
      <w:r>
        <w:rPr>
          <w:rFonts w:ascii="宋体" w:hAnsi="宋体" w:cs="宋体"/>
          <w:color w:val="auto"/>
          <w:szCs w:val="21"/>
          <w:highlight w:val="none"/>
        </w:rPr>
        <w:t>）。</w:t>
      </w:r>
    </w:p>
    <w:p w14:paraId="1B9D01CA">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城市及道路照明工程</w:t>
      </w:r>
    </w:p>
    <w:p w14:paraId="40CBB29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（单项合同额）。</w:t>
      </w:r>
    </w:p>
    <w:p w14:paraId="0E3BE0C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特种专业工程</w:t>
      </w:r>
    </w:p>
    <w:p w14:paraId="3D5268A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5B29CCA4">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桥梁工程</w:t>
      </w:r>
    </w:p>
    <w:p w14:paraId="1836A9E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（单跨、桥梁长度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57C61DF5">
      <w:pPr>
        <w:spacing w:line="360" w:lineRule="auto"/>
        <w:ind w:firstLine="420"/>
        <w:rPr>
          <w:rFonts w:hint="eastAsia" w:ascii="宋体" w:hAnsi="宋体" w:cs="宋体"/>
          <w:color w:val="auto"/>
          <w:szCs w:val="21"/>
          <w:highlight w:val="none"/>
        </w:rPr>
      </w:pPr>
      <w:r>
        <w:rPr>
          <w:rFonts w:ascii="宋体" w:hAnsi="宋体" w:cs="宋体"/>
          <w:b/>
          <w:bCs/>
          <w:color w:val="auto"/>
          <w:szCs w:val="21"/>
          <w:highlight w:val="none"/>
        </w:rPr>
        <w:t>隧道工程</w:t>
      </w:r>
    </w:p>
    <w:p w14:paraId="73DF869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（断面面积、单洞长度、单项合同额）。</w:t>
      </w:r>
    </w:p>
    <w:p w14:paraId="633B9FFC">
      <w:pPr>
        <w:spacing w:line="360" w:lineRule="auto"/>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路面工程（适用于市政公用工程中单独招标的路面工程）</w:t>
      </w:r>
    </w:p>
    <w:p w14:paraId="406BA4D5">
      <w:pPr>
        <w:snapToGrid w:val="0"/>
        <w:spacing w:line="360" w:lineRule="auto"/>
        <w:ind w:firstLine="420" w:firstLineChars="200"/>
        <w:rPr>
          <w:color w:val="auto"/>
          <w:highlight w:val="none"/>
        </w:rPr>
      </w:pPr>
      <w:r>
        <w:rPr>
          <w:rFonts w:hint="eastAsia"/>
          <w:color w:val="auto"/>
          <w:highlight w:val="none"/>
        </w:rPr>
        <w:t>□</w:t>
      </w: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rPr>
        <w:t>、单项合同额</w:t>
      </w:r>
      <w:r>
        <w:rPr>
          <w:rFonts w:hint="eastAsia"/>
          <w:color w:val="auto"/>
          <w:highlight w:val="none"/>
        </w:rPr>
        <w:t>）</w:t>
      </w:r>
    </w:p>
    <w:p w14:paraId="3699E31C">
      <w:pPr>
        <w:snapToGrid w:val="0"/>
        <w:spacing w:line="360" w:lineRule="auto"/>
        <w:rPr>
          <w:rFonts w:hint="eastAsia" w:ascii="宋体" w:hAnsi="宋体" w:cs="宋体"/>
          <w:b/>
          <w:bCs/>
          <w:color w:val="auto"/>
          <w:szCs w:val="21"/>
          <w:highlight w:val="none"/>
        </w:rPr>
      </w:pPr>
      <w:r>
        <w:rPr>
          <w:b/>
          <w:bCs/>
          <w:color w:val="auto"/>
          <w:sz w:val="28"/>
          <w:szCs w:val="28"/>
          <w:highlight w:val="none"/>
        </w:rPr>
        <w:t xml:space="preserve">   </w:t>
      </w:r>
      <w:r>
        <w:rPr>
          <w:rFonts w:hint="eastAsia" w:ascii="宋体" w:hAnsi="宋体" w:cs="宋体"/>
          <w:b/>
          <w:bCs/>
          <w:color w:val="auto"/>
          <w:szCs w:val="21"/>
          <w:highlight w:val="none"/>
        </w:rPr>
        <w:t>交通工程（适用于市政公用工程中单独招标的交通工程）</w:t>
      </w:r>
    </w:p>
    <w:p w14:paraId="0A19DE05">
      <w:pPr>
        <w:snapToGrid w:val="0"/>
        <w:spacing w:line="360" w:lineRule="auto"/>
        <w:ind w:firstLine="315" w:firstLineChars="150"/>
        <w:rPr>
          <w:color w:val="auto"/>
          <w:highlight w:val="none"/>
        </w:rPr>
      </w:pPr>
      <w:r>
        <w:rPr>
          <w:rFonts w:hint="eastAsia"/>
          <w:color w:val="auto"/>
          <w:highlight w:val="none"/>
        </w:rPr>
        <w:t>□安全设施工程</w:t>
      </w:r>
    </w:p>
    <w:p w14:paraId="78448A51">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rPr>
        <w:t>、单项合同额</w:t>
      </w:r>
      <w:r>
        <w:rPr>
          <w:rFonts w:hint="eastAsia"/>
          <w:color w:val="auto"/>
          <w:highlight w:val="none"/>
        </w:rPr>
        <w:t>）</w:t>
      </w:r>
    </w:p>
    <w:p w14:paraId="69DFCE91">
      <w:pPr>
        <w:snapToGrid w:val="0"/>
        <w:spacing w:line="360" w:lineRule="auto"/>
        <w:ind w:firstLine="315" w:firstLineChars="150"/>
        <w:rPr>
          <w:color w:val="auto"/>
          <w:highlight w:val="none"/>
        </w:rPr>
      </w:pPr>
      <w:r>
        <w:rPr>
          <w:rFonts w:hint="eastAsia"/>
          <w:color w:val="auto"/>
          <w:highlight w:val="none"/>
        </w:rPr>
        <w:t>□机电工程</w:t>
      </w:r>
    </w:p>
    <w:p w14:paraId="130026E1">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rPr>
        <w:t>、单项合同额</w:t>
      </w:r>
      <w:r>
        <w:rPr>
          <w:rFonts w:hint="eastAsia"/>
          <w:color w:val="auto"/>
          <w:highlight w:val="none"/>
        </w:rPr>
        <w:t>）</w:t>
      </w:r>
    </w:p>
    <w:p w14:paraId="4191E175">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园林绿化工程</w:t>
      </w:r>
    </w:p>
    <w:p w14:paraId="76976D65">
      <w:pPr>
        <w:snapToGrid w:val="0"/>
        <w:spacing w:line="360" w:lineRule="auto"/>
        <w:ind w:firstLine="315" w:firstLineChars="150"/>
        <w:rPr>
          <w:b/>
          <w:bCs/>
          <w:color w:val="auto"/>
          <w:sz w:val="28"/>
          <w:szCs w:val="28"/>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4AD400CD">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土石方工程</w:t>
      </w:r>
    </w:p>
    <w:p w14:paraId="704FBA51">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2E83E251">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4</w:t>
      </w:r>
      <w:r>
        <w:rPr>
          <w:color w:val="auto"/>
          <w:highlight w:val="none"/>
        </w:rPr>
        <w:t xml:space="preserve">  申请人可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（具体数量）个标段</w:t>
      </w:r>
      <w:r>
        <w:rPr>
          <w:rFonts w:hint="eastAsia"/>
          <w:color w:val="auto"/>
          <w:highlight w:val="none"/>
        </w:rPr>
        <w:t>提出资格预审申请</w:t>
      </w:r>
      <w:r>
        <w:rPr>
          <w:color w:val="auto"/>
          <w:highlight w:val="none"/>
        </w:rPr>
        <w:t>，但最多允许中标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314F73AB">
      <w:pPr>
        <w:spacing w:line="360" w:lineRule="auto"/>
        <w:ind w:left="199" w:leftChars="95" w:firstLine="210" w:firstLineChars="100"/>
        <w:rPr>
          <w:color w:val="auto"/>
          <w:highlight w:val="none"/>
        </w:rPr>
      </w:pPr>
      <w:r>
        <w:rPr>
          <w:rFonts w:hint="eastAsia"/>
          <w:color w:val="auto"/>
          <w:highlight w:val="none"/>
        </w:rPr>
        <w:t>4.5 其他</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14:paraId="73A814CF">
      <w:pPr>
        <w:keepNext/>
        <w:keepLines/>
        <w:spacing w:line="360" w:lineRule="auto"/>
        <w:outlineLvl w:val="1"/>
        <w:rPr>
          <w:rFonts w:eastAsia="黑体"/>
          <w:color w:val="auto"/>
          <w:sz w:val="30"/>
          <w:szCs w:val="32"/>
          <w:highlight w:val="none"/>
        </w:rPr>
      </w:pPr>
      <w:bookmarkStart w:id="114" w:name="_Toc211498585"/>
      <w:r>
        <w:rPr>
          <w:rFonts w:hint="eastAsia" w:eastAsia="黑体"/>
          <w:b/>
          <w:bCs/>
          <w:color w:val="auto"/>
          <w:sz w:val="32"/>
          <w:szCs w:val="32"/>
          <w:highlight w:val="none"/>
        </w:rPr>
        <w:t>5.资格预审方法</w:t>
      </w:r>
      <w:bookmarkEnd w:id="114"/>
      <w:r>
        <w:rPr>
          <w:rFonts w:hint="eastAsia" w:eastAsia="黑体"/>
          <w:b/>
          <w:bCs/>
          <w:color w:val="auto"/>
          <w:sz w:val="32"/>
          <w:szCs w:val="32"/>
          <w:highlight w:val="none"/>
        </w:rPr>
        <w:t xml:space="preserve"> </w:t>
      </w:r>
      <w:r>
        <w:rPr>
          <w:rFonts w:hint="eastAsia" w:eastAsia="黑体"/>
          <w:color w:val="auto"/>
          <w:sz w:val="30"/>
          <w:szCs w:val="32"/>
          <w:highlight w:val="none"/>
        </w:rPr>
        <w:t xml:space="preserve">   </w:t>
      </w:r>
    </w:p>
    <w:p w14:paraId="4C4BE3AA">
      <w:pPr>
        <w:snapToGrid w:val="0"/>
        <w:spacing w:line="360" w:lineRule="auto"/>
        <w:ind w:firstLine="420" w:firstLineChars="200"/>
        <w:rPr>
          <w:color w:val="auto"/>
          <w:highlight w:val="none"/>
        </w:rPr>
      </w:pPr>
      <w:r>
        <w:rPr>
          <w:rFonts w:hint="eastAsia"/>
          <w:color w:val="auto"/>
          <w:highlight w:val="none"/>
        </w:rPr>
        <w:t>按下述第</w:t>
      </w:r>
      <w:r>
        <w:rPr>
          <w:color w:val="auto"/>
          <w:highlight w:val="none"/>
          <w:u w:val="single"/>
        </w:rPr>
        <w:t xml:space="preserve">    </w:t>
      </w:r>
      <w:r>
        <w:rPr>
          <w:rFonts w:hint="eastAsia"/>
          <w:color w:val="auto"/>
          <w:highlight w:val="none"/>
        </w:rPr>
        <w:t>种资格审查方法确定通过资格预审的申请人：</w:t>
      </w:r>
    </w:p>
    <w:p w14:paraId="4F3AE8B8">
      <w:pPr>
        <w:snapToGrid w:val="0"/>
        <w:spacing w:line="360" w:lineRule="auto"/>
        <w:ind w:firstLine="420" w:firstLineChars="200"/>
        <w:rPr>
          <w:rFonts w:hint="eastAsia" w:ascii="宋体" w:hAnsi="宋体" w:cs="仿宋_GB2312"/>
          <w:color w:val="auto"/>
          <w:szCs w:val="21"/>
          <w:highlight w:val="none"/>
        </w:rPr>
      </w:pPr>
      <w:r>
        <w:rPr>
          <w:rFonts w:hint="eastAsia"/>
          <w:color w:val="auto"/>
          <w:highlight w:val="none"/>
        </w:rPr>
        <w:t>（1）合格制，即</w:t>
      </w:r>
      <w:r>
        <w:rPr>
          <w:rFonts w:hint="eastAsia" w:ascii="宋体" w:hAnsi="宋体" w:cs="仿宋_GB2312"/>
          <w:color w:val="auto"/>
          <w:szCs w:val="21"/>
          <w:highlight w:val="none"/>
        </w:rPr>
        <w:t>通过初步审查和详细审查的合格申请人均通过资格预审。</w:t>
      </w:r>
    </w:p>
    <w:p w14:paraId="4F5754EA">
      <w:pPr>
        <w:spacing w:line="360" w:lineRule="auto"/>
        <w:ind w:firstLine="420" w:firstLineChars="200"/>
        <w:rPr>
          <w:color w:val="auto"/>
          <w:highlight w:val="none"/>
        </w:rPr>
      </w:pPr>
      <w:r>
        <w:rPr>
          <w:rFonts w:hint="eastAsia" w:ascii="宋体" w:hAnsi="宋体" w:cs="仿宋_GB2312"/>
          <w:color w:val="auto"/>
          <w:szCs w:val="21"/>
          <w:highlight w:val="none"/>
        </w:rPr>
        <w:t>（2）有限数量制，如通过初步审查和详细审查的合格申请人不足30个（含本数）的，均通过资格预审，如通过初步审查和详细审查的合格申请人超过30个的，对合格申请人的资格预审申请文件进行量化打分，按得分由高到低的顺序确定</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个（招标人填写的个数不得低于30个）申请人通过资格预审。得分相同无法确定前</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个（</w:t>
      </w:r>
      <w:r>
        <w:rPr>
          <w:rFonts w:hint="eastAsia" w:ascii="宋体" w:hAnsi="宋体" w:cs="仿宋_GB2312"/>
          <w:color w:val="auto"/>
          <w:szCs w:val="21"/>
          <w:highlight w:val="none"/>
          <w:lang w:val="en-US" w:eastAsia="zh-CN"/>
        </w:rPr>
        <w:t>同上</w:t>
      </w:r>
      <w:r>
        <w:rPr>
          <w:rFonts w:hint="eastAsia" w:ascii="宋体" w:hAnsi="宋体" w:cs="仿宋_GB2312"/>
          <w:color w:val="auto"/>
          <w:szCs w:val="21"/>
          <w:highlight w:val="none"/>
        </w:rPr>
        <w:t>）申请人时，其末位申请人得分相同的均通过资格预审。</w:t>
      </w:r>
    </w:p>
    <w:p w14:paraId="0935543F">
      <w:pPr>
        <w:pStyle w:val="3"/>
        <w:spacing w:before="0" w:after="0" w:line="360" w:lineRule="auto"/>
        <w:rPr>
          <w:rFonts w:ascii="Times New Roman" w:hAnsi="Times New Roman" w:eastAsia="黑体"/>
          <w:color w:val="auto"/>
          <w:highlight w:val="none"/>
        </w:rPr>
      </w:pPr>
      <w:bookmarkStart w:id="115" w:name="_Toc211498586"/>
      <w:r>
        <w:rPr>
          <w:rFonts w:ascii="Times New Roman" w:hAnsi="Times New Roman" w:eastAsia="黑体"/>
          <w:color w:val="auto"/>
          <w:highlight w:val="none"/>
        </w:rPr>
        <w:t>6.资格预审文件的获取</w:t>
      </w:r>
      <w:bookmarkEnd w:id="115"/>
    </w:p>
    <w:p w14:paraId="25BE6BC0">
      <w:pPr>
        <w:spacing w:line="360" w:lineRule="auto"/>
        <w:ind w:firstLine="420" w:firstLineChars="200"/>
        <w:rPr>
          <w:color w:val="auto"/>
          <w:highlight w:val="none"/>
        </w:rPr>
      </w:pPr>
      <w:r>
        <w:rPr>
          <w:rFonts w:hint="eastAsia"/>
          <w:color w:val="auto"/>
          <w:highlight w:val="none"/>
          <w:lang w:val="en-US" w:eastAsia="zh-CN"/>
        </w:rPr>
        <w:t xml:space="preserve">6.1 </w:t>
      </w:r>
      <w:r>
        <w:rPr>
          <w:color w:val="auto"/>
          <w:highlight w:val="none"/>
        </w:rPr>
        <w:t>请</w:t>
      </w:r>
      <w:r>
        <w:rPr>
          <w:rFonts w:hint="eastAsia"/>
          <w:color w:val="auto"/>
          <w:highlight w:val="none"/>
        </w:rPr>
        <w:t>申请人</w:t>
      </w:r>
      <w:r>
        <w:rPr>
          <w:color w:val="auto"/>
          <w:highlight w:val="none"/>
        </w:rPr>
        <w:t>于</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时止（北京时间，下同）</w:t>
      </w:r>
      <w:r>
        <w:rPr>
          <w:color w:val="auto"/>
          <w:highlight w:val="none"/>
        </w:rPr>
        <w:t>在</w:t>
      </w:r>
      <w:r>
        <w:rPr>
          <w:color w:val="auto"/>
          <w:highlight w:val="none"/>
          <w:u w:val="single"/>
        </w:rPr>
        <w:t xml:space="preserve">  </w:t>
      </w:r>
      <w:r>
        <w:rPr>
          <w:rFonts w:hint="eastAsia"/>
          <w:color w:val="auto"/>
          <w:highlight w:val="none"/>
          <w:u w:val="single"/>
        </w:rPr>
        <w:t xml:space="preserve">  </w:t>
      </w:r>
      <w:r>
        <w:rPr>
          <w:rFonts w:hint="eastAsia"/>
          <w:i/>
          <w:iCs/>
          <w:color w:val="auto"/>
          <w:highlight w:val="none"/>
          <w:u w:val="single"/>
        </w:rPr>
        <w:t>电子招标投标交易</w:t>
      </w:r>
      <w:r>
        <w:rPr>
          <w:i/>
          <w:iCs/>
          <w:color w:val="auto"/>
          <w:highlight w:val="none"/>
          <w:u w:val="single"/>
        </w:rPr>
        <w:t>平台</w:t>
      </w:r>
      <w:r>
        <w:rPr>
          <w:rFonts w:hint="eastAsia"/>
          <w:i/>
          <w:iCs/>
          <w:color w:val="auto"/>
          <w:highlight w:val="none"/>
          <w:u w:val="single"/>
        </w:rPr>
        <w:t>名称</w:t>
      </w:r>
      <w:r>
        <w:rPr>
          <w:rFonts w:hint="eastAsia"/>
          <w:color w:val="auto"/>
          <w:highlight w:val="none"/>
          <w:u w:val="single"/>
        </w:rPr>
        <w:t xml:space="preserve">  </w:t>
      </w:r>
      <w:r>
        <w:rPr>
          <w:color w:val="auto"/>
          <w:highlight w:val="none"/>
        </w:rPr>
        <w:t>下载</w:t>
      </w:r>
      <w:r>
        <w:rPr>
          <w:rFonts w:hint="eastAsia"/>
          <w:color w:val="auto"/>
          <w:highlight w:val="none"/>
        </w:rPr>
        <w:t>数据电文形式的资格预审</w:t>
      </w:r>
      <w:r>
        <w:rPr>
          <w:color w:val="auto"/>
          <w:highlight w:val="none"/>
        </w:rPr>
        <w:t>文件。</w:t>
      </w:r>
    </w:p>
    <w:p w14:paraId="5AA9D5FF">
      <w:pPr>
        <w:spacing w:line="360" w:lineRule="auto"/>
        <w:ind w:firstLine="420" w:firstLineChars="200"/>
        <w:rPr>
          <w:color w:val="auto"/>
          <w:highlight w:val="none"/>
        </w:rPr>
      </w:pPr>
      <w:r>
        <w:rPr>
          <w:color w:val="auto"/>
          <w:highlight w:val="none"/>
        </w:rPr>
        <w:t>6.2</w:t>
      </w:r>
      <w:r>
        <w:rPr>
          <w:rFonts w:hint="eastAsia"/>
          <w:color w:val="auto"/>
          <w:highlight w:val="none"/>
        </w:rPr>
        <w:t xml:space="preserve"> 申请人要求澄清资格预审文件的截止时间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w:t>
      </w:r>
    </w:p>
    <w:p w14:paraId="31359F75">
      <w:pPr>
        <w:pStyle w:val="3"/>
        <w:spacing w:before="0" w:after="0" w:line="360" w:lineRule="auto"/>
        <w:rPr>
          <w:rFonts w:ascii="Times New Roman" w:hAnsi="Times New Roman" w:eastAsia="黑体"/>
          <w:color w:val="auto"/>
          <w:highlight w:val="none"/>
        </w:rPr>
      </w:pPr>
      <w:bookmarkStart w:id="116" w:name="_Toc211498587"/>
      <w:r>
        <w:rPr>
          <w:rFonts w:hint="eastAsia" w:ascii="Times New Roman" w:hAnsi="Times New Roman" w:eastAsia="黑体"/>
          <w:color w:val="auto"/>
          <w:highlight w:val="none"/>
        </w:rPr>
        <w:t>7.资格预审申请文件的递交</w:t>
      </w:r>
      <w:bookmarkEnd w:id="116"/>
    </w:p>
    <w:p w14:paraId="3F18209A">
      <w:pPr>
        <w:spacing w:line="360" w:lineRule="auto"/>
        <w:ind w:firstLine="420" w:firstLineChars="200"/>
        <w:rPr>
          <w:color w:val="auto"/>
          <w:highlight w:val="none"/>
        </w:rPr>
      </w:pPr>
      <w:r>
        <w:rPr>
          <w:rFonts w:hint="eastAsia"/>
          <w:color w:val="auto"/>
          <w:highlight w:val="none"/>
        </w:rPr>
        <w:t>7</w:t>
      </w:r>
      <w:r>
        <w:rPr>
          <w:color w:val="auto"/>
          <w:highlight w:val="none"/>
        </w:rPr>
        <w:t xml:space="preserve">.1 </w:t>
      </w:r>
      <w:r>
        <w:rPr>
          <w:color w:val="auto"/>
          <w:szCs w:val="21"/>
          <w:highlight w:val="none"/>
        </w:rPr>
        <w:t>电子</w:t>
      </w:r>
      <w:r>
        <w:rPr>
          <w:rFonts w:hint="eastAsia"/>
          <w:color w:val="auto"/>
          <w:szCs w:val="21"/>
          <w:highlight w:val="none"/>
        </w:rPr>
        <w:t>资格预审申请</w:t>
      </w:r>
      <w:r>
        <w:rPr>
          <w:color w:val="auto"/>
          <w:highlight w:val="none"/>
        </w:rPr>
        <w:t>文件递交的截止时间（即：</w:t>
      </w:r>
      <w:r>
        <w:rPr>
          <w:rFonts w:hint="eastAsia"/>
          <w:color w:val="auto"/>
          <w:highlight w:val="none"/>
        </w:rPr>
        <w:t>申请</w:t>
      </w:r>
      <w:r>
        <w:rPr>
          <w:color w:val="auto"/>
          <w:highlight w:val="none"/>
        </w:rPr>
        <w:t>截止时间，下同）为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w:t>
      </w:r>
      <w:r>
        <w:rPr>
          <w:rFonts w:hint="eastAsia"/>
          <w:color w:val="auto"/>
          <w:highlight w:val="none"/>
        </w:rPr>
        <w:t>申请人</w:t>
      </w:r>
      <w:r>
        <w:rPr>
          <w:color w:val="auto"/>
          <w:highlight w:val="none"/>
        </w:rPr>
        <w:t>登录</w:t>
      </w:r>
      <w:r>
        <w:rPr>
          <w:rFonts w:hint="eastAsia"/>
          <w:color w:val="auto"/>
          <w:highlight w:val="none"/>
          <w:u w:val="single"/>
        </w:rPr>
        <w:t xml:space="preserve">   </w:t>
      </w:r>
      <w:r>
        <w:rPr>
          <w:rFonts w:hint="eastAsia"/>
          <w:i/>
          <w:iCs/>
          <w:color w:val="auto"/>
          <w:highlight w:val="none"/>
          <w:u w:val="single"/>
        </w:rPr>
        <w:t xml:space="preserve"> 电子招标投标交易平台名称</w:t>
      </w:r>
      <w:r>
        <w:rPr>
          <w:rFonts w:hint="eastAsia"/>
          <w:color w:val="auto"/>
          <w:highlight w:val="none"/>
          <w:u w:val="single"/>
        </w:rPr>
        <w:t xml:space="preserve">  </w:t>
      </w:r>
      <w:r>
        <w:rPr>
          <w:color w:val="auto"/>
          <w:highlight w:val="none"/>
        </w:rPr>
        <w:t>下载</w:t>
      </w:r>
      <w:r>
        <w:rPr>
          <w:rFonts w:hint="eastAsia"/>
          <w:color w:val="auto"/>
          <w:highlight w:val="none"/>
        </w:rPr>
        <w:t>电子投标文件制作工具</w:t>
      </w:r>
      <w:r>
        <w:rPr>
          <w:color w:val="auto"/>
          <w:highlight w:val="none"/>
        </w:rPr>
        <w:t>编制</w:t>
      </w:r>
      <w:r>
        <w:rPr>
          <w:rFonts w:hint="eastAsia"/>
          <w:color w:val="auto"/>
          <w:highlight w:val="none"/>
        </w:rPr>
        <w:t>资格预审申请</w:t>
      </w:r>
      <w:r>
        <w:rPr>
          <w:color w:val="auto"/>
          <w:highlight w:val="none"/>
        </w:rPr>
        <w:t>文件，</w:t>
      </w:r>
      <w:r>
        <w:rPr>
          <w:rFonts w:hint="eastAsia"/>
          <w:color w:val="auto"/>
          <w:highlight w:val="none"/>
        </w:rPr>
        <w:t>申请人应</w:t>
      </w:r>
      <w:r>
        <w:rPr>
          <w:color w:val="auto"/>
          <w:highlight w:val="none"/>
        </w:rPr>
        <w:t>在</w:t>
      </w:r>
      <w:r>
        <w:rPr>
          <w:rFonts w:hint="eastAsia"/>
          <w:color w:val="auto"/>
          <w:highlight w:val="none"/>
        </w:rPr>
        <w:t>申请</w:t>
      </w:r>
      <w:r>
        <w:rPr>
          <w:color w:val="auto"/>
          <w:highlight w:val="none"/>
        </w:rPr>
        <w:t>截止时间前通过</w:t>
      </w:r>
      <w:r>
        <w:rPr>
          <w:rFonts w:hint="eastAsia"/>
          <w:color w:val="auto"/>
          <w:highlight w:val="none"/>
          <w:u w:val="single"/>
        </w:rPr>
        <w:t>（电子招标投标交易平台名称）</w:t>
      </w:r>
      <w:r>
        <w:rPr>
          <w:color w:val="auto"/>
          <w:highlight w:val="none"/>
        </w:rPr>
        <w:t>递交</w:t>
      </w:r>
      <w:r>
        <w:rPr>
          <w:rFonts w:hint="eastAsia"/>
          <w:color w:val="auto"/>
          <w:highlight w:val="none"/>
        </w:rPr>
        <w:t>数据电文形式的资格预审申请文件</w:t>
      </w:r>
      <w:r>
        <w:rPr>
          <w:color w:val="auto"/>
          <w:highlight w:val="none"/>
        </w:rPr>
        <w:t>。逾期递交的</w:t>
      </w:r>
      <w:r>
        <w:rPr>
          <w:rFonts w:hint="eastAsia"/>
          <w:color w:val="auto"/>
          <w:highlight w:val="none"/>
        </w:rPr>
        <w:t>资格预审申请</w:t>
      </w:r>
      <w:r>
        <w:rPr>
          <w:color w:val="auto"/>
          <w:highlight w:val="none"/>
        </w:rPr>
        <w:t>文件，</w:t>
      </w:r>
      <w:r>
        <w:rPr>
          <w:rFonts w:hint="eastAsia"/>
          <w:color w:val="auto"/>
          <w:highlight w:val="none"/>
        </w:rPr>
        <w:t>电子招标投标交易平台</w:t>
      </w:r>
      <w:r>
        <w:rPr>
          <w:color w:val="auto"/>
          <w:highlight w:val="none"/>
        </w:rPr>
        <w:t>予以拒收。</w:t>
      </w:r>
    </w:p>
    <w:p w14:paraId="193F3F33">
      <w:pPr>
        <w:spacing w:line="360" w:lineRule="auto"/>
        <w:ind w:firstLine="420" w:firstLineChars="200"/>
        <w:rPr>
          <w:color w:val="auto"/>
          <w:highlight w:val="none"/>
        </w:rPr>
      </w:pPr>
      <w:r>
        <w:rPr>
          <w:rFonts w:hint="eastAsia"/>
          <w:color w:val="auto"/>
          <w:highlight w:val="none"/>
        </w:rPr>
        <w:t xml:space="preserve">7.2 </w:t>
      </w:r>
      <w:r>
        <w:rPr>
          <w:color w:val="auto"/>
          <w:highlight w:val="none"/>
        </w:rPr>
        <w:t>电子</w:t>
      </w:r>
      <w:r>
        <w:rPr>
          <w:rFonts w:hint="eastAsia"/>
          <w:color w:val="auto"/>
          <w:highlight w:val="none"/>
        </w:rPr>
        <w:t>资格预审申请</w:t>
      </w:r>
      <w:r>
        <w:rPr>
          <w:color w:val="auto"/>
          <w:highlight w:val="none"/>
        </w:rPr>
        <w:t>文件的解密截止时间为</w:t>
      </w:r>
      <w:r>
        <w:rPr>
          <w:rFonts w:hint="eastAsia"/>
          <w:color w:val="auto"/>
          <w:highlight w:val="none"/>
        </w:rPr>
        <w:t>申请</w:t>
      </w:r>
      <w:r>
        <w:rPr>
          <w:color w:val="auto"/>
          <w:highlight w:val="none"/>
        </w:rPr>
        <w:t>截止时间后</w:t>
      </w:r>
      <w:r>
        <w:rPr>
          <w:color w:val="auto"/>
          <w:highlight w:val="none"/>
          <w:u w:val="single"/>
        </w:rPr>
        <w:t xml:space="preserve"> </w:t>
      </w:r>
      <w:r>
        <w:rPr>
          <w:rFonts w:hint="eastAsia"/>
          <w:color w:val="auto"/>
          <w:highlight w:val="none"/>
          <w:u w:val="single"/>
        </w:rPr>
        <w:t xml:space="preserve">   </w:t>
      </w:r>
      <w:r>
        <w:rPr>
          <w:color w:val="auto"/>
          <w:highlight w:val="none"/>
        </w:rPr>
        <w:t>分钟。请</w:t>
      </w:r>
      <w:r>
        <w:rPr>
          <w:rFonts w:hint="eastAsia"/>
          <w:color w:val="auto"/>
          <w:highlight w:val="none"/>
        </w:rPr>
        <w:t>申请人</w:t>
      </w:r>
      <w:r>
        <w:rPr>
          <w:color w:val="auto"/>
          <w:highlight w:val="none"/>
        </w:rPr>
        <w:t>确保</w:t>
      </w:r>
      <w:r>
        <w:rPr>
          <w:rFonts w:hint="eastAsia"/>
          <w:color w:val="auto"/>
          <w:highlight w:val="none"/>
        </w:rPr>
        <w:t>资格预审申请</w:t>
      </w:r>
      <w:r>
        <w:rPr>
          <w:color w:val="auto"/>
          <w:highlight w:val="none"/>
        </w:rPr>
        <w:t>文件如期解密。</w:t>
      </w:r>
      <w:r>
        <w:rPr>
          <w:rFonts w:hint="eastAsia"/>
          <w:color w:val="auto"/>
          <w:highlight w:val="none"/>
        </w:rPr>
        <w:t xml:space="preserve"> </w:t>
      </w:r>
    </w:p>
    <w:p w14:paraId="2FED110D">
      <w:pPr>
        <w:pStyle w:val="3"/>
        <w:spacing w:before="0" w:after="0" w:line="360" w:lineRule="auto"/>
        <w:rPr>
          <w:rFonts w:ascii="Times New Roman" w:hAnsi="Times New Roman" w:eastAsia="黑体"/>
          <w:color w:val="auto"/>
          <w:highlight w:val="none"/>
        </w:rPr>
      </w:pPr>
      <w:bookmarkStart w:id="117" w:name="_Toc211498588"/>
      <w:r>
        <w:rPr>
          <w:rFonts w:hint="eastAsia" w:ascii="Times New Roman" w:hAnsi="Times New Roman" w:eastAsia="黑体"/>
          <w:color w:val="auto"/>
          <w:highlight w:val="none"/>
        </w:rPr>
        <w:t>8</w:t>
      </w:r>
      <w:r>
        <w:rPr>
          <w:rFonts w:ascii="Times New Roman" w:hAnsi="Times New Roman" w:eastAsia="黑体"/>
          <w:color w:val="auto"/>
          <w:highlight w:val="none"/>
        </w:rPr>
        <w:t>.评标办法</w:t>
      </w:r>
      <w:r>
        <w:rPr>
          <w:rFonts w:hint="eastAsia" w:ascii="Times New Roman" w:hAnsi="Times New Roman" w:eastAsia="黑体"/>
          <w:color w:val="auto"/>
          <w:szCs w:val="24"/>
          <w:highlight w:val="none"/>
        </w:rPr>
        <w:t>及确定中标人方式</w:t>
      </w:r>
      <w:bookmarkEnd w:id="117"/>
    </w:p>
    <w:p w14:paraId="7F2A2E78">
      <w:pPr>
        <w:snapToGrid w:val="0"/>
        <w:spacing w:line="360" w:lineRule="auto"/>
        <w:ind w:firstLine="315" w:firstLineChars="150"/>
        <w:rPr>
          <w:color w:val="auto"/>
          <w:highlight w:val="none"/>
        </w:rPr>
      </w:pPr>
      <w:r>
        <w:rPr>
          <w:rFonts w:hint="eastAsia"/>
          <w:color w:val="auto"/>
          <w:highlight w:val="none"/>
        </w:rPr>
        <w:t>8.1评标办法</w:t>
      </w:r>
    </w:p>
    <w:p w14:paraId="01A962F5">
      <w:pPr>
        <w:snapToGrid w:val="0"/>
        <w:spacing w:after="0"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经评审的最低投标价法；</w:t>
      </w:r>
      <w:r>
        <w:rPr>
          <w:rFonts w:hint="eastAsia"/>
          <w:color w:val="auto"/>
          <w:highlight w:val="none"/>
        </w:rPr>
        <w:sym w:font="Wingdings 2" w:char="00A3"/>
      </w:r>
      <w:r>
        <w:rPr>
          <w:rFonts w:hint="eastAsia"/>
          <w:color w:val="auto"/>
          <w:highlight w:val="none"/>
        </w:rPr>
        <w:t>合理低价法；</w:t>
      </w:r>
      <w:r>
        <w:rPr>
          <w:rFonts w:hint="eastAsia"/>
          <w:color w:val="auto"/>
          <w:highlight w:val="none"/>
        </w:rPr>
        <w:sym w:font="Wingdings 2" w:char="00A3"/>
      </w:r>
      <w:r>
        <w:rPr>
          <w:rFonts w:hint="eastAsia"/>
          <w:color w:val="auto"/>
          <w:highlight w:val="none"/>
        </w:rPr>
        <w:t>技术评分最低标价法；</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bookmarkStart w:id="118" w:name="_Hlk210204613"/>
    </w:p>
    <w:p w14:paraId="71057587">
      <w:pPr>
        <w:snapToGrid w:val="0"/>
        <w:spacing w:after="0" w:line="360" w:lineRule="auto"/>
        <w:ind w:firstLine="315" w:firstLineChars="150"/>
        <w:rPr>
          <w:color w:val="auto"/>
          <w:highlight w:val="none"/>
        </w:rPr>
      </w:pPr>
      <w:r>
        <w:rPr>
          <w:rFonts w:hint="eastAsia"/>
          <w:color w:val="auto"/>
          <w:highlight w:val="none"/>
        </w:rPr>
        <w:t>8.2确定中标人方式</w:t>
      </w:r>
    </w:p>
    <w:p w14:paraId="42CF985B">
      <w:pPr>
        <w:snapToGrid w:val="0"/>
        <w:spacing w:after="0" w:line="360" w:lineRule="auto"/>
        <w:ind w:firstLine="315" w:firstLineChars="150"/>
        <w:rPr>
          <w:color w:val="auto"/>
          <w:highlight w:val="none"/>
        </w:rPr>
      </w:pPr>
      <w:r>
        <w:rPr>
          <w:color w:val="auto"/>
          <w:szCs w:val="21"/>
          <w:highlight w:val="none"/>
        </w:rPr>
        <w:sym w:font="Wingdings 2" w:char="00A3"/>
      </w:r>
      <w:r>
        <w:rPr>
          <w:rFonts w:hint="eastAsia"/>
          <w:color w:val="auto"/>
          <w:szCs w:val="21"/>
          <w:highlight w:val="none"/>
        </w:rPr>
        <w:t>排序法；</w:t>
      </w:r>
      <w:r>
        <w:rPr>
          <w:color w:val="auto"/>
          <w:szCs w:val="21"/>
          <w:highlight w:val="none"/>
        </w:rPr>
        <w:sym w:font="Wingdings 2" w:char="00A3"/>
      </w:r>
      <w:r>
        <w:rPr>
          <w:rFonts w:hint="eastAsia"/>
          <w:color w:val="auto"/>
          <w:szCs w:val="21"/>
          <w:highlight w:val="none"/>
        </w:rPr>
        <w:t>评定分离法</w:t>
      </w:r>
    </w:p>
    <w:bookmarkEnd w:id="118"/>
    <w:p w14:paraId="55BC2E43">
      <w:pPr>
        <w:pStyle w:val="3"/>
        <w:spacing w:before="0" w:after="0" w:line="360" w:lineRule="auto"/>
        <w:rPr>
          <w:rFonts w:ascii="Times New Roman" w:hAnsi="Times New Roman" w:eastAsia="黑体"/>
          <w:color w:val="auto"/>
          <w:highlight w:val="none"/>
        </w:rPr>
      </w:pPr>
      <w:bookmarkStart w:id="119" w:name="_Toc211498589"/>
      <w:r>
        <w:rPr>
          <w:rFonts w:hint="eastAsia" w:ascii="Times New Roman" w:hAnsi="Times New Roman" w:eastAsia="黑体"/>
          <w:color w:val="auto"/>
          <w:highlight w:val="none"/>
        </w:rPr>
        <w:t>9</w:t>
      </w:r>
      <w:r>
        <w:rPr>
          <w:rFonts w:ascii="Times New Roman" w:hAnsi="Times New Roman" w:eastAsia="黑体"/>
          <w:color w:val="auto"/>
          <w:highlight w:val="none"/>
        </w:rPr>
        <w:t>.发布公告的媒介</w:t>
      </w:r>
      <w:bookmarkEnd w:id="119"/>
    </w:p>
    <w:p w14:paraId="66077C6D">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w:t>
      </w:r>
      <w:r>
        <w:rPr>
          <w:i/>
          <w:iCs/>
          <w:color w:val="auto"/>
          <w:highlight w:val="none"/>
          <w:u w:val="single"/>
        </w:rPr>
        <w:t>发布公告的媒介名称</w:t>
      </w:r>
      <w:r>
        <w:rPr>
          <w:rFonts w:hint="eastAsia"/>
          <w:color w:val="auto"/>
          <w:highlight w:val="none"/>
          <w:u w:val="single"/>
        </w:rPr>
        <w:t xml:space="preserve">  </w:t>
      </w:r>
      <w:r>
        <w:rPr>
          <w:color w:val="auto"/>
          <w:highlight w:val="none"/>
        </w:rPr>
        <w:t>上发布。</w:t>
      </w:r>
    </w:p>
    <w:p w14:paraId="00FE27A1">
      <w:pPr>
        <w:pStyle w:val="3"/>
        <w:spacing w:before="0" w:after="0" w:line="360" w:lineRule="auto"/>
        <w:rPr>
          <w:rFonts w:ascii="Times New Roman" w:hAnsi="Times New Roman" w:eastAsia="黑体"/>
          <w:color w:val="auto"/>
          <w:highlight w:val="none"/>
        </w:rPr>
      </w:pPr>
      <w:bookmarkStart w:id="120" w:name="_Toc211498590"/>
      <w:r>
        <w:rPr>
          <w:rFonts w:hint="eastAsia" w:ascii="Times New Roman" w:hAnsi="Times New Roman" w:eastAsia="黑体"/>
          <w:color w:val="auto"/>
          <w:highlight w:val="none"/>
        </w:rPr>
        <w:t>10</w:t>
      </w:r>
      <w:r>
        <w:rPr>
          <w:rFonts w:ascii="Times New Roman" w:hAnsi="Times New Roman" w:eastAsia="黑体"/>
          <w:color w:val="auto"/>
          <w:highlight w:val="none"/>
        </w:rPr>
        <w:t>.其它</w:t>
      </w:r>
      <w:bookmarkEnd w:id="120"/>
    </w:p>
    <w:p w14:paraId="53E26624">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w:t>
      </w:r>
      <w:r>
        <w:rPr>
          <w:rFonts w:hint="eastAsia" w:ascii="宋体" w:hAnsi="宋体" w:cs="宋体"/>
          <w:snapToGrid w:val="0"/>
          <w:color w:val="auto"/>
          <w:kern w:val="0"/>
          <w:szCs w:val="21"/>
          <w:highlight w:val="none"/>
        </w:rPr>
        <w:t>标，申请人</w:t>
      </w:r>
      <w:r>
        <w:rPr>
          <w:rFonts w:hint="eastAsia" w:ascii="Arial" w:hAnsi="Arial" w:eastAsia="Arial" w:cs="Arial"/>
          <w:snapToGrid w:val="0"/>
          <w:color w:val="auto"/>
          <w:kern w:val="0"/>
          <w:szCs w:val="21"/>
          <w:highlight w:val="none"/>
        </w:rPr>
        <w:t>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w:t>
      </w:r>
      <w:r>
        <w:rPr>
          <w:rFonts w:hint="eastAsia" w:ascii="宋体" w:hAnsi="宋体" w:cs="宋体"/>
          <w:snapToGrid w:val="0"/>
          <w:color w:val="auto"/>
          <w:kern w:val="0"/>
          <w:szCs w:val="21"/>
          <w:highlight w:val="none"/>
        </w:rPr>
        <w:t>资格预审</w:t>
      </w:r>
      <w:r>
        <w:rPr>
          <w:rFonts w:hint="eastAsia" w:ascii="Arial" w:hAnsi="Arial" w:eastAsia="Arial" w:cs="Arial"/>
          <w:snapToGrid w:val="0"/>
          <w:color w:val="auto"/>
          <w:kern w:val="0"/>
          <w:szCs w:val="21"/>
          <w:highlight w:val="none"/>
        </w:rPr>
        <w:t>文件等相关资料。</w:t>
      </w:r>
    </w:p>
    <w:p w14:paraId="12132DC5">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w:t>
      </w:r>
      <w:r>
        <w:rPr>
          <w:rFonts w:hint="eastAsia" w:ascii="宋体" w:hAnsi="宋体" w:cs="宋体"/>
          <w:snapToGrid w:val="0"/>
          <w:color w:val="auto"/>
          <w:kern w:val="0"/>
          <w:szCs w:val="21"/>
          <w:highlight w:val="none"/>
        </w:rPr>
        <w:t>申请人</w:t>
      </w:r>
      <w:r>
        <w:rPr>
          <w:rFonts w:hint="eastAsia" w:ascii="Arial" w:hAnsi="Arial" w:eastAsia="Arial" w:cs="Arial"/>
          <w:snapToGrid w:val="0"/>
          <w:color w:val="auto"/>
          <w:kern w:val="0"/>
          <w:szCs w:val="21"/>
          <w:highlight w:val="none"/>
        </w:rPr>
        <w:t>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w:t>
      </w:r>
      <w:r>
        <w:rPr>
          <w:rFonts w:hint="eastAsia" w:ascii="Arial" w:hAnsi="Arial" w:eastAsia="Arial" w:cs="Arial"/>
          <w:snapToGrid w:val="0"/>
          <w:color w:val="auto"/>
          <w:kern w:val="0"/>
          <w:szCs w:val="21"/>
          <w:highlight w:val="none"/>
        </w:rPr>
        <w:t>，参与投标的</w:t>
      </w:r>
      <w:r>
        <w:rPr>
          <w:rFonts w:hint="eastAsia" w:ascii="宋体" w:hAnsi="宋体" w:cs="宋体"/>
          <w:snapToGrid w:val="0"/>
          <w:color w:val="auto"/>
          <w:kern w:val="0"/>
          <w:szCs w:val="21"/>
          <w:highlight w:val="none"/>
        </w:rPr>
        <w:t>申请人</w:t>
      </w:r>
      <w:r>
        <w:rPr>
          <w:rFonts w:hint="eastAsia" w:ascii="Arial" w:hAnsi="Arial" w:cs="Arial"/>
          <w:snapToGrid w:val="0"/>
          <w:color w:val="auto"/>
          <w:kern w:val="0"/>
          <w:szCs w:val="21"/>
          <w:highlight w:val="none"/>
        </w:rPr>
        <w:t>需使用电子投标文件制作软件制作资格预审申请文件</w:t>
      </w:r>
      <w:r>
        <w:rPr>
          <w:rFonts w:hint="eastAsia" w:ascii="Arial" w:hAnsi="Arial" w:eastAsia="Arial" w:cs="Arial"/>
          <w:snapToGrid w:val="0"/>
          <w:color w:val="auto"/>
          <w:kern w:val="0"/>
          <w:szCs w:val="21"/>
          <w:highlight w:val="none"/>
        </w:rPr>
        <w:t>。</w:t>
      </w:r>
    </w:p>
    <w:p w14:paraId="0BB37FF2">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w:t>
      </w:r>
      <w:r>
        <w:rPr>
          <w:rFonts w:hint="eastAsia" w:ascii="宋体" w:hAnsi="宋体" w:cs="宋体"/>
          <w:snapToGrid w:val="0"/>
          <w:color w:val="auto"/>
          <w:kern w:val="0"/>
          <w:szCs w:val="21"/>
          <w:highlight w:val="none"/>
        </w:rPr>
        <w:t>申请人</w:t>
      </w:r>
      <w:r>
        <w:rPr>
          <w:rFonts w:hint="eastAsia" w:ascii="Arial" w:hAnsi="Arial" w:eastAsia="Arial" w:cs="Arial"/>
          <w:snapToGrid w:val="0"/>
          <w:color w:val="auto"/>
          <w:kern w:val="0"/>
          <w:szCs w:val="21"/>
          <w:highlight w:val="none"/>
        </w:rPr>
        <w:t>须在</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进行注册并办理企业数字证书（CA证书，含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）、法人数字证书（含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）、签字章等。具体办理流程详见湖南省公共资源交易平台数字证书专区相关信息。</w:t>
      </w:r>
    </w:p>
    <w:p w14:paraId="49FBEBBA">
      <w:pPr>
        <w:spacing w:line="360" w:lineRule="auto"/>
        <w:ind w:firstLine="420" w:firstLineChars="200"/>
        <w:rPr>
          <w:rFonts w:eastAsia="黑体"/>
          <w:b/>
          <w:bCs/>
          <w:color w:val="auto"/>
          <w:sz w:val="30"/>
          <w:highlight w:val="none"/>
        </w:rPr>
      </w:pPr>
      <w:r>
        <w:rPr>
          <w:rFonts w:hint="eastAsia" w:ascii="宋体" w:hAnsi="宋体" w:cs="宋体"/>
          <w:snapToGrid w:val="0"/>
          <w:color w:val="auto"/>
          <w:kern w:val="0"/>
          <w:szCs w:val="21"/>
          <w:highlight w:val="none"/>
        </w:rPr>
        <w:t>注：本项目资格预审</w:t>
      </w:r>
      <w:r>
        <w:rPr>
          <w:rFonts w:hint="eastAsia" w:ascii="宋体" w:hAnsi="宋体" w:cs="宋体"/>
          <w:snapToGrid w:val="0"/>
          <w:color w:val="auto"/>
          <w:kern w:val="0"/>
          <w:szCs w:val="21"/>
          <w:highlight w:val="none"/>
          <w:lang w:val="en-US" w:eastAsia="zh-CN"/>
        </w:rPr>
        <w:t>申请</w:t>
      </w:r>
      <w:r>
        <w:rPr>
          <w:rFonts w:hint="eastAsia" w:ascii="宋体" w:hAnsi="宋体" w:cs="宋体"/>
          <w:snapToGrid w:val="0"/>
          <w:color w:val="auto"/>
          <w:kern w:val="0"/>
          <w:szCs w:val="21"/>
          <w:highlight w:val="none"/>
        </w:rPr>
        <w:t>投标过程中，电子系统使用操作遇到问题时可及时向</w:t>
      </w:r>
      <w:r>
        <w:rPr>
          <w:rFonts w:hint="eastAsia" w:ascii="Arial" w:hAnsi="Arial" w:cs="Arial"/>
          <w:i/>
          <w:iCs/>
          <w:snapToGrid w:val="0"/>
          <w:color w:val="auto"/>
          <w:kern w:val="0"/>
          <w:szCs w:val="21"/>
          <w:highlight w:val="none"/>
        </w:rPr>
        <w:t xml:space="preserve"> </w:t>
      </w:r>
      <w:r>
        <w:rPr>
          <w:rFonts w:hint="eastAsia" w:ascii="Arial" w:hAnsi="Arial" w:cs="Arial"/>
          <w:i/>
          <w:iCs/>
          <w:snapToGrid w:val="0"/>
          <w:color w:val="auto"/>
          <w:kern w:val="0"/>
          <w:szCs w:val="21"/>
          <w:highlight w:val="none"/>
          <w:u w:val="single"/>
        </w:rPr>
        <w:t>电子招标投标交易平台名称</w:t>
      </w:r>
      <w:r>
        <w:rPr>
          <w:rFonts w:hint="eastAsia" w:ascii="Arial" w:hAnsi="Arial" w:cs="Arial"/>
          <w:snapToGrid w:val="0"/>
          <w:color w:val="auto"/>
          <w:kern w:val="0"/>
          <w:szCs w:val="21"/>
          <w:highlight w:val="none"/>
        </w:rPr>
        <w:t>咨询</w:t>
      </w:r>
      <w:r>
        <w:rPr>
          <w:rFonts w:hint="eastAsia" w:ascii="宋体" w:hAnsi="宋体" w:cs="宋体"/>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27383C51">
      <w:pPr>
        <w:pStyle w:val="3"/>
        <w:spacing w:before="0" w:after="0" w:line="360" w:lineRule="auto"/>
        <w:rPr>
          <w:rFonts w:ascii="Times New Roman" w:hAnsi="Times New Roman" w:eastAsia="黑体"/>
          <w:color w:val="auto"/>
          <w:highlight w:val="none"/>
        </w:rPr>
      </w:pPr>
      <w:bookmarkStart w:id="121" w:name="_Toc211498591"/>
      <w:r>
        <w:rPr>
          <w:rFonts w:ascii="Times New Roman" w:hAnsi="Times New Roman" w:eastAsia="黑体"/>
          <w:color w:val="auto"/>
          <w:highlight w:val="none"/>
        </w:rPr>
        <w:t>1</w:t>
      </w:r>
      <w:r>
        <w:rPr>
          <w:rFonts w:hint="eastAsia" w:ascii="Times New Roman" w:hAnsi="Times New Roman" w:eastAsia="黑体"/>
          <w:color w:val="auto"/>
          <w:highlight w:val="none"/>
        </w:rPr>
        <w:t>1</w:t>
      </w:r>
      <w:r>
        <w:rPr>
          <w:rFonts w:ascii="Times New Roman" w:hAnsi="Times New Roman" w:eastAsia="黑体"/>
          <w:color w:val="auto"/>
          <w:highlight w:val="none"/>
        </w:rPr>
        <w:t>.联系方式</w:t>
      </w:r>
      <w:bookmarkEnd w:id="121"/>
    </w:p>
    <w:p w14:paraId="7E82BFCE">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5150918">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776653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1B310E4">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4361EE0">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08EFF4E">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E53178E">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E52CAF7">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1E5431B">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1D64339E">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46168A64">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4390DFD">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3589003">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744D584">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16A33A3">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8A45A2D">
      <w:pPr>
        <w:ind w:firstLine="420" w:firstLineChars="200"/>
        <w:rPr>
          <w:rFonts w:eastAsia="黑体"/>
          <w:color w:val="auto"/>
          <w:highlight w:val="none"/>
        </w:rPr>
      </w:pPr>
      <w:r>
        <w:rPr>
          <w:rFonts w:hint="eastAsia" w:ascii="宋体" w:hAnsi="宋体" w:eastAsia="Arial" w:cs="Arial"/>
          <w:snapToGrid w:val="0"/>
          <w:color w:val="auto"/>
          <w:kern w:val="0"/>
          <w:szCs w:val="21"/>
          <w:highlight w:val="none"/>
        </w:rPr>
        <w:t>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1C0B4F8">
      <w:pPr>
        <w:jc w:val="center"/>
        <w:rPr>
          <w:rFonts w:eastAsia="黑体"/>
          <w:color w:val="auto"/>
          <w:highlight w:val="none"/>
        </w:rPr>
      </w:pPr>
      <w:r>
        <w:rPr>
          <w:rFonts w:eastAsia="黑体"/>
          <w:color w:val="auto"/>
          <w:highlight w:val="none"/>
        </w:rPr>
        <w:br w:type="page"/>
      </w:r>
    </w:p>
    <w:p w14:paraId="45B549CC">
      <w:pPr>
        <w:pStyle w:val="2"/>
        <w:spacing w:before="0" w:after="0"/>
        <w:jc w:val="center"/>
        <w:rPr>
          <w:rFonts w:ascii="Times New Roman" w:hAnsi="Times New Roman" w:eastAsia="黑体"/>
          <w:b w:val="0"/>
          <w:bCs w:val="0"/>
          <w:color w:val="auto"/>
          <w:highlight w:val="none"/>
        </w:rPr>
      </w:pPr>
      <w:bookmarkStart w:id="122" w:name="_Toc211498592"/>
      <w:r>
        <w:rPr>
          <w:rFonts w:ascii="Times New Roman" w:hAnsi="Times New Roman" w:eastAsia="黑体"/>
          <w:b w:val="0"/>
          <w:bCs w:val="0"/>
          <w:color w:val="auto"/>
          <w:highlight w:val="none"/>
        </w:rPr>
        <w:t>第一章  资格预审通过通知书</w:t>
      </w:r>
      <w:bookmarkEnd w:id="105"/>
      <w:bookmarkEnd w:id="122"/>
    </w:p>
    <w:p w14:paraId="430090A0">
      <w:pPr>
        <w:rPr>
          <w:color w:val="auto"/>
          <w:highlight w:val="none"/>
        </w:rPr>
      </w:pPr>
    </w:p>
    <w:p w14:paraId="300DCD79">
      <w:pPr>
        <w:jc w:val="center"/>
        <w:rPr>
          <w:rFonts w:eastAsia="黑体"/>
          <w:color w:val="auto"/>
          <w:sz w:val="28"/>
          <w:highlight w:val="none"/>
        </w:rPr>
      </w:pP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）施工投标邀请书</w:t>
      </w:r>
    </w:p>
    <w:p w14:paraId="7F301619">
      <w:pPr>
        <w:rPr>
          <w:color w:val="auto"/>
          <w:highlight w:val="none"/>
        </w:rPr>
      </w:pPr>
    </w:p>
    <w:p w14:paraId="1A4DC8BF">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14:paraId="7D68E3ED">
      <w:pPr>
        <w:spacing w:line="360" w:lineRule="auto"/>
        <w:ind w:firstLine="420" w:firstLineChars="200"/>
        <w:rPr>
          <w:rFonts w:hint="eastAsia" w:ascii="宋体" w:hAnsi="宋体"/>
          <w:color w:val="auto"/>
          <w:szCs w:val="21"/>
          <w:highlight w:val="none"/>
        </w:rPr>
      </w:pPr>
    </w:p>
    <w:p w14:paraId="4B578B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你单位已经通过资格预审，现邀请你单位按招标文件的规定，参加</w:t>
      </w:r>
      <w:r>
        <w:rPr>
          <w:rFonts w:hint="eastAsia" w:ascii="宋体" w:hAnsi="宋体"/>
          <w:color w:val="auto"/>
          <w:szCs w:val="21"/>
          <w:highlight w:val="none"/>
          <w:u w:val="single"/>
        </w:rPr>
        <w:t xml:space="preserve">                 </w:t>
      </w:r>
      <w:r>
        <w:rPr>
          <w:color w:val="auto"/>
          <w:szCs w:val="21"/>
          <w:highlight w:val="none"/>
        </w:rPr>
        <w:t>（招标项目</w:t>
      </w:r>
      <w:r>
        <w:rPr>
          <w:rFonts w:hint="eastAsia"/>
          <w:color w:val="auto"/>
          <w:szCs w:val="21"/>
          <w:highlight w:val="none"/>
        </w:rPr>
        <w:t>或标段，以下简称：招标项目</w:t>
      </w:r>
      <w:r>
        <w:rPr>
          <w:color w:val="auto"/>
          <w:szCs w:val="21"/>
          <w:highlight w:val="none"/>
        </w:rPr>
        <w:t>）</w:t>
      </w:r>
      <w:r>
        <w:rPr>
          <w:rFonts w:hint="eastAsia" w:ascii="宋体" w:hAnsi="宋体"/>
          <w:color w:val="auto"/>
          <w:szCs w:val="21"/>
          <w:highlight w:val="none"/>
        </w:rPr>
        <w:t>施工投标。</w:t>
      </w:r>
    </w:p>
    <w:p w14:paraId="442589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请你单位于</w:t>
      </w:r>
      <w:r>
        <w:rPr>
          <w:rFonts w:hint="eastAsia" w:ascii="宋体" w:hAnsi="宋体"/>
          <w:color w:val="auto"/>
          <w:szCs w:val="21"/>
          <w:highlight w:val="none"/>
          <w:u w:val="single"/>
        </w:rPr>
        <w:t xml:space="preserve">    年    月    日</w:t>
      </w:r>
      <w:r>
        <w:rPr>
          <w:rFonts w:hint="eastAsia" w:ascii="宋体" w:hAnsi="宋体"/>
          <w:color w:val="auto"/>
          <w:szCs w:val="21"/>
          <w:highlight w:val="none"/>
        </w:rPr>
        <w:t>起在</w:t>
      </w:r>
      <w:r>
        <w:rPr>
          <w:rFonts w:hint="eastAsia" w:ascii="宋体" w:hAnsi="宋体"/>
          <w:color w:val="auto"/>
          <w:szCs w:val="21"/>
          <w:highlight w:val="none"/>
          <w:u w:val="single"/>
        </w:rPr>
        <w:t xml:space="preserve"> </w:t>
      </w:r>
      <w:r>
        <w:rPr>
          <w:rFonts w:hint="eastAsia" w:ascii="宋体" w:hAnsi="宋体"/>
          <w:i/>
          <w:iCs/>
          <w:color w:val="auto"/>
          <w:szCs w:val="21"/>
          <w:highlight w:val="none"/>
          <w:u w:val="single"/>
        </w:rPr>
        <w:t xml:space="preserve">电子招标投标交易平台名称 </w:t>
      </w:r>
      <w:r>
        <w:rPr>
          <w:rFonts w:hint="eastAsia" w:ascii="宋体" w:hAnsi="宋体"/>
          <w:color w:val="auto"/>
          <w:szCs w:val="21"/>
          <w:highlight w:val="none"/>
        </w:rPr>
        <w:t>下载数据电文形式的招标文件。</w:t>
      </w:r>
    </w:p>
    <w:p w14:paraId="0C29F5E0">
      <w:pPr>
        <w:spacing w:line="360" w:lineRule="auto"/>
        <w:ind w:firstLine="420" w:firstLineChars="200"/>
        <w:rPr>
          <w:rFonts w:hint="eastAsia" w:ascii="宋体" w:hAnsi="宋体"/>
          <w:color w:val="auto"/>
          <w:szCs w:val="21"/>
          <w:highlight w:val="none"/>
          <w:u w:val="single"/>
        </w:rPr>
      </w:pPr>
      <w:r>
        <w:rPr>
          <w:color w:val="auto"/>
          <w:szCs w:val="21"/>
          <w:highlight w:val="none"/>
        </w:rPr>
        <w:t>电子</w:t>
      </w:r>
      <w:r>
        <w:rPr>
          <w:color w:val="auto"/>
          <w:highlight w:val="none"/>
        </w:rPr>
        <w:t>投标文件递交的截止时间（即：投标截止时间，下同）及开标时间为</w:t>
      </w:r>
      <w:r>
        <w:rPr>
          <w:rFonts w:hint="eastAsia" w:ascii="宋体" w:hAnsi="宋体"/>
          <w:color w:val="auto"/>
          <w:szCs w:val="21"/>
          <w:highlight w:val="none"/>
          <w:u w:val="single"/>
        </w:rPr>
        <w:t xml:space="preserve">    年    月    日</w:t>
      </w:r>
    </w:p>
    <w:p w14:paraId="5ADDEC6B">
      <w:pPr>
        <w:spacing w:line="360" w:lineRule="auto"/>
        <w:rPr>
          <w:color w:val="auto"/>
          <w:highlight w:val="none"/>
        </w:rPr>
      </w:pP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时 </w:t>
      </w:r>
      <w:r>
        <w:rPr>
          <w:rFonts w:hint="eastAsia"/>
          <w:color w:val="auto"/>
          <w:highlight w:val="none"/>
          <w:u w:val="single"/>
        </w:rPr>
        <w:t xml:space="preserve">  </w:t>
      </w:r>
      <w:r>
        <w:rPr>
          <w:color w:val="auto"/>
          <w:highlight w:val="none"/>
          <w:u w:val="single"/>
        </w:rPr>
        <w:t>分</w:t>
      </w:r>
      <w:r>
        <w:rPr>
          <w:color w:val="auto"/>
          <w:highlight w:val="none"/>
        </w:rPr>
        <w:t>。请投标人登录</w:t>
      </w:r>
      <w:r>
        <w:rPr>
          <w:rFonts w:hint="eastAsia"/>
          <w:color w:val="auto"/>
          <w:highlight w:val="none"/>
          <w:u w:val="single"/>
        </w:rPr>
        <w:t xml:space="preserve">    </w:t>
      </w:r>
      <w:r>
        <w:rPr>
          <w:rFonts w:hint="eastAsia"/>
          <w:i/>
          <w:iCs/>
          <w:color w:val="auto"/>
          <w:highlight w:val="none"/>
          <w:u w:val="single"/>
        </w:rPr>
        <w:t>电子招标投标交易平台名称</w:t>
      </w:r>
      <w:r>
        <w:rPr>
          <w:rFonts w:hint="eastAsia"/>
          <w:color w:val="auto"/>
          <w:highlight w:val="none"/>
          <w:u w:val="single"/>
        </w:rPr>
        <w:t xml:space="preserve">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。逾期提交的投标文件，</w:t>
      </w:r>
      <w:r>
        <w:rPr>
          <w:rFonts w:hint="eastAsia"/>
          <w:color w:val="auto"/>
          <w:highlight w:val="none"/>
        </w:rPr>
        <w:t>电子招标投标交易平台</w:t>
      </w:r>
      <w:r>
        <w:rPr>
          <w:color w:val="auto"/>
          <w:highlight w:val="none"/>
        </w:rPr>
        <w:t>予以拒收。</w:t>
      </w:r>
    </w:p>
    <w:p w14:paraId="3346097D">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14:paraId="1FB76A0A">
      <w:pPr>
        <w:spacing w:line="360" w:lineRule="auto"/>
        <w:ind w:firstLine="420" w:firstLineChars="200"/>
        <w:rPr>
          <w:color w:val="auto"/>
          <w:szCs w:val="21"/>
          <w:highlight w:val="none"/>
        </w:rPr>
      </w:pPr>
    </w:p>
    <w:p w14:paraId="31AEF542">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14:paraId="1E8CC846">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6C596864">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6276B056">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5B416EF6">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14:paraId="5EFDB70D">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700F4889">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56E30253">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7726493D">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53626C8F">
      <w:pPr>
        <w:spacing w:line="360" w:lineRule="auto"/>
        <w:jc w:val="right"/>
        <w:rPr>
          <w:color w:val="auto"/>
          <w:szCs w:val="21"/>
          <w:highlight w:val="none"/>
        </w:rPr>
        <w:sectPr>
          <w:footerReference r:id="rId7" w:type="default"/>
          <w:pgSz w:w="11907" w:h="16840"/>
          <w:pgMar w:top="1418" w:right="1418" w:bottom="1418" w:left="1418" w:header="851" w:footer="850" w:gutter="0"/>
          <w:cols w:space="720" w:num="1"/>
          <w:docGrid w:linePitch="312" w:charSpace="0"/>
        </w:sectPr>
      </w:pPr>
    </w:p>
    <w:p w14:paraId="3A35B0B4">
      <w:pPr>
        <w:pStyle w:val="2"/>
        <w:spacing w:before="0" w:after="0"/>
        <w:jc w:val="center"/>
        <w:rPr>
          <w:rFonts w:ascii="Times New Roman" w:hAnsi="Times New Roman" w:eastAsia="黑体"/>
          <w:b w:val="0"/>
          <w:bCs w:val="0"/>
          <w:color w:val="auto"/>
          <w:highlight w:val="none"/>
        </w:rPr>
      </w:pPr>
      <w:bookmarkStart w:id="123" w:name="_Toc211498593"/>
      <w:bookmarkStart w:id="124" w:name="_Toc80006088"/>
      <w:r>
        <w:rPr>
          <w:rFonts w:ascii="Times New Roman" w:hAnsi="Times New Roman" w:eastAsia="黑体"/>
          <w:b w:val="0"/>
          <w:bCs w:val="0"/>
          <w:color w:val="auto"/>
          <w:highlight w:val="none"/>
        </w:rPr>
        <w:t>第二章  投标人须知</w:t>
      </w:r>
      <w:bookmarkEnd w:id="123"/>
      <w:bookmarkEnd w:id="124"/>
    </w:p>
    <w:p w14:paraId="5AD85BDF">
      <w:pPr>
        <w:rPr>
          <w:color w:val="auto"/>
          <w:highlight w:val="none"/>
        </w:rPr>
      </w:pPr>
    </w:p>
    <w:p w14:paraId="2ACA98D6">
      <w:pPr>
        <w:pStyle w:val="2"/>
        <w:spacing w:before="0" w:after="0"/>
        <w:jc w:val="center"/>
        <w:rPr>
          <w:rFonts w:eastAsia="黑体"/>
          <w:color w:val="auto"/>
          <w:sz w:val="28"/>
          <w:szCs w:val="28"/>
          <w:highlight w:val="none"/>
        </w:rPr>
      </w:pPr>
      <w:bookmarkStart w:id="125" w:name="_Toc211498594"/>
      <w:bookmarkStart w:id="126" w:name="_Toc300677997"/>
      <w:r>
        <w:rPr>
          <w:rFonts w:hint="eastAsia" w:ascii="Times New Roman" w:hAnsi="Times New Roman" w:eastAsia="黑体"/>
          <w:b w:val="0"/>
          <w:bCs w:val="0"/>
          <w:color w:val="auto"/>
          <w:sz w:val="28"/>
          <w:szCs w:val="28"/>
          <w:highlight w:val="none"/>
        </w:rPr>
        <w:t>投标人须知前附表</w:t>
      </w:r>
      <w:bookmarkEnd w:id="125"/>
      <w:bookmarkEnd w:id="126"/>
    </w:p>
    <w:tbl>
      <w:tblPr>
        <w:tblStyle w:val="41"/>
        <w:tblW w:w="93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960"/>
        <w:gridCol w:w="87"/>
        <w:gridCol w:w="963"/>
        <w:gridCol w:w="6462"/>
      </w:tblGrid>
      <w:tr w14:paraId="78D0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26" w:type="dxa"/>
            <w:vAlign w:val="center"/>
          </w:tcPr>
          <w:p w14:paraId="1AE077AB">
            <w:pPr>
              <w:jc w:val="center"/>
              <w:rPr>
                <w:rFonts w:ascii="Calibri" w:hAnsi="Calibri" w:cs="Calibri"/>
                <w:color w:val="auto"/>
                <w:szCs w:val="21"/>
                <w:highlight w:val="none"/>
              </w:rPr>
            </w:pPr>
            <w:r>
              <w:rPr>
                <w:rFonts w:ascii="Calibri" w:hAnsi="Calibri" w:cs="Calibri"/>
                <w:bCs/>
                <w:color w:val="auto"/>
                <w:szCs w:val="21"/>
                <w:highlight w:val="none"/>
              </w:rPr>
              <w:t>条款号</w:t>
            </w:r>
          </w:p>
        </w:tc>
        <w:tc>
          <w:tcPr>
            <w:tcW w:w="2010" w:type="dxa"/>
            <w:gridSpan w:val="3"/>
            <w:vAlign w:val="center"/>
          </w:tcPr>
          <w:p w14:paraId="6DF575F2">
            <w:pPr>
              <w:jc w:val="center"/>
              <w:rPr>
                <w:rFonts w:ascii="Calibri" w:hAnsi="Calibri" w:cs="Calibri"/>
                <w:bCs/>
                <w:color w:val="auto"/>
                <w:szCs w:val="21"/>
                <w:highlight w:val="none"/>
              </w:rPr>
            </w:pPr>
            <w:r>
              <w:rPr>
                <w:rFonts w:ascii="Calibri" w:hAnsi="Calibri" w:cs="Calibri"/>
                <w:bCs/>
                <w:color w:val="auto"/>
                <w:szCs w:val="21"/>
                <w:highlight w:val="none"/>
              </w:rPr>
              <w:t>条款名称</w:t>
            </w:r>
          </w:p>
        </w:tc>
        <w:tc>
          <w:tcPr>
            <w:tcW w:w="6462" w:type="dxa"/>
            <w:vAlign w:val="center"/>
          </w:tcPr>
          <w:p w14:paraId="6D089A90">
            <w:pPr>
              <w:ind w:left="-103" w:leftChars="-49" w:firstLine="422" w:firstLineChars="201"/>
              <w:jc w:val="center"/>
              <w:rPr>
                <w:rFonts w:ascii="Calibri" w:hAnsi="Calibri" w:cs="Calibri"/>
                <w:bCs/>
                <w:color w:val="auto"/>
                <w:szCs w:val="21"/>
                <w:highlight w:val="none"/>
              </w:rPr>
            </w:pPr>
            <w:r>
              <w:rPr>
                <w:rFonts w:ascii="Calibri" w:hAnsi="Calibri" w:cs="Calibri"/>
                <w:bCs/>
                <w:color w:val="auto"/>
                <w:szCs w:val="21"/>
                <w:highlight w:val="none"/>
              </w:rPr>
              <w:t>编列内容</w:t>
            </w:r>
          </w:p>
        </w:tc>
      </w:tr>
      <w:tr w14:paraId="67F7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926" w:type="dxa"/>
            <w:vAlign w:val="center"/>
          </w:tcPr>
          <w:p w14:paraId="00FCBE7A">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.2</w:t>
            </w:r>
          </w:p>
        </w:tc>
        <w:tc>
          <w:tcPr>
            <w:tcW w:w="2010" w:type="dxa"/>
            <w:gridSpan w:val="3"/>
            <w:vAlign w:val="center"/>
          </w:tcPr>
          <w:p w14:paraId="086310D1">
            <w:pPr>
              <w:jc w:val="center"/>
              <w:rPr>
                <w:rFonts w:ascii="Calibri" w:hAnsi="Calibri" w:cs="Calibri"/>
                <w:color w:val="auto"/>
                <w:szCs w:val="21"/>
                <w:highlight w:val="none"/>
              </w:rPr>
            </w:pPr>
            <w:r>
              <w:rPr>
                <w:rFonts w:ascii="Calibri" w:hAnsi="Calibri" w:cs="Calibri"/>
                <w:color w:val="auto"/>
                <w:szCs w:val="21"/>
                <w:highlight w:val="none"/>
              </w:rPr>
              <w:t>招标人</w:t>
            </w:r>
          </w:p>
        </w:tc>
        <w:tc>
          <w:tcPr>
            <w:tcW w:w="6462" w:type="dxa"/>
            <w:vAlign w:val="center"/>
          </w:tcPr>
          <w:p w14:paraId="7747D5EC">
            <w:pPr>
              <w:widowControl/>
              <w:kinsoku w:val="0"/>
              <w:autoSpaceDE w:val="0"/>
              <w:autoSpaceDN w:val="0"/>
              <w:spacing w:line="360" w:lineRule="auto"/>
              <w:jc w:val="left"/>
              <w:textAlignment w:val="baseline"/>
              <w:rPr>
                <w:rFonts w:ascii="Calibri" w:hAnsi="Calibri" w:cs="Calibri"/>
                <w:color w:val="auto"/>
                <w:szCs w:val="21"/>
                <w:highlight w:val="none"/>
                <w:u w:val="single"/>
              </w:rPr>
            </w:pPr>
            <w:r>
              <w:rPr>
                <w:rFonts w:ascii="Calibri" w:hAnsi="Calibri" w:cs="Calibri"/>
                <w:color w:val="auto"/>
                <w:szCs w:val="21"/>
                <w:highlight w:val="none"/>
              </w:rPr>
              <w:t>名    称：</w:t>
            </w:r>
            <w:r>
              <w:rPr>
                <w:rFonts w:ascii="宋体" w:hAnsi="宋体" w:eastAsia="Arial" w:cs="Arial"/>
                <w:snapToGrid w:val="0"/>
                <w:color w:val="auto"/>
                <w:kern w:val="0"/>
                <w:szCs w:val="21"/>
                <w:highlight w:val="none"/>
                <w:u w:val="single"/>
              </w:rPr>
              <w:t xml:space="preserve">              </w:t>
            </w:r>
          </w:p>
          <w:p w14:paraId="177B5CC5">
            <w:pPr>
              <w:widowControl/>
              <w:kinsoku w:val="0"/>
              <w:autoSpaceDE w:val="0"/>
              <w:autoSpaceDN w:val="0"/>
              <w:spacing w:line="360" w:lineRule="auto"/>
              <w:jc w:val="left"/>
              <w:textAlignment w:val="baseline"/>
              <w:rPr>
                <w:rFonts w:ascii="Calibri" w:hAnsi="Calibri" w:cs="Calibri"/>
                <w:color w:val="auto"/>
                <w:szCs w:val="21"/>
                <w:highlight w:val="none"/>
              </w:rPr>
            </w:pPr>
            <w:r>
              <w:rPr>
                <w:rFonts w:ascii="Calibri" w:hAnsi="Calibri" w:cs="Calibri"/>
                <w:color w:val="auto"/>
                <w:szCs w:val="21"/>
                <w:highlight w:val="none"/>
              </w:rPr>
              <w:t>地    址：</w:t>
            </w:r>
            <w:r>
              <w:rPr>
                <w:rFonts w:ascii="宋体" w:hAnsi="宋体" w:eastAsia="Arial" w:cs="Arial"/>
                <w:snapToGrid w:val="0"/>
                <w:color w:val="auto"/>
                <w:kern w:val="0"/>
                <w:szCs w:val="21"/>
                <w:highlight w:val="none"/>
                <w:u w:val="single"/>
              </w:rPr>
              <w:t xml:space="preserve">              </w:t>
            </w:r>
          </w:p>
          <w:p w14:paraId="4CAD3DC8">
            <w:pPr>
              <w:widowControl/>
              <w:kinsoku w:val="0"/>
              <w:autoSpaceDE w:val="0"/>
              <w:autoSpaceDN w:val="0"/>
              <w:spacing w:line="360" w:lineRule="auto"/>
              <w:jc w:val="left"/>
              <w:textAlignment w:val="baseline"/>
              <w:rPr>
                <w:rFonts w:ascii="Calibri" w:hAnsi="Calibri" w:cs="Calibri"/>
                <w:color w:val="auto"/>
                <w:szCs w:val="21"/>
                <w:highlight w:val="none"/>
              </w:rPr>
            </w:pPr>
            <w:r>
              <w:rPr>
                <w:rFonts w:ascii="Calibri" w:hAnsi="Calibri" w:cs="Calibri"/>
                <w:color w:val="auto"/>
                <w:szCs w:val="21"/>
                <w:highlight w:val="none"/>
              </w:rPr>
              <w:t>联 系 人：</w:t>
            </w:r>
            <w:r>
              <w:rPr>
                <w:rFonts w:ascii="宋体" w:hAnsi="宋体" w:eastAsia="Arial" w:cs="Arial"/>
                <w:snapToGrid w:val="0"/>
                <w:color w:val="auto"/>
                <w:kern w:val="0"/>
                <w:szCs w:val="21"/>
                <w:highlight w:val="none"/>
                <w:u w:val="single"/>
              </w:rPr>
              <w:t xml:space="preserve">              </w:t>
            </w:r>
          </w:p>
          <w:p w14:paraId="50799CA7">
            <w:pPr>
              <w:widowControl/>
              <w:kinsoku w:val="0"/>
              <w:autoSpaceDE w:val="0"/>
              <w:autoSpaceDN w:val="0"/>
              <w:spacing w:line="360" w:lineRule="auto"/>
              <w:jc w:val="left"/>
              <w:textAlignment w:val="baseline"/>
              <w:rPr>
                <w:rFonts w:ascii="Calibri" w:hAnsi="Calibri" w:cs="Calibri"/>
                <w:color w:val="auto"/>
                <w:szCs w:val="21"/>
                <w:highlight w:val="none"/>
              </w:rPr>
            </w:pPr>
            <w:r>
              <w:rPr>
                <w:rFonts w:ascii="Calibri" w:hAnsi="Calibri" w:cs="Calibri"/>
                <w:color w:val="auto"/>
                <w:szCs w:val="21"/>
                <w:highlight w:val="none"/>
              </w:rPr>
              <w:t xml:space="preserve">电    话： </w:t>
            </w:r>
            <w:r>
              <w:rPr>
                <w:rFonts w:ascii="宋体" w:hAnsi="宋体" w:eastAsia="Arial" w:cs="Arial"/>
                <w:snapToGrid w:val="0"/>
                <w:color w:val="auto"/>
                <w:kern w:val="0"/>
                <w:szCs w:val="21"/>
                <w:highlight w:val="none"/>
                <w:u w:val="single"/>
                <w:lang w:eastAsia="en-US"/>
              </w:rPr>
              <w:t xml:space="preserve">             </w:t>
            </w:r>
          </w:p>
        </w:tc>
      </w:tr>
      <w:tr w14:paraId="552E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926" w:type="dxa"/>
            <w:vAlign w:val="center"/>
          </w:tcPr>
          <w:p w14:paraId="36BBCDD1">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3</w:t>
            </w:r>
          </w:p>
        </w:tc>
        <w:tc>
          <w:tcPr>
            <w:tcW w:w="2010" w:type="dxa"/>
            <w:gridSpan w:val="3"/>
            <w:vAlign w:val="center"/>
          </w:tcPr>
          <w:p w14:paraId="0ED65E15">
            <w:pPr>
              <w:jc w:val="center"/>
              <w:rPr>
                <w:rFonts w:ascii="Calibri" w:hAnsi="Calibri" w:cs="Calibri"/>
                <w:color w:val="auto"/>
                <w:szCs w:val="21"/>
                <w:highlight w:val="none"/>
              </w:rPr>
            </w:pPr>
            <w:r>
              <w:rPr>
                <w:rFonts w:ascii="Calibri" w:hAnsi="Calibri" w:cs="Calibri"/>
                <w:color w:val="auto"/>
                <w:szCs w:val="21"/>
                <w:highlight w:val="none"/>
              </w:rPr>
              <w:t>招标代理机构</w:t>
            </w:r>
          </w:p>
        </w:tc>
        <w:tc>
          <w:tcPr>
            <w:tcW w:w="6462" w:type="dxa"/>
            <w:vAlign w:val="center"/>
          </w:tcPr>
          <w:p w14:paraId="4801533B">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名称：</w:t>
            </w:r>
            <w:r>
              <w:rPr>
                <w:rFonts w:ascii="宋体" w:hAnsi="宋体" w:eastAsia="Arial" w:cs="Arial"/>
                <w:snapToGrid w:val="0"/>
                <w:color w:val="auto"/>
                <w:kern w:val="0"/>
                <w:szCs w:val="21"/>
                <w:highlight w:val="none"/>
                <w:u w:val="single"/>
              </w:rPr>
              <w:t xml:space="preserve">              </w:t>
            </w:r>
          </w:p>
          <w:p w14:paraId="51F18E03">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地址：</w:t>
            </w:r>
            <w:r>
              <w:rPr>
                <w:rFonts w:ascii="宋体" w:hAnsi="宋体" w:eastAsia="Arial" w:cs="Arial"/>
                <w:snapToGrid w:val="0"/>
                <w:color w:val="auto"/>
                <w:kern w:val="0"/>
                <w:szCs w:val="21"/>
                <w:highlight w:val="none"/>
                <w:u w:val="single"/>
              </w:rPr>
              <w:t xml:space="preserve">              </w:t>
            </w:r>
          </w:p>
          <w:p w14:paraId="28445BFA">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ascii="宋体" w:hAnsi="宋体" w:eastAsia="Arial" w:cs="Arial"/>
                <w:snapToGrid w:val="0"/>
                <w:color w:val="auto"/>
                <w:kern w:val="0"/>
                <w:szCs w:val="21"/>
                <w:highlight w:val="none"/>
              </w:rPr>
              <w:t>：</w:t>
            </w:r>
            <w:r>
              <w:rPr>
                <w:rFonts w:ascii="宋体" w:hAnsi="宋体" w:eastAsia="Arial" w:cs="Arial"/>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（按招标代理委托协议填写）    </w:t>
            </w:r>
            <w:r>
              <w:rPr>
                <w:rFonts w:ascii="宋体" w:hAnsi="宋体" w:eastAsia="Arial" w:cs="Arial"/>
                <w:snapToGrid w:val="0"/>
                <w:color w:val="auto"/>
                <w:kern w:val="0"/>
                <w:szCs w:val="21"/>
                <w:highlight w:val="none"/>
                <w:u w:val="single"/>
              </w:rPr>
              <w:t xml:space="preserve">        </w:t>
            </w:r>
          </w:p>
          <w:p w14:paraId="3FC21F42">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rPr>
            </w:pPr>
            <w:r>
              <w:rPr>
                <w:rFonts w:ascii="宋体" w:hAnsi="宋体" w:eastAsia="Arial" w:cs="Arial"/>
                <w:snapToGrid w:val="0"/>
                <w:color w:val="auto"/>
                <w:kern w:val="0"/>
                <w:szCs w:val="21"/>
                <w:highlight w:val="none"/>
              </w:rPr>
              <w:t>电话：</w:t>
            </w:r>
            <w:r>
              <w:rPr>
                <w:rFonts w:ascii="宋体" w:hAnsi="宋体" w:eastAsia="Arial" w:cs="Arial"/>
                <w:snapToGrid w:val="0"/>
                <w:color w:val="auto"/>
                <w:kern w:val="0"/>
                <w:szCs w:val="21"/>
                <w:highlight w:val="none"/>
                <w:u w:val="single"/>
              </w:rPr>
              <w:t xml:space="preserve">              </w:t>
            </w:r>
          </w:p>
          <w:p w14:paraId="7319E643">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rPr>
            </w:pPr>
            <w:r>
              <w:rPr>
                <w:rFonts w:ascii="宋体" w:hAnsi="宋体" w:eastAsia="Arial" w:cs="Arial"/>
                <w:snapToGrid w:val="0"/>
                <w:color w:val="auto"/>
                <w:kern w:val="0"/>
                <w:szCs w:val="21"/>
                <w:highlight w:val="none"/>
              </w:rPr>
              <w:t>项目组其他成员：</w:t>
            </w:r>
            <w:r>
              <w:rPr>
                <w:rFonts w:ascii="宋体" w:hAnsi="宋体" w:eastAsia="Arial" w:cs="Arial"/>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（按招标代理委托协议填写） </w:t>
            </w:r>
            <w:r>
              <w:rPr>
                <w:rFonts w:ascii="宋体" w:hAnsi="宋体" w:eastAsia="Arial" w:cs="Arial"/>
                <w:snapToGrid w:val="0"/>
                <w:color w:val="auto"/>
                <w:kern w:val="0"/>
                <w:szCs w:val="21"/>
                <w:highlight w:val="none"/>
                <w:u w:val="single"/>
              </w:rPr>
              <w:t xml:space="preserve"> </w:t>
            </w:r>
          </w:p>
          <w:p w14:paraId="71697ECF">
            <w:pPr>
              <w:rPr>
                <w:rFonts w:ascii="Calibri" w:hAnsi="Calibri" w:cs="Calibri"/>
                <w:color w:val="auto"/>
                <w:szCs w:val="21"/>
                <w:highlight w:val="none"/>
              </w:rPr>
            </w:pPr>
            <w:r>
              <w:rPr>
                <w:rFonts w:hint="eastAsia" w:ascii="宋体" w:hAnsi="宋体" w:cs="Arial"/>
                <w:snapToGrid w:val="0"/>
                <w:color w:val="auto"/>
                <w:kern w:val="0"/>
                <w:szCs w:val="21"/>
                <w:highlight w:val="none"/>
              </w:rPr>
              <w:t>电子邮箱：</w:t>
            </w:r>
            <w:r>
              <w:rPr>
                <w:rFonts w:ascii="宋体" w:hAnsi="宋体" w:eastAsia="Arial" w:cs="Arial"/>
                <w:snapToGrid w:val="0"/>
                <w:color w:val="auto"/>
                <w:kern w:val="0"/>
                <w:szCs w:val="21"/>
                <w:highlight w:val="none"/>
                <w:u w:val="single"/>
                <w:lang w:eastAsia="en-US"/>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lang w:eastAsia="en-US"/>
              </w:rPr>
              <w:t xml:space="preserve">   </w:t>
            </w:r>
          </w:p>
        </w:tc>
      </w:tr>
      <w:tr w14:paraId="40F9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vAlign w:val="center"/>
          </w:tcPr>
          <w:p w14:paraId="16BCDD3C">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.4</w:t>
            </w:r>
          </w:p>
        </w:tc>
        <w:tc>
          <w:tcPr>
            <w:tcW w:w="2010" w:type="dxa"/>
            <w:gridSpan w:val="3"/>
            <w:vAlign w:val="center"/>
          </w:tcPr>
          <w:p w14:paraId="0C590F33">
            <w:pPr>
              <w:jc w:val="center"/>
              <w:rPr>
                <w:rFonts w:ascii="Calibri" w:hAnsi="Calibri" w:cs="Calibri"/>
                <w:color w:val="auto"/>
                <w:szCs w:val="21"/>
                <w:highlight w:val="none"/>
              </w:rPr>
            </w:pPr>
            <w:r>
              <w:rPr>
                <w:rFonts w:ascii="Calibri" w:hAnsi="Calibri" w:cs="Calibri"/>
                <w:color w:val="auto"/>
                <w:szCs w:val="21"/>
                <w:highlight w:val="none"/>
              </w:rPr>
              <w:t>招标项目名称</w:t>
            </w:r>
          </w:p>
        </w:tc>
        <w:tc>
          <w:tcPr>
            <w:tcW w:w="6462" w:type="dxa"/>
            <w:vAlign w:val="center"/>
          </w:tcPr>
          <w:p w14:paraId="1323398A">
            <w:pPr>
              <w:ind w:left="-103" w:leftChars="-49" w:firstLine="422" w:firstLineChars="201"/>
              <w:rPr>
                <w:rFonts w:ascii="Calibri" w:hAnsi="Calibri" w:cs="Calibri"/>
                <w:color w:val="auto"/>
                <w:szCs w:val="21"/>
                <w:highlight w:val="none"/>
              </w:rPr>
            </w:pPr>
            <w:r>
              <w:rPr>
                <w:rFonts w:hint="eastAsia" w:ascii="宋体" w:hAnsi="宋体" w:cs="Arial"/>
                <w:snapToGrid w:val="0"/>
                <w:color w:val="auto"/>
                <w:kern w:val="0"/>
                <w:szCs w:val="21"/>
                <w:highlight w:val="none"/>
                <w:u w:val="single"/>
              </w:rPr>
              <w:t>（招标项目名称和标段（包）名称、项目投资代码）</w:t>
            </w:r>
          </w:p>
        </w:tc>
      </w:tr>
      <w:tr w14:paraId="1758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vAlign w:val="center"/>
          </w:tcPr>
          <w:p w14:paraId="5FFBC9AF">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.5</w:t>
            </w:r>
          </w:p>
        </w:tc>
        <w:tc>
          <w:tcPr>
            <w:tcW w:w="2010" w:type="dxa"/>
            <w:gridSpan w:val="3"/>
            <w:vAlign w:val="center"/>
          </w:tcPr>
          <w:p w14:paraId="6904D747">
            <w:pPr>
              <w:jc w:val="center"/>
              <w:rPr>
                <w:rFonts w:ascii="Calibri" w:hAnsi="Calibri" w:cs="Calibri"/>
                <w:color w:val="auto"/>
                <w:szCs w:val="21"/>
                <w:highlight w:val="none"/>
              </w:rPr>
            </w:pPr>
            <w:r>
              <w:rPr>
                <w:rFonts w:ascii="Calibri" w:hAnsi="Calibri" w:cs="Calibri"/>
                <w:color w:val="auto"/>
                <w:szCs w:val="21"/>
                <w:highlight w:val="none"/>
              </w:rPr>
              <w:t>建设地点</w:t>
            </w:r>
          </w:p>
        </w:tc>
        <w:tc>
          <w:tcPr>
            <w:tcW w:w="6462" w:type="dxa"/>
            <w:vAlign w:val="center"/>
          </w:tcPr>
          <w:p w14:paraId="0E271B84">
            <w:pPr>
              <w:rPr>
                <w:rFonts w:ascii="Calibri" w:hAnsi="Calibri" w:cs="Calibri"/>
                <w:color w:val="auto"/>
                <w:szCs w:val="21"/>
                <w:highlight w:val="none"/>
              </w:rPr>
            </w:pPr>
            <w:r>
              <w:rPr>
                <w:rFonts w:ascii="宋体" w:hAnsi="宋体" w:eastAsia="Arial" w:cs="Arial"/>
                <w:snapToGrid w:val="0"/>
                <w:color w:val="auto"/>
                <w:kern w:val="0"/>
                <w:szCs w:val="21"/>
                <w:highlight w:val="none"/>
                <w:u w:val="single"/>
                <w:lang w:eastAsia="en-US"/>
              </w:rPr>
              <w:t xml:space="preserve">              </w:t>
            </w:r>
          </w:p>
        </w:tc>
      </w:tr>
      <w:tr w14:paraId="214D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vAlign w:val="center"/>
          </w:tcPr>
          <w:p w14:paraId="3BDE45AE">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1.2.1</w:t>
            </w:r>
          </w:p>
        </w:tc>
        <w:tc>
          <w:tcPr>
            <w:tcW w:w="2010" w:type="dxa"/>
            <w:gridSpan w:val="3"/>
            <w:vAlign w:val="center"/>
          </w:tcPr>
          <w:p w14:paraId="2EDBE384">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资金来源</w:t>
            </w:r>
          </w:p>
        </w:tc>
        <w:tc>
          <w:tcPr>
            <w:tcW w:w="6462" w:type="dxa"/>
            <w:vAlign w:val="center"/>
          </w:tcPr>
          <w:p w14:paraId="7FD88C6C">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lang w:eastAsia="en-US"/>
              </w:rPr>
            </w:pPr>
            <w:r>
              <w:rPr>
                <w:rFonts w:ascii="宋体" w:hAnsi="宋体" w:eastAsia="Arial" w:cs="Arial"/>
                <w:snapToGrid w:val="0"/>
                <w:color w:val="auto"/>
                <w:kern w:val="0"/>
                <w:szCs w:val="21"/>
                <w:highlight w:val="none"/>
                <w:u w:val="single"/>
                <w:lang w:eastAsia="en-US"/>
              </w:rPr>
              <w:t xml:space="preserve">             </w:t>
            </w:r>
          </w:p>
        </w:tc>
      </w:tr>
      <w:tr w14:paraId="1F01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26" w:type="dxa"/>
            <w:vAlign w:val="center"/>
          </w:tcPr>
          <w:p w14:paraId="4D4498D8">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1.2.2</w:t>
            </w:r>
          </w:p>
        </w:tc>
        <w:tc>
          <w:tcPr>
            <w:tcW w:w="2010" w:type="dxa"/>
            <w:gridSpan w:val="3"/>
            <w:vAlign w:val="center"/>
          </w:tcPr>
          <w:p w14:paraId="04C382DE">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出资比例</w:t>
            </w:r>
          </w:p>
        </w:tc>
        <w:tc>
          <w:tcPr>
            <w:tcW w:w="6462" w:type="dxa"/>
            <w:vAlign w:val="center"/>
          </w:tcPr>
          <w:p w14:paraId="28DD9687">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lang w:eastAsia="en-US"/>
              </w:rPr>
            </w:pPr>
            <w:r>
              <w:rPr>
                <w:rFonts w:ascii="宋体" w:hAnsi="宋体" w:eastAsia="Arial" w:cs="Arial"/>
                <w:snapToGrid w:val="0"/>
                <w:color w:val="auto"/>
                <w:kern w:val="0"/>
                <w:szCs w:val="21"/>
                <w:highlight w:val="none"/>
                <w:u w:val="single"/>
                <w:lang w:eastAsia="en-US"/>
              </w:rPr>
              <w:t xml:space="preserve">              </w:t>
            </w:r>
          </w:p>
        </w:tc>
      </w:tr>
      <w:tr w14:paraId="16FC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trPr>
        <w:tc>
          <w:tcPr>
            <w:tcW w:w="926" w:type="dxa"/>
            <w:vAlign w:val="center"/>
          </w:tcPr>
          <w:p w14:paraId="3A05EECE">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1.2.3</w:t>
            </w:r>
          </w:p>
        </w:tc>
        <w:tc>
          <w:tcPr>
            <w:tcW w:w="2010" w:type="dxa"/>
            <w:gridSpan w:val="3"/>
            <w:vAlign w:val="center"/>
          </w:tcPr>
          <w:p w14:paraId="49C4C7B0">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资金</w:t>
            </w:r>
            <w:r>
              <w:rPr>
                <w:rFonts w:ascii="宋体" w:hAnsi="宋体" w:eastAsia="Arial" w:cs="Arial"/>
                <w:snapToGrid w:val="0"/>
                <w:color w:val="auto"/>
                <w:kern w:val="0"/>
                <w:szCs w:val="21"/>
                <w:highlight w:val="none"/>
                <w:lang w:eastAsia="en-US"/>
              </w:rPr>
              <w:t>落实情况</w:t>
            </w:r>
          </w:p>
        </w:tc>
        <w:tc>
          <w:tcPr>
            <w:tcW w:w="6462" w:type="dxa"/>
            <w:vAlign w:val="center"/>
          </w:tcPr>
          <w:p w14:paraId="541D5C66">
            <w:pPr>
              <w:widowControl/>
              <w:tabs>
                <w:tab w:val="left" w:pos="390"/>
              </w:tabs>
              <w:kinsoku w:val="0"/>
              <w:autoSpaceDE w:val="0"/>
              <w:autoSpaceDN w:val="0"/>
              <w:spacing w:line="360" w:lineRule="auto"/>
              <w:jc w:val="left"/>
              <w:textAlignment w:val="baseline"/>
              <w:rPr>
                <w:rFonts w:hint="eastAsia" w:ascii="宋体" w:hAnsi="宋体" w:cs="Arial"/>
                <w:snapToGrid w:val="0"/>
                <w:color w:val="auto"/>
                <w:kern w:val="0"/>
                <w:szCs w:val="21"/>
                <w:highlight w:val="none"/>
              </w:rPr>
            </w:pPr>
            <w:r>
              <w:rPr>
                <w:rFonts w:ascii="宋体" w:hAnsi="宋体" w:eastAsia="Arial" w:cs="Arial"/>
                <w:snapToGrid w:val="0"/>
                <w:color w:val="auto"/>
                <w:kern w:val="0"/>
                <w:szCs w:val="21"/>
                <w:highlight w:val="none"/>
                <w:lang w:eastAsia="en-US"/>
              </w:rPr>
              <w:sym w:font="Wingdings 2" w:char="00A3"/>
            </w:r>
            <w:r>
              <w:rPr>
                <w:rFonts w:hint="eastAsia" w:ascii="宋体" w:hAnsi="宋体" w:cs="Arial"/>
                <w:snapToGrid w:val="0"/>
                <w:color w:val="auto"/>
                <w:kern w:val="0"/>
                <w:szCs w:val="21"/>
                <w:highlight w:val="none"/>
              </w:rPr>
              <w:t>已落实</w:t>
            </w:r>
          </w:p>
          <w:p w14:paraId="04291FF1">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lang w:eastAsia="en-US"/>
              </w:rPr>
            </w:pPr>
            <w:r>
              <w:rPr>
                <w:rFonts w:ascii="宋体" w:hAnsi="宋体" w:eastAsia="Arial" w:cs="Arial"/>
                <w:snapToGrid w:val="0"/>
                <w:color w:val="auto"/>
                <w:kern w:val="0"/>
                <w:szCs w:val="21"/>
                <w:highlight w:val="none"/>
                <w:lang w:eastAsia="en-US"/>
              </w:rPr>
              <w:sym w:font="Wingdings 2" w:char="00A3"/>
            </w:r>
            <w:r>
              <w:rPr>
                <w:rFonts w:hint="eastAsia" w:ascii="宋体" w:hAnsi="宋体" w:cs="Arial"/>
                <w:snapToGrid w:val="0"/>
                <w:color w:val="auto"/>
                <w:kern w:val="0"/>
                <w:szCs w:val="21"/>
                <w:highlight w:val="none"/>
              </w:rPr>
              <w:t>未落实：</w:t>
            </w:r>
            <w:r>
              <w:rPr>
                <w:rFonts w:hint="eastAsia" w:ascii="宋体" w:hAnsi="宋体" w:cs="Arial"/>
                <w:snapToGrid w:val="0"/>
                <w:color w:val="auto"/>
                <w:kern w:val="0"/>
                <w:szCs w:val="21"/>
                <w:highlight w:val="none"/>
                <w:u w:val="single"/>
              </w:rPr>
              <w:t xml:space="preserve">                       </w:t>
            </w:r>
          </w:p>
        </w:tc>
      </w:tr>
      <w:tr w14:paraId="6BB6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Align w:val="center"/>
          </w:tcPr>
          <w:p w14:paraId="3FD648A0">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.1</w:t>
            </w:r>
          </w:p>
        </w:tc>
        <w:tc>
          <w:tcPr>
            <w:tcW w:w="2010" w:type="dxa"/>
            <w:gridSpan w:val="3"/>
            <w:vAlign w:val="center"/>
          </w:tcPr>
          <w:p w14:paraId="1AABACF9">
            <w:pPr>
              <w:jc w:val="center"/>
              <w:rPr>
                <w:rFonts w:ascii="Calibri" w:hAnsi="Calibri" w:cs="Calibri"/>
                <w:color w:val="auto"/>
                <w:szCs w:val="21"/>
                <w:highlight w:val="none"/>
              </w:rPr>
            </w:pPr>
            <w:r>
              <w:rPr>
                <w:rFonts w:ascii="Calibri" w:hAnsi="Calibri" w:cs="Calibri"/>
                <w:color w:val="auto"/>
                <w:szCs w:val="21"/>
                <w:highlight w:val="none"/>
              </w:rPr>
              <w:t>招标范围</w:t>
            </w:r>
          </w:p>
        </w:tc>
        <w:tc>
          <w:tcPr>
            <w:tcW w:w="6462" w:type="dxa"/>
            <w:vAlign w:val="center"/>
          </w:tcPr>
          <w:p w14:paraId="6D32A51C">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详见招标公告</w:t>
            </w:r>
            <w:r>
              <w:rPr>
                <w:rFonts w:hint="eastAsia" w:ascii="Calibri" w:hAnsi="Calibri" w:cs="Calibri"/>
                <w:color w:val="auto"/>
                <w:szCs w:val="21"/>
                <w:highlight w:val="none"/>
              </w:rPr>
              <w:t>（</w:t>
            </w:r>
            <w:r>
              <w:rPr>
                <w:rFonts w:ascii="Calibri" w:hAnsi="Calibri" w:cs="Calibri"/>
                <w:color w:val="auto"/>
                <w:szCs w:val="21"/>
                <w:highlight w:val="none"/>
              </w:rPr>
              <w:t>适用于采用资格</w:t>
            </w:r>
            <w:r>
              <w:rPr>
                <w:rFonts w:hint="eastAsia" w:ascii="Calibri" w:hAnsi="Calibri" w:cs="Calibri"/>
                <w:color w:val="auto"/>
                <w:szCs w:val="21"/>
                <w:highlight w:val="none"/>
              </w:rPr>
              <w:t>后</w:t>
            </w:r>
            <w:r>
              <w:rPr>
                <w:rFonts w:ascii="Calibri" w:hAnsi="Calibri" w:cs="Calibri"/>
                <w:color w:val="auto"/>
                <w:szCs w:val="21"/>
                <w:highlight w:val="none"/>
              </w:rPr>
              <w:t>审方式的</w:t>
            </w:r>
            <w:r>
              <w:rPr>
                <w:rFonts w:hint="eastAsia" w:ascii="Calibri" w:hAnsi="Calibri" w:cs="Calibri"/>
                <w:color w:val="auto"/>
                <w:szCs w:val="21"/>
                <w:highlight w:val="none"/>
              </w:rPr>
              <w:t>招标</w:t>
            </w:r>
            <w:r>
              <w:rPr>
                <w:rFonts w:ascii="Calibri" w:hAnsi="Calibri" w:cs="Calibri"/>
                <w:color w:val="auto"/>
                <w:szCs w:val="21"/>
                <w:highlight w:val="none"/>
              </w:rPr>
              <w:t>项目</w:t>
            </w:r>
            <w:r>
              <w:rPr>
                <w:rFonts w:hint="eastAsia" w:ascii="Calibri" w:hAnsi="Calibri" w:cs="Calibri"/>
                <w:color w:val="auto"/>
                <w:szCs w:val="21"/>
                <w:highlight w:val="none"/>
              </w:rPr>
              <w:t>）</w:t>
            </w:r>
          </w:p>
          <w:p w14:paraId="68B49972">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详见投标邀请书（适用于邀请招标</w:t>
            </w:r>
            <w:r>
              <w:rPr>
                <w:rFonts w:hint="eastAsia" w:ascii="Calibri" w:hAnsi="Calibri" w:cs="Calibri"/>
                <w:color w:val="auto"/>
                <w:szCs w:val="21"/>
                <w:highlight w:val="none"/>
              </w:rPr>
              <w:t>项目</w:t>
            </w:r>
            <w:r>
              <w:rPr>
                <w:rFonts w:ascii="Calibri" w:hAnsi="Calibri" w:cs="Calibri"/>
                <w:color w:val="auto"/>
                <w:szCs w:val="21"/>
                <w:highlight w:val="none"/>
              </w:rPr>
              <w:t>）</w:t>
            </w:r>
          </w:p>
          <w:p w14:paraId="7F29B50B">
            <w:pPr>
              <w:rPr>
                <w:rFonts w:ascii="Calibri" w:hAnsi="Calibri" w:cs="Calibri"/>
                <w:color w:val="auto"/>
                <w:szCs w:val="21"/>
                <w:highlight w:val="none"/>
              </w:rPr>
            </w:pPr>
            <w:r>
              <w:rPr>
                <w:rFonts w:ascii="Calibri" w:hAnsi="Calibri" w:cs="Calibri"/>
                <w:color w:val="auto"/>
                <w:szCs w:val="21"/>
                <w:highlight w:val="none"/>
              </w:rPr>
              <w:sym w:font="Wingdings 2" w:char="00A3"/>
            </w:r>
            <w:r>
              <w:rPr>
                <w:rFonts w:hint="eastAsia" w:ascii="Calibri" w:hAnsi="Calibri" w:cs="Calibri"/>
                <w:color w:val="auto"/>
                <w:szCs w:val="21"/>
                <w:highlight w:val="none"/>
              </w:rPr>
              <w:t xml:space="preserve">详见资格预审公告 </w:t>
            </w:r>
            <w:r>
              <w:rPr>
                <w:rFonts w:ascii="Calibri" w:hAnsi="Calibri" w:cs="Calibri"/>
                <w:color w:val="auto"/>
                <w:szCs w:val="21"/>
                <w:highlight w:val="none"/>
              </w:rPr>
              <w:t>（适用于采用资格预审方式的</w:t>
            </w:r>
            <w:r>
              <w:rPr>
                <w:rFonts w:hint="eastAsia" w:ascii="Calibri" w:hAnsi="Calibri" w:cs="Calibri"/>
                <w:color w:val="auto"/>
                <w:szCs w:val="21"/>
                <w:highlight w:val="none"/>
              </w:rPr>
              <w:t>招标</w:t>
            </w:r>
            <w:r>
              <w:rPr>
                <w:rFonts w:ascii="Calibri" w:hAnsi="Calibri" w:cs="Calibri"/>
                <w:color w:val="auto"/>
                <w:szCs w:val="21"/>
                <w:highlight w:val="none"/>
              </w:rPr>
              <w:t>项目）</w:t>
            </w:r>
          </w:p>
          <w:p w14:paraId="27ED143E">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关于招标范围的详细说明见第七章“技术标准和要求”及施工图纸和工程量清单。</w:t>
            </w:r>
          </w:p>
        </w:tc>
      </w:tr>
      <w:tr w14:paraId="75B3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26" w:type="dxa"/>
            <w:vAlign w:val="center"/>
          </w:tcPr>
          <w:p w14:paraId="5E4E5868">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.2</w:t>
            </w:r>
          </w:p>
        </w:tc>
        <w:tc>
          <w:tcPr>
            <w:tcW w:w="2010" w:type="dxa"/>
            <w:gridSpan w:val="3"/>
            <w:vAlign w:val="center"/>
          </w:tcPr>
          <w:p w14:paraId="12161F1C">
            <w:pPr>
              <w:jc w:val="center"/>
              <w:rPr>
                <w:rFonts w:ascii="Calibri" w:hAnsi="Calibri" w:cs="Calibri"/>
                <w:color w:val="auto"/>
                <w:szCs w:val="21"/>
                <w:highlight w:val="none"/>
              </w:rPr>
            </w:pPr>
            <w:r>
              <w:rPr>
                <w:rFonts w:ascii="Calibri" w:hAnsi="Calibri" w:cs="Calibri"/>
                <w:color w:val="auto"/>
                <w:szCs w:val="21"/>
                <w:highlight w:val="none"/>
              </w:rPr>
              <w:t>计划工期</w:t>
            </w:r>
          </w:p>
        </w:tc>
        <w:tc>
          <w:tcPr>
            <w:tcW w:w="6462" w:type="dxa"/>
            <w:vAlign w:val="center"/>
          </w:tcPr>
          <w:p w14:paraId="6171FDA8">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计划工期：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日历天</w:t>
            </w:r>
          </w:p>
          <w:p w14:paraId="22C1753A">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计划开工日期：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 xml:space="preserve">年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月</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w:t>
            </w:r>
          </w:p>
          <w:p w14:paraId="30B124BB">
            <w:pPr>
              <w:rPr>
                <w:rFonts w:ascii="Calibri" w:hAnsi="Calibri" w:cs="Calibri"/>
                <w:color w:val="auto"/>
                <w:szCs w:val="21"/>
                <w:highlight w:val="none"/>
                <w:u w:val="single"/>
              </w:rPr>
            </w:pPr>
            <w:r>
              <w:rPr>
                <w:rFonts w:ascii="宋体" w:hAnsi="宋体" w:eastAsia="Arial" w:cs="Arial"/>
                <w:snapToGrid w:val="0"/>
                <w:color w:val="auto"/>
                <w:kern w:val="0"/>
                <w:szCs w:val="21"/>
                <w:highlight w:val="none"/>
              </w:rPr>
              <w:t>计划</w:t>
            </w:r>
            <w:r>
              <w:rPr>
                <w:rFonts w:hint="eastAsia" w:ascii="宋体" w:hAnsi="宋体" w:cs="Arial"/>
                <w:snapToGrid w:val="0"/>
                <w:color w:val="auto"/>
                <w:kern w:val="0"/>
                <w:szCs w:val="21"/>
                <w:highlight w:val="none"/>
              </w:rPr>
              <w:t>完（交、竣）</w:t>
            </w:r>
            <w:r>
              <w:rPr>
                <w:rFonts w:hint="eastAsia" w:ascii="宋体" w:hAnsi="宋体" w:eastAsia="Arial" w:cs="Arial"/>
                <w:snapToGrid w:val="0"/>
                <w:color w:val="auto"/>
                <w:kern w:val="0"/>
                <w:szCs w:val="21"/>
                <w:highlight w:val="none"/>
              </w:rPr>
              <w:t>工</w:t>
            </w:r>
            <w:r>
              <w:rPr>
                <w:rFonts w:ascii="宋体" w:hAnsi="宋体" w:eastAsia="Arial" w:cs="Arial"/>
                <w:snapToGrid w:val="0"/>
                <w:color w:val="auto"/>
                <w:kern w:val="0"/>
                <w:szCs w:val="21"/>
                <w:highlight w:val="none"/>
              </w:rPr>
              <w:t>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 xml:space="preserve">年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月</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w:t>
            </w:r>
          </w:p>
        </w:tc>
      </w:tr>
      <w:tr w14:paraId="3D01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6" w:type="dxa"/>
            <w:vAlign w:val="center"/>
          </w:tcPr>
          <w:p w14:paraId="0F284F3D">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.3</w:t>
            </w:r>
          </w:p>
        </w:tc>
        <w:tc>
          <w:tcPr>
            <w:tcW w:w="2010" w:type="dxa"/>
            <w:gridSpan w:val="3"/>
            <w:vAlign w:val="center"/>
          </w:tcPr>
          <w:p w14:paraId="7466E2F8">
            <w:pPr>
              <w:jc w:val="center"/>
              <w:rPr>
                <w:rFonts w:ascii="Calibri" w:hAnsi="Calibri" w:cs="Calibri"/>
                <w:color w:val="auto"/>
                <w:szCs w:val="21"/>
                <w:highlight w:val="none"/>
              </w:rPr>
            </w:pPr>
            <w:r>
              <w:rPr>
                <w:rFonts w:ascii="Calibri" w:hAnsi="Calibri" w:cs="Calibri"/>
                <w:color w:val="auto"/>
                <w:szCs w:val="21"/>
                <w:highlight w:val="none"/>
              </w:rPr>
              <w:t>质量标准和</w:t>
            </w:r>
          </w:p>
          <w:p w14:paraId="5AE27B46">
            <w:pPr>
              <w:jc w:val="center"/>
              <w:rPr>
                <w:rFonts w:ascii="Calibri" w:hAnsi="Calibri" w:cs="Calibri"/>
                <w:color w:val="auto"/>
                <w:szCs w:val="21"/>
                <w:highlight w:val="none"/>
              </w:rPr>
            </w:pPr>
            <w:r>
              <w:rPr>
                <w:rFonts w:ascii="Calibri" w:hAnsi="Calibri" w:cs="Calibri"/>
                <w:color w:val="auto"/>
                <w:szCs w:val="21"/>
                <w:highlight w:val="none"/>
              </w:rPr>
              <w:t>保修要求</w:t>
            </w:r>
          </w:p>
        </w:tc>
        <w:tc>
          <w:tcPr>
            <w:tcW w:w="6462" w:type="dxa"/>
            <w:vAlign w:val="center"/>
          </w:tcPr>
          <w:p w14:paraId="510E2CEC">
            <w:pPr>
              <w:rPr>
                <w:rFonts w:ascii="Calibri" w:hAnsi="Calibri" w:cs="Calibri"/>
                <w:color w:val="auto"/>
                <w:szCs w:val="21"/>
                <w:highlight w:val="none"/>
              </w:rPr>
            </w:pPr>
            <w:r>
              <w:rPr>
                <w:rFonts w:ascii="Calibri" w:hAnsi="Calibri" w:cs="Calibri"/>
                <w:color w:val="auto"/>
                <w:szCs w:val="21"/>
                <w:highlight w:val="none"/>
              </w:rPr>
              <w:t>质量标准：</w:t>
            </w:r>
            <w:r>
              <w:rPr>
                <w:rFonts w:ascii="Calibri" w:hAnsi="Calibri" w:cs="Calibri"/>
                <w:color w:val="auto"/>
                <w:szCs w:val="21"/>
                <w:highlight w:val="none"/>
                <w:u w:val="single"/>
              </w:rPr>
              <w:t xml:space="preserve">                    </w:t>
            </w:r>
            <w:r>
              <w:rPr>
                <w:rFonts w:hint="eastAsia" w:ascii="Calibri" w:hAnsi="Calibri" w:cs="Calibri"/>
                <w:color w:val="auto"/>
                <w:szCs w:val="21"/>
                <w:highlight w:val="none"/>
              </w:rPr>
              <w:t>；</w:t>
            </w:r>
          </w:p>
          <w:p w14:paraId="61C8E4DF">
            <w:pPr>
              <w:rPr>
                <w:rFonts w:ascii="Calibri" w:hAnsi="Calibri" w:cs="Calibri"/>
                <w:color w:val="auto"/>
                <w:szCs w:val="21"/>
                <w:highlight w:val="none"/>
              </w:rPr>
            </w:pPr>
            <w:r>
              <w:rPr>
                <w:rFonts w:ascii="Calibri" w:hAnsi="Calibri" w:cs="Calibri"/>
                <w:color w:val="auto"/>
                <w:szCs w:val="21"/>
                <w:highlight w:val="none"/>
              </w:rPr>
              <w:t>保修要求：</w:t>
            </w:r>
            <w:r>
              <w:rPr>
                <w:rFonts w:ascii="Calibri" w:hAnsi="Calibri" w:cs="Calibri"/>
                <w:color w:val="auto"/>
                <w:szCs w:val="21"/>
                <w:highlight w:val="none"/>
                <w:u w:val="single"/>
              </w:rPr>
              <w:t xml:space="preserve">                    </w:t>
            </w:r>
            <w:r>
              <w:rPr>
                <w:rFonts w:ascii="Calibri" w:hAnsi="Calibri" w:cs="Calibri"/>
                <w:color w:val="auto"/>
                <w:szCs w:val="21"/>
                <w:highlight w:val="none"/>
              </w:rPr>
              <w:t>。</w:t>
            </w:r>
          </w:p>
        </w:tc>
      </w:tr>
      <w:tr w14:paraId="0A2C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26" w:type="dxa"/>
            <w:vAlign w:val="center"/>
          </w:tcPr>
          <w:p w14:paraId="76A72202">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1.4.1</w:t>
            </w:r>
          </w:p>
        </w:tc>
        <w:tc>
          <w:tcPr>
            <w:tcW w:w="2010" w:type="dxa"/>
            <w:gridSpan w:val="3"/>
            <w:vAlign w:val="center"/>
          </w:tcPr>
          <w:p w14:paraId="45E52036">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投标人资质条件、能力</w:t>
            </w:r>
          </w:p>
        </w:tc>
        <w:tc>
          <w:tcPr>
            <w:tcW w:w="6462" w:type="dxa"/>
            <w:vAlign w:val="center"/>
          </w:tcPr>
          <w:p w14:paraId="3F60DC93">
            <w:pPr>
              <w:rPr>
                <w:rFonts w:ascii="Calibri" w:hAnsi="Calibri" w:cs="Calibri"/>
                <w:color w:val="auto"/>
                <w:highlight w:val="none"/>
              </w:rPr>
            </w:pPr>
            <w:r>
              <w:rPr>
                <w:rFonts w:ascii="Calibri" w:hAnsi="Calibri" w:cs="Calibri"/>
                <w:color w:val="auto"/>
                <w:highlight w:val="none"/>
              </w:rPr>
              <w:sym w:font="Wingdings 2" w:char="00A3"/>
            </w:r>
            <w:r>
              <w:rPr>
                <w:rFonts w:ascii="Calibri" w:hAnsi="Calibri" w:cs="Calibri"/>
                <w:color w:val="auto"/>
                <w:highlight w:val="none"/>
              </w:rPr>
              <w:t>详见招标公告（适用于采用资格后审方式的招标项目）</w:t>
            </w:r>
          </w:p>
          <w:p w14:paraId="59A8D9B6">
            <w:pPr>
              <w:rPr>
                <w:rFonts w:ascii="Calibri" w:hAnsi="Calibri" w:cs="Calibri"/>
                <w:color w:val="auto"/>
                <w:highlight w:val="none"/>
              </w:rPr>
            </w:pPr>
            <w:r>
              <w:rPr>
                <w:rFonts w:ascii="Calibri" w:hAnsi="Calibri" w:cs="Calibri"/>
                <w:color w:val="auto"/>
                <w:highlight w:val="none"/>
              </w:rPr>
              <w:sym w:font="Wingdings 2" w:char="00A3"/>
            </w:r>
            <w:r>
              <w:rPr>
                <w:rFonts w:ascii="Calibri" w:hAnsi="Calibri" w:cs="Calibri"/>
                <w:color w:val="auto"/>
                <w:highlight w:val="none"/>
              </w:rPr>
              <w:t>详见投标邀请书（适用于邀请招标项目）</w:t>
            </w:r>
          </w:p>
          <w:p w14:paraId="0F68D510">
            <w:pPr>
              <w:rPr>
                <w:rFonts w:ascii="Calibri" w:hAnsi="Calibri" w:cs="Calibri"/>
                <w:color w:val="auto"/>
                <w:highlight w:val="none"/>
              </w:rPr>
            </w:pPr>
            <w:r>
              <w:rPr>
                <w:rFonts w:ascii="Calibri" w:hAnsi="Calibri" w:cs="Calibri"/>
                <w:color w:val="auto"/>
                <w:highlight w:val="none"/>
              </w:rPr>
              <w:sym w:font="Wingdings 2" w:char="00A3"/>
            </w:r>
            <w:r>
              <w:rPr>
                <w:rFonts w:ascii="Calibri" w:hAnsi="Calibri" w:cs="Calibri"/>
                <w:color w:val="auto"/>
                <w:highlight w:val="none"/>
              </w:rPr>
              <w:t>详见资格预审公告 （适用于采用资格预审方式的招标项目）</w:t>
            </w:r>
          </w:p>
        </w:tc>
      </w:tr>
      <w:tr w14:paraId="6B45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26" w:type="dxa"/>
            <w:vAlign w:val="center"/>
          </w:tcPr>
          <w:p w14:paraId="42D5DDF6">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4</w:t>
            </w:r>
            <w:r>
              <w:rPr>
                <w:rFonts w:ascii="Calibri" w:hAnsi="Calibri" w:cs="Calibri"/>
                <w:color w:val="auto"/>
                <w:szCs w:val="21"/>
                <w:highlight w:val="none"/>
              </w:rPr>
              <w:t>.2</w:t>
            </w:r>
          </w:p>
        </w:tc>
        <w:tc>
          <w:tcPr>
            <w:tcW w:w="2010" w:type="dxa"/>
            <w:gridSpan w:val="3"/>
            <w:vAlign w:val="center"/>
          </w:tcPr>
          <w:p w14:paraId="270FBE05">
            <w:pPr>
              <w:ind w:firstLine="210" w:firstLineChars="100"/>
              <w:rPr>
                <w:rFonts w:ascii="Calibri" w:hAnsi="Calibri" w:cs="Calibri"/>
                <w:color w:val="auto"/>
                <w:szCs w:val="21"/>
                <w:highlight w:val="none"/>
              </w:rPr>
            </w:pPr>
            <w:r>
              <w:rPr>
                <w:rFonts w:ascii="Calibri" w:hAnsi="Calibri" w:cs="Calibri"/>
                <w:color w:val="auto"/>
                <w:szCs w:val="21"/>
                <w:highlight w:val="none"/>
              </w:rPr>
              <w:t>是否接受</w:t>
            </w:r>
          </w:p>
          <w:p w14:paraId="73DB7057">
            <w:pPr>
              <w:ind w:firstLine="105" w:firstLineChars="50"/>
              <w:rPr>
                <w:rFonts w:ascii="Calibri" w:hAnsi="Calibri" w:cs="Calibri"/>
                <w:color w:val="auto"/>
                <w:szCs w:val="21"/>
                <w:highlight w:val="none"/>
              </w:rPr>
            </w:pPr>
            <w:r>
              <w:rPr>
                <w:rFonts w:ascii="Calibri" w:hAnsi="Calibri" w:cs="Calibri"/>
                <w:color w:val="auto"/>
                <w:szCs w:val="21"/>
                <w:highlight w:val="none"/>
              </w:rPr>
              <w:t>联合体投标</w:t>
            </w:r>
          </w:p>
        </w:tc>
        <w:tc>
          <w:tcPr>
            <w:tcW w:w="6462" w:type="dxa"/>
            <w:vAlign w:val="center"/>
          </w:tcPr>
          <w:p w14:paraId="161302F6">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不接受</w:t>
            </w:r>
          </w:p>
          <w:p w14:paraId="67F70CE7">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接受，应满足下列要求：</w:t>
            </w:r>
            <w:r>
              <w:rPr>
                <w:rFonts w:hint="eastAsia" w:ascii="Calibri" w:hAnsi="Calibri" w:cs="Calibri"/>
                <w:color w:val="auto"/>
                <w:szCs w:val="21"/>
                <w:highlight w:val="none"/>
                <w:u w:val="single"/>
              </w:rPr>
              <w:t xml:space="preserve">          </w:t>
            </w:r>
          </w:p>
        </w:tc>
      </w:tr>
      <w:tr w14:paraId="33D2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26" w:type="dxa"/>
            <w:vAlign w:val="center"/>
          </w:tcPr>
          <w:p w14:paraId="736395D3">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9.1</w:t>
            </w:r>
          </w:p>
        </w:tc>
        <w:tc>
          <w:tcPr>
            <w:tcW w:w="2010" w:type="dxa"/>
            <w:gridSpan w:val="3"/>
            <w:vAlign w:val="center"/>
          </w:tcPr>
          <w:p w14:paraId="102BEEE1">
            <w:pPr>
              <w:jc w:val="center"/>
              <w:rPr>
                <w:rFonts w:ascii="Calibri" w:hAnsi="Calibri" w:cs="Calibri"/>
                <w:color w:val="auto"/>
                <w:szCs w:val="21"/>
                <w:highlight w:val="none"/>
              </w:rPr>
            </w:pPr>
            <w:r>
              <w:rPr>
                <w:rFonts w:ascii="Calibri" w:hAnsi="Calibri" w:cs="Calibri"/>
                <w:color w:val="auto"/>
                <w:szCs w:val="21"/>
                <w:highlight w:val="none"/>
              </w:rPr>
              <w:t>踏勘现场</w:t>
            </w:r>
          </w:p>
        </w:tc>
        <w:tc>
          <w:tcPr>
            <w:tcW w:w="6462" w:type="dxa"/>
            <w:vAlign w:val="center"/>
          </w:tcPr>
          <w:p w14:paraId="025A58A2">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不组织</w:t>
            </w:r>
          </w:p>
          <w:p w14:paraId="5C44C14B">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组织，踏勘时间</w:t>
            </w:r>
            <w:r>
              <w:rPr>
                <w:rFonts w:ascii="Calibri" w:hAnsi="Calibri" w:cs="Calibri"/>
                <w:color w:val="auto"/>
                <w:szCs w:val="21"/>
                <w:highlight w:val="none"/>
                <w:u w:val="single"/>
              </w:rPr>
              <w:t xml:space="preserve">      </w:t>
            </w:r>
            <w:r>
              <w:rPr>
                <w:rFonts w:ascii="Calibri" w:hAnsi="Calibri" w:cs="Calibri"/>
                <w:color w:val="auto"/>
                <w:szCs w:val="21"/>
                <w:highlight w:val="none"/>
              </w:rPr>
              <w:t>年</w:t>
            </w:r>
            <w:r>
              <w:rPr>
                <w:rFonts w:ascii="Calibri" w:hAnsi="Calibri" w:cs="Calibri"/>
                <w:color w:val="auto"/>
                <w:szCs w:val="21"/>
                <w:highlight w:val="none"/>
                <w:u w:val="single"/>
              </w:rPr>
              <w:t xml:space="preserve">  </w:t>
            </w:r>
            <w:r>
              <w:rPr>
                <w:rFonts w:ascii="Calibri" w:hAnsi="Calibri" w:cs="Calibri"/>
                <w:color w:val="auto"/>
                <w:szCs w:val="21"/>
                <w:highlight w:val="none"/>
              </w:rPr>
              <w:t>月</w:t>
            </w:r>
            <w:r>
              <w:rPr>
                <w:rFonts w:ascii="Calibri" w:hAnsi="Calibri" w:cs="Calibri"/>
                <w:color w:val="auto"/>
                <w:szCs w:val="21"/>
                <w:highlight w:val="none"/>
                <w:u w:val="single"/>
              </w:rPr>
              <w:t xml:space="preserve">   </w:t>
            </w:r>
            <w:r>
              <w:rPr>
                <w:rFonts w:ascii="Calibri" w:hAnsi="Calibri" w:cs="Calibri"/>
                <w:color w:val="auto"/>
                <w:szCs w:val="21"/>
                <w:highlight w:val="none"/>
              </w:rPr>
              <w:t>日</w:t>
            </w:r>
            <w:r>
              <w:rPr>
                <w:rFonts w:hint="eastAsia" w:ascii="Calibri" w:hAnsi="Calibri" w:cs="Calibri"/>
                <w:color w:val="auto"/>
                <w:szCs w:val="21"/>
                <w:highlight w:val="none"/>
              </w:rPr>
              <w:t>，</w:t>
            </w:r>
          </w:p>
          <w:p w14:paraId="270896C1">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踏勘地点</w:t>
            </w:r>
            <w:r>
              <w:rPr>
                <w:rFonts w:hint="eastAsia" w:ascii="Calibri" w:hAnsi="Calibri" w:cs="Calibri"/>
                <w:color w:val="auto"/>
                <w:szCs w:val="21"/>
                <w:highlight w:val="none"/>
              </w:rPr>
              <w:t>：</w:t>
            </w:r>
          </w:p>
        </w:tc>
      </w:tr>
      <w:tr w14:paraId="1453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26" w:type="dxa"/>
            <w:vAlign w:val="center"/>
          </w:tcPr>
          <w:p w14:paraId="67DD2E4E">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cs="Arial"/>
                <w:snapToGrid w:val="0"/>
                <w:color w:val="auto"/>
                <w:kern w:val="0"/>
                <w:szCs w:val="21"/>
                <w:highlight w:val="none"/>
              </w:rPr>
              <w:t>1.10.1</w:t>
            </w:r>
          </w:p>
        </w:tc>
        <w:tc>
          <w:tcPr>
            <w:tcW w:w="2010" w:type="dxa"/>
            <w:gridSpan w:val="3"/>
            <w:vAlign w:val="center"/>
          </w:tcPr>
          <w:p w14:paraId="643A576E">
            <w:pPr>
              <w:spacing w:line="400" w:lineRule="exact"/>
              <w:ind w:firstLine="210" w:firstLineChars="100"/>
              <w:rPr>
                <w:rFonts w:ascii="Calibri" w:hAnsi="Calibri" w:cs="Calibri"/>
                <w:color w:val="auto"/>
                <w:szCs w:val="21"/>
                <w:highlight w:val="none"/>
              </w:rPr>
            </w:pPr>
            <w:r>
              <w:rPr>
                <w:rFonts w:hint="eastAsia" w:ascii="宋体" w:hAnsi="宋体"/>
                <w:color w:val="auto"/>
                <w:szCs w:val="21"/>
                <w:highlight w:val="none"/>
              </w:rPr>
              <w:t>投标预备会</w:t>
            </w:r>
          </w:p>
        </w:tc>
        <w:tc>
          <w:tcPr>
            <w:tcW w:w="6462" w:type="dxa"/>
            <w:vAlign w:val="center"/>
          </w:tcPr>
          <w:p w14:paraId="2338C944">
            <w:pPr>
              <w:spacing w:line="400" w:lineRule="exact"/>
              <w:rPr>
                <w:rFonts w:hint="eastAsia" w:ascii="宋体" w:hAnsi="宋体"/>
                <w:color w:val="auto"/>
                <w:szCs w:val="21"/>
                <w:highlight w:val="none"/>
              </w:rPr>
            </w:pPr>
            <w:r>
              <w:rPr>
                <w:rFonts w:ascii="宋体" w:hAnsi="宋体"/>
                <w:color w:val="auto"/>
                <w:kern w:val="0"/>
                <w:szCs w:val="21"/>
                <w:highlight w:val="none"/>
              </w:rPr>
              <w:sym w:font="Wingdings 2" w:char="00A3"/>
            </w:r>
            <w:r>
              <w:rPr>
                <w:rFonts w:ascii="宋体" w:hAnsi="宋体"/>
                <w:color w:val="auto"/>
                <w:szCs w:val="21"/>
                <w:highlight w:val="none"/>
              </w:rPr>
              <w:t xml:space="preserve"> </w:t>
            </w:r>
            <w:r>
              <w:rPr>
                <w:rFonts w:hint="eastAsia" w:ascii="宋体" w:hAnsi="宋体"/>
                <w:color w:val="auto"/>
                <w:szCs w:val="21"/>
                <w:highlight w:val="none"/>
              </w:rPr>
              <w:t>不组织</w:t>
            </w:r>
          </w:p>
          <w:p w14:paraId="035B3285">
            <w:pPr>
              <w:spacing w:line="400" w:lineRule="exact"/>
              <w:ind w:left="840" w:right="627" w:hanging="840"/>
              <w:rPr>
                <w:rFonts w:hint="eastAsia" w:ascii="宋体" w:hAnsi="宋体"/>
                <w:color w:val="auto"/>
                <w:szCs w:val="21"/>
                <w:highlight w:val="none"/>
                <w:u w:val="single"/>
              </w:rPr>
            </w:pPr>
            <w:r>
              <w:rPr>
                <w:rFonts w:ascii="宋体" w:hAnsi="宋体"/>
                <w:color w:val="auto"/>
                <w:kern w:val="0"/>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组织，时间：</w:t>
            </w:r>
            <w:r>
              <w:rPr>
                <w:rFonts w:ascii="宋体" w:hAnsi="宋体"/>
                <w:color w:val="auto"/>
                <w:szCs w:val="21"/>
                <w:highlight w:val="none"/>
                <w:u w:val="single"/>
              </w:rPr>
              <w:t xml:space="preserve">                 </w:t>
            </w:r>
            <w:r>
              <w:rPr>
                <w:rFonts w:hint="eastAsia" w:ascii="宋体" w:hAnsi="宋体"/>
                <w:color w:val="auto"/>
                <w:szCs w:val="21"/>
                <w:highlight w:val="none"/>
              </w:rPr>
              <w:t>。</w:t>
            </w:r>
          </w:p>
          <w:p w14:paraId="59CC672B">
            <w:pPr>
              <w:spacing w:line="400" w:lineRule="exact"/>
              <w:ind w:firstLine="1050" w:firstLineChars="500"/>
              <w:rPr>
                <w:rFonts w:ascii="Calibri" w:hAnsi="Calibri" w:cs="Calibri"/>
                <w:color w:val="auto"/>
                <w:szCs w:val="21"/>
                <w:highlight w:val="none"/>
              </w:rPr>
            </w:pPr>
            <w:r>
              <w:rPr>
                <w:rFonts w:hint="eastAsia" w:ascii="宋体" w:hAnsi="宋体"/>
                <w:color w:val="auto"/>
                <w:szCs w:val="21"/>
                <w:highlight w:val="none"/>
              </w:rPr>
              <w:t>地点：</w:t>
            </w:r>
            <w:r>
              <w:rPr>
                <w:rFonts w:ascii="宋体" w:hAnsi="宋体"/>
                <w:color w:val="auto"/>
                <w:szCs w:val="21"/>
                <w:highlight w:val="none"/>
                <w:u w:val="single"/>
              </w:rPr>
              <w:t xml:space="preserve">              </w:t>
            </w:r>
            <w:r>
              <w:rPr>
                <w:rFonts w:hint="eastAsia" w:ascii="宋体" w:hAnsi="宋体"/>
                <w:color w:val="auto"/>
                <w:szCs w:val="21"/>
                <w:highlight w:val="none"/>
              </w:rPr>
              <w:t>。</w:t>
            </w:r>
          </w:p>
        </w:tc>
      </w:tr>
      <w:tr w14:paraId="2AB7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26" w:type="dxa"/>
            <w:vAlign w:val="center"/>
          </w:tcPr>
          <w:p w14:paraId="3A53A45F">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cs="Arial"/>
                <w:snapToGrid w:val="0"/>
                <w:color w:val="auto"/>
                <w:kern w:val="0"/>
                <w:szCs w:val="21"/>
                <w:highlight w:val="none"/>
              </w:rPr>
              <w:t>1.10.2</w:t>
            </w:r>
          </w:p>
        </w:tc>
        <w:tc>
          <w:tcPr>
            <w:tcW w:w="2010" w:type="dxa"/>
            <w:gridSpan w:val="3"/>
            <w:vAlign w:val="center"/>
          </w:tcPr>
          <w:p w14:paraId="53D3203D">
            <w:pPr>
              <w:spacing w:line="400" w:lineRule="exact"/>
              <w:jc w:val="center"/>
              <w:rPr>
                <w:rFonts w:ascii="Calibri" w:hAnsi="Calibri" w:cs="Calibri"/>
                <w:color w:val="auto"/>
                <w:szCs w:val="21"/>
                <w:highlight w:val="none"/>
              </w:rPr>
            </w:pPr>
            <w:r>
              <w:rPr>
                <w:rFonts w:hint="eastAsia" w:ascii="宋体" w:hAnsi="宋体"/>
                <w:color w:val="auto"/>
                <w:szCs w:val="21"/>
                <w:highlight w:val="none"/>
              </w:rPr>
              <w:t>投标人在投标预备会前提出澄清问题的时间和提问方式</w:t>
            </w:r>
          </w:p>
        </w:tc>
        <w:tc>
          <w:tcPr>
            <w:tcW w:w="6462" w:type="dxa"/>
            <w:vAlign w:val="center"/>
          </w:tcPr>
          <w:p w14:paraId="4DD91868">
            <w:pPr>
              <w:spacing w:line="400" w:lineRule="exact"/>
              <w:rPr>
                <w:rFonts w:hint="eastAsia" w:ascii="宋体" w:hAnsi="宋体"/>
                <w:color w:val="auto"/>
                <w:szCs w:val="21"/>
                <w:highlight w:val="none"/>
              </w:rPr>
            </w:pPr>
            <w:r>
              <w:rPr>
                <w:rFonts w:hint="eastAsia" w:ascii="宋体" w:hAnsi="宋体"/>
                <w:color w:val="auto"/>
                <w:szCs w:val="21"/>
                <w:highlight w:val="none"/>
              </w:rPr>
              <w:t>时间： /</w:t>
            </w:r>
          </w:p>
          <w:p w14:paraId="337438B0">
            <w:pPr>
              <w:spacing w:line="400" w:lineRule="exact"/>
              <w:rPr>
                <w:rFonts w:ascii="Calibri" w:hAnsi="Calibri" w:cs="Calibri"/>
                <w:color w:val="auto"/>
                <w:szCs w:val="21"/>
                <w:highlight w:val="none"/>
              </w:rPr>
            </w:pPr>
            <w:r>
              <w:rPr>
                <w:rFonts w:hint="eastAsia" w:ascii="宋体" w:hAnsi="宋体"/>
                <w:color w:val="auto"/>
                <w:szCs w:val="21"/>
                <w:highlight w:val="none"/>
              </w:rPr>
              <w:t>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
                <w:iCs/>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提问。</w:t>
            </w:r>
          </w:p>
        </w:tc>
      </w:tr>
      <w:tr w14:paraId="41B3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26" w:type="dxa"/>
            <w:vAlign w:val="center"/>
          </w:tcPr>
          <w:p w14:paraId="250F1FBA">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cs="Arial"/>
                <w:snapToGrid w:val="0"/>
                <w:color w:val="auto"/>
                <w:kern w:val="0"/>
                <w:szCs w:val="21"/>
                <w:highlight w:val="none"/>
              </w:rPr>
              <w:t>1.10.3</w:t>
            </w:r>
          </w:p>
        </w:tc>
        <w:tc>
          <w:tcPr>
            <w:tcW w:w="2010" w:type="dxa"/>
            <w:gridSpan w:val="3"/>
            <w:vAlign w:val="center"/>
          </w:tcPr>
          <w:p w14:paraId="03EFD18F">
            <w:pPr>
              <w:spacing w:line="400" w:lineRule="exact"/>
              <w:jc w:val="center"/>
              <w:rPr>
                <w:rFonts w:ascii="Calibri" w:hAnsi="Calibri" w:cs="Calibri"/>
                <w:color w:val="auto"/>
                <w:szCs w:val="21"/>
                <w:highlight w:val="none"/>
              </w:rPr>
            </w:pPr>
            <w:r>
              <w:rPr>
                <w:rFonts w:hint="eastAsia" w:ascii="宋体" w:hAnsi="宋体"/>
                <w:color w:val="auto"/>
                <w:szCs w:val="21"/>
                <w:highlight w:val="none"/>
              </w:rPr>
              <w:t>招标人对投标人所提问题的澄清时间和方式</w:t>
            </w:r>
          </w:p>
        </w:tc>
        <w:tc>
          <w:tcPr>
            <w:tcW w:w="6462" w:type="dxa"/>
            <w:vAlign w:val="center"/>
          </w:tcPr>
          <w:p w14:paraId="799B5CC1">
            <w:pPr>
              <w:spacing w:after="100" w:line="400" w:lineRule="exact"/>
              <w:rPr>
                <w:rFonts w:hint="eastAsia" w:ascii="宋体" w:hAnsi="宋体"/>
                <w:color w:val="auto"/>
                <w:szCs w:val="21"/>
                <w:highlight w:val="none"/>
              </w:rPr>
            </w:pPr>
            <w:r>
              <w:rPr>
                <w:rFonts w:hint="eastAsia" w:ascii="宋体" w:hAnsi="宋体"/>
                <w:color w:val="auto"/>
                <w:szCs w:val="21"/>
                <w:highlight w:val="none"/>
              </w:rPr>
              <w:t>时间：/</w:t>
            </w:r>
          </w:p>
          <w:p w14:paraId="288514D0">
            <w:pPr>
              <w:spacing w:after="100" w:line="400" w:lineRule="exact"/>
              <w:rPr>
                <w:rFonts w:hint="eastAsia" w:ascii="宋体" w:hAnsi="宋体"/>
                <w:color w:val="auto"/>
                <w:szCs w:val="21"/>
                <w:highlight w:val="none"/>
              </w:rPr>
            </w:pPr>
            <w:r>
              <w:rPr>
                <w:rFonts w:hint="eastAsia" w:ascii="宋体" w:hAnsi="宋体"/>
                <w:color w:val="auto"/>
                <w:szCs w:val="21"/>
                <w:highlight w:val="none"/>
              </w:rPr>
              <w:t>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发布。</w:t>
            </w:r>
          </w:p>
        </w:tc>
      </w:tr>
      <w:tr w14:paraId="17B8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926" w:type="dxa"/>
            <w:vAlign w:val="center"/>
          </w:tcPr>
          <w:p w14:paraId="3E1107A1">
            <w:pPr>
              <w:jc w:val="center"/>
              <w:rPr>
                <w:rFonts w:ascii="Calibri" w:hAnsi="Calibri" w:cs="Calibri"/>
                <w:color w:val="auto"/>
                <w:szCs w:val="21"/>
                <w:highlight w:val="none"/>
              </w:rPr>
            </w:pPr>
            <w:r>
              <w:rPr>
                <w:rFonts w:hint="eastAsia" w:ascii="Calibri" w:hAnsi="Calibri" w:cs="Calibri"/>
                <w:color w:val="auto"/>
                <w:szCs w:val="21"/>
                <w:highlight w:val="none"/>
              </w:rPr>
              <w:t>1.11</w:t>
            </w:r>
          </w:p>
        </w:tc>
        <w:tc>
          <w:tcPr>
            <w:tcW w:w="2010" w:type="dxa"/>
            <w:gridSpan w:val="3"/>
            <w:vAlign w:val="center"/>
          </w:tcPr>
          <w:p w14:paraId="5481688A">
            <w:pPr>
              <w:jc w:val="center"/>
              <w:rPr>
                <w:rFonts w:ascii="Calibri" w:hAnsi="Calibri" w:cs="Calibri"/>
                <w:color w:val="auto"/>
                <w:szCs w:val="21"/>
                <w:highlight w:val="none"/>
              </w:rPr>
            </w:pPr>
            <w:r>
              <w:rPr>
                <w:rFonts w:ascii="Calibri" w:hAnsi="Calibri" w:cs="Calibri"/>
                <w:color w:val="auto"/>
                <w:szCs w:val="21"/>
                <w:highlight w:val="none"/>
              </w:rPr>
              <w:t>分  包</w:t>
            </w:r>
          </w:p>
        </w:tc>
        <w:tc>
          <w:tcPr>
            <w:tcW w:w="6462" w:type="dxa"/>
            <w:vAlign w:val="center"/>
          </w:tcPr>
          <w:p w14:paraId="55E90096">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不允许</w:t>
            </w:r>
          </w:p>
          <w:p w14:paraId="7D8A51DE">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允许，分包内容要求：</w:t>
            </w:r>
          </w:p>
          <w:p w14:paraId="1D901190">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分包金额要求：</w:t>
            </w:r>
          </w:p>
          <w:p w14:paraId="0BE142B1">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接受分包的第三人资质要求：</w:t>
            </w:r>
          </w:p>
        </w:tc>
      </w:tr>
      <w:tr w14:paraId="545E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26" w:type="dxa"/>
            <w:vAlign w:val="center"/>
          </w:tcPr>
          <w:p w14:paraId="2540C500">
            <w:pPr>
              <w:jc w:val="center"/>
              <w:rPr>
                <w:rFonts w:ascii="Calibri" w:hAnsi="Calibri" w:cs="Calibri"/>
                <w:color w:val="auto"/>
                <w:szCs w:val="21"/>
                <w:highlight w:val="none"/>
              </w:rPr>
            </w:pPr>
            <w:r>
              <w:rPr>
                <w:rFonts w:hint="eastAsia" w:ascii="Calibri" w:hAnsi="Calibri" w:cs="Calibri"/>
                <w:color w:val="auto"/>
                <w:szCs w:val="21"/>
                <w:highlight w:val="none"/>
              </w:rPr>
              <w:t>1.12</w:t>
            </w:r>
          </w:p>
        </w:tc>
        <w:tc>
          <w:tcPr>
            <w:tcW w:w="2010" w:type="dxa"/>
            <w:gridSpan w:val="3"/>
            <w:vAlign w:val="center"/>
          </w:tcPr>
          <w:p w14:paraId="300833DB">
            <w:pPr>
              <w:jc w:val="center"/>
              <w:rPr>
                <w:rFonts w:ascii="Calibri" w:hAnsi="Calibri" w:cs="Calibri"/>
                <w:color w:val="auto"/>
                <w:szCs w:val="21"/>
                <w:highlight w:val="none"/>
              </w:rPr>
            </w:pPr>
            <w:r>
              <w:rPr>
                <w:rFonts w:ascii="Calibri" w:hAnsi="Calibri" w:cs="Calibri"/>
                <w:color w:val="auto"/>
                <w:szCs w:val="21"/>
                <w:highlight w:val="none"/>
              </w:rPr>
              <w:t>偏  离</w:t>
            </w:r>
          </w:p>
        </w:tc>
        <w:tc>
          <w:tcPr>
            <w:tcW w:w="6462" w:type="dxa"/>
            <w:vAlign w:val="center"/>
          </w:tcPr>
          <w:p w14:paraId="7952CB08">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不允许</w:t>
            </w:r>
          </w:p>
          <w:p w14:paraId="5CDB3759">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 xml:space="preserve">允许，偏差范围：          </w:t>
            </w:r>
            <w:r>
              <w:rPr>
                <w:rFonts w:ascii="宋体" w:hAnsi="宋体" w:eastAsia="Arial" w:cs="Arial"/>
                <w:snapToGrid w:val="0"/>
                <w:color w:val="auto"/>
                <w:kern w:val="0"/>
                <w:szCs w:val="21"/>
                <w:highlight w:val="none"/>
              </w:rPr>
              <w:t>最高项数：</w:t>
            </w:r>
            <w:r>
              <w:rPr>
                <w:rFonts w:hint="eastAsia" w:ascii="宋体" w:hAnsi="宋体" w:eastAsia="Arial" w:cs="Arial"/>
                <w:snapToGrid w:val="0"/>
                <w:color w:val="auto"/>
                <w:kern w:val="0"/>
                <w:sz w:val="24"/>
                <w:szCs w:val="21"/>
                <w:highlight w:val="none"/>
                <w:u w:val="single"/>
              </w:rPr>
              <w:t xml:space="preserve">        </w:t>
            </w:r>
          </w:p>
        </w:tc>
      </w:tr>
      <w:tr w14:paraId="0BB9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26" w:type="dxa"/>
            <w:vAlign w:val="center"/>
          </w:tcPr>
          <w:p w14:paraId="257D86F3">
            <w:pPr>
              <w:jc w:val="center"/>
              <w:rPr>
                <w:rFonts w:ascii="Calibri" w:hAnsi="Calibri" w:cs="Calibri"/>
                <w:color w:val="auto"/>
                <w:szCs w:val="21"/>
                <w:highlight w:val="none"/>
              </w:rPr>
            </w:pPr>
            <w:r>
              <w:rPr>
                <w:rFonts w:ascii="Calibri" w:hAnsi="Calibri" w:cs="Calibri"/>
                <w:color w:val="auto"/>
                <w:szCs w:val="21"/>
                <w:highlight w:val="none"/>
              </w:rPr>
              <w:t>2.1</w:t>
            </w:r>
          </w:p>
        </w:tc>
        <w:tc>
          <w:tcPr>
            <w:tcW w:w="2010" w:type="dxa"/>
            <w:gridSpan w:val="3"/>
            <w:vAlign w:val="center"/>
          </w:tcPr>
          <w:p w14:paraId="53E4AF97">
            <w:pPr>
              <w:jc w:val="center"/>
              <w:rPr>
                <w:rFonts w:ascii="Calibri" w:hAnsi="Calibri" w:cs="Calibri"/>
                <w:color w:val="auto"/>
                <w:szCs w:val="21"/>
                <w:highlight w:val="none"/>
              </w:rPr>
            </w:pPr>
            <w:r>
              <w:rPr>
                <w:rFonts w:ascii="Calibri" w:hAnsi="Calibri" w:cs="Calibri"/>
                <w:color w:val="auto"/>
                <w:szCs w:val="21"/>
                <w:highlight w:val="none"/>
              </w:rPr>
              <w:t>构成招标文件的其他资料</w:t>
            </w:r>
          </w:p>
        </w:tc>
        <w:tc>
          <w:tcPr>
            <w:tcW w:w="6462" w:type="dxa"/>
            <w:vAlign w:val="center"/>
          </w:tcPr>
          <w:p w14:paraId="5CD09547">
            <w:pPr>
              <w:ind w:left="-103" w:leftChars="-49" w:firstLine="422" w:firstLineChars="201"/>
              <w:rPr>
                <w:rFonts w:ascii="Calibri" w:hAnsi="Calibri" w:cs="Calibri"/>
                <w:color w:val="auto"/>
                <w:szCs w:val="21"/>
                <w:highlight w:val="none"/>
              </w:rPr>
            </w:pPr>
            <w:r>
              <w:rPr>
                <w:rFonts w:ascii="宋体" w:hAnsi="宋体"/>
                <w:color w:val="auto"/>
                <w:szCs w:val="21"/>
                <w:highlight w:val="none"/>
                <w:u w:val="single"/>
              </w:rPr>
              <w:t xml:space="preserve">                </w:t>
            </w:r>
          </w:p>
        </w:tc>
      </w:tr>
      <w:tr w14:paraId="485D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26" w:type="dxa"/>
            <w:vAlign w:val="center"/>
          </w:tcPr>
          <w:p w14:paraId="5ED5BE76">
            <w:pPr>
              <w:jc w:val="center"/>
              <w:rPr>
                <w:rFonts w:ascii="Calibri" w:hAnsi="Calibri" w:cs="Calibri"/>
                <w:color w:val="auto"/>
                <w:szCs w:val="21"/>
                <w:highlight w:val="none"/>
              </w:rPr>
            </w:pPr>
            <w:r>
              <w:rPr>
                <w:rFonts w:ascii="Calibri" w:hAnsi="Calibri" w:cs="Calibri"/>
                <w:color w:val="auto"/>
                <w:szCs w:val="21"/>
                <w:highlight w:val="none"/>
              </w:rPr>
              <w:t>2.2.1</w:t>
            </w:r>
          </w:p>
        </w:tc>
        <w:tc>
          <w:tcPr>
            <w:tcW w:w="2010" w:type="dxa"/>
            <w:gridSpan w:val="3"/>
            <w:vAlign w:val="center"/>
          </w:tcPr>
          <w:p w14:paraId="6C1B9BCB">
            <w:pPr>
              <w:jc w:val="center"/>
              <w:rPr>
                <w:rFonts w:ascii="Calibri" w:hAnsi="Calibri" w:cs="Calibri"/>
                <w:color w:val="auto"/>
                <w:szCs w:val="21"/>
                <w:highlight w:val="none"/>
              </w:rPr>
            </w:pPr>
            <w:r>
              <w:rPr>
                <w:rFonts w:hint="eastAsia" w:ascii="Calibri" w:hAnsi="Calibri" w:cs="Calibri"/>
                <w:color w:val="auto"/>
                <w:szCs w:val="21"/>
                <w:highlight w:val="none"/>
              </w:rPr>
              <w:t>投标人要求澄清</w:t>
            </w:r>
            <w:r>
              <w:rPr>
                <w:rFonts w:ascii="Calibri" w:hAnsi="Calibri" w:cs="Calibri"/>
                <w:color w:val="auto"/>
                <w:szCs w:val="21"/>
                <w:highlight w:val="none"/>
              </w:rPr>
              <w:t>招标文件的时间和方式</w:t>
            </w:r>
          </w:p>
        </w:tc>
        <w:tc>
          <w:tcPr>
            <w:tcW w:w="6462" w:type="dxa"/>
            <w:vAlign w:val="center"/>
          </w:tcPr>
          <w:p w14:paraId="5846DFE9">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截止时间：</w:t>
            </w:r>
            <w:r>
              <w:rPr>
                <w:rFonts w:hint="eastAsia" w:ascii="Calibri" w:hAnsi="Calibri" w:cs="Calibri"/>
                <w:color w:val="auto"/>
                <w:szCs w:val="21"/>
                <w:highlight w:val="none"/>
                <w:u w:val="single"/>
              </w:rPr>
              <w:t xml:space="preserve"> 详见外网招标公告/澄清补充公告 </w:t>
            </w:r>
            <w:r>
              <w:rPr>
                <w:rFonts w:hint="eastAsia" w:ascii="Calibri" w:hAnsi="Calibri" w:cs="Calibri"/>
                <w:color w:val="auto"/>
                <w:szCs w:val="21"/>
                <w:highlight w:val="none"/>
              </w:rPr>
              <w:t xml:space="preserve">  </w:t>
            </w:r>
          </w:p>
          <w:p w14:paraId="059EEA26">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网络方式,提交至</w:t>
            </w:r>
            <w:r>
              <w:rPr>
                <w:rFonts w:hint="eastAsia" w:ascii="Calibri" w:hAnsi="Calibri" w:cs="Calibri"/>
                <w:color w:val="auto"/>
                <w:szCs w:val="21"/>
                <w:highlight w:val="none"/>
              </w:rPr>
              <w:t xml:space="preserve"> </w:t>
            </w:r>
            <w:r>
              <w:rPr>
                <w:rFonts w:hint="eastAsia" w:ascii="Calibri" w:hAnsi="Calibri" w:cs="Calibri"/>
                <w:color w:val="auto"/>
                <w:szCs w:val="21"/>
                <w:highlight w:val="none"/>
                <w:u w:val="single"/>
              </w:rPr>
              <w:t xml:space="preserve">  电子招标投标</w:t>
            </w:r>
            <w:r>
              <w:rPr>
                <w:rFonts w:ascii="Calibri" w:hAnsi="Calibri" w:cs="Calibri"/>
                <w:color w:val="auto"/>
                <w:szCs w:val="21"/>
                <w:highlight w:val="none"/>
                <w:u w:val="single"/>
              </w:rPr>
              <w:t>交易平台</w:t>
            </w:r>
            <w:r>
              <w:rPr>
                <w:rFonts w:hint="eastAsia" w:ascii="Calibri" w:hAnsi="Calibri" w:cs="Calibri"/>
                <w:color w:val="auto"/>
                <w:szCs w:val="21"/>
                <w:highlight w:val="none"/>
                <w:u w:val="single"/>
              </w:rPr>
              <w:t xml:space="preserve">名称  </w:t>
            </w:r>
          </w:p>
        </w:tc>
      </w:tr>
      <w:tr w14:paraId="6C39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Merge w:val="restart"/>
            <w:vAlign w:val="center"/>
          </w:tcPr>
          <w:p w14:paraId="58BEB924">
            <w:pPr>
              <w:jc w:val="center"/>
              <w:rPr>
                <w:rFonts w:ascii="Calibri" w:hAnsi="Calibri" w:cs="Calibri"/>
                <w:color w:val="auto"/>
                <w:szCs w:val="21"/>
                <w:highlight w:val="none"/>
              </w:rPr>
            </w:pPr>
            <w:r>
              <w:rPr>
                <w:rFonts w:ascii="Calibri" w:hAnsi="Calibri" w:cs="Calibri"/>
                <w:color w:val="auto"/>
                <w:szCs w:val="21"/>
                <w:highlight w:val="none"/>
              </w:rPr>
              <w:t>2.2.2</w:t>
            </w:r>
          </w:p>
        </w:tc>
        <w:tc>
          <w:tcPr>
            <w:tcW w:w="2010" w:type="dxa"/>
            <w:gridSpan w:val="3"/>
            <w:vAlign w:val="center"/>
          </w:tcPr>
          <w:p w14:paraId="100EE625">
            <w:pPr>
              <w:jc w:val="center"/>
              <w:rPr>
                <w:rFonts w:ascii="Calibri" w:hAnsi="Calibri" w:cs="Calibri"/>
                <w:color w:val="auto"/>
                <w:szCs w:val="21"/>
                <w:highlight w:val="none"/>
              </w:rPr>
            </w:pPr>
            <w:r>
              <w:rPr>
                <w:rFonts w:ascii="Calibri" w:hAnsi="Calibri" w:cs="Calibri"/>
                <w:color w:val="auto"/>
                <w:szCs w:val="21"/>
                <w:highlight w:val="none"/>
              </w:rPr>
              <w:t>投标截止时间</w:t>
            </w:r>
          </w:p>
        </w:tc>
        <w:tc>
          <w:tcPr>
            <w:tcW w:w="6462" w:type="dxa"/>
            <w:vAlign w:val="center"/>
          </w:tcPr>
          <w:p w14:paraId="553736D7">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u w:val="single"/>
              </w:rPr>
              <w:t xml:space="preserve"> 详见外网招标公告/澄清补充公告 </w:t>
            </w:r>
          </w:p>
        </w:tc>
      </w:tr>
      <w:tr w14:paraId="2E60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26" w:type="dxa"/>
            <w:vMerge w:val="continue"/>
            <w:vAlign w:val="center"/>
          </w:tcPr>
          <w:p w14:paraId="4372DA2D">
            <w:pPr>
              <w:jc w:val="center"/>
              <w:rPr>
                <w:rFonts w:ascii="Calibri" w:hAnsi="Calibri" w:cs="Calibri"/>
                <w:color w:val="auto"/>
                <w:szCs w:val="21"/>
                <w:highlight w:val="none"/>
              </w:rPr>
            </w:pPr>
          </w:p>
        </w:tc>
        <w:tc>
          <w:tcPr>
            <w:tcW w:w="2010" w:type="dxa"/>
            <w:gridSpan w:val="3"/>
            <w:vAlign w:val="center"/>
          </w:tcPr>
          <w:p w14:paraId="67D7C139">
            <w:pPr>
              <w:jc w:val="center"/>
              <w:rPr>
                <w:rFonts w:ascii="Calibri" w:hAnsi="Calibri" w:cs="Calibri"/>
                <w:color w:val="auto"/>
                <w:szCs w:val="21"/>
                <w:highlight w:val="none"/>
              </w:rPr>
            </w:pPr>
            <w:r>
              <w:rPr>
                <w:rFonts w:ascii="宋体" w:hAnsi="宋体" w:eastAsia="Arial" w:cs="Arial"/>
                <w:snapToGrid w:val="0"/>
                <w:color w:val="auto"/>
                <w:kern w:val="0"/>
                <w:szCs w:val="21"/>
                <w:highlight w:val="none"/>
              </w:rPr>
              <w:t>招标文件澄清修改发出的形式</w:t>
            </w:r>
          </w:p>
        </w:tc>
        <w:tc>
          <w:tcPr>
            <w:tcW w:w="6462" w:type="dxa"/>
            <w:vAlign w:val="center"/>
          </w:tcPr>
          <w:p w14:paraId="77AC3356">
            <w:pPr>
              <w:snapToGrid w:val="0"/>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在</w:t>
            </w:r>
            <w:r>
              <w:rPr>
                <w:rFonts w:ascii="Calibri" w:hAnsi="Calibri" w:cs="Calibri"/>
                <w:color w:val="auto"/>
                <w:szCs w:val="21"/>
                <w:highlight w:val="none"/>
                <w:u w:val="single"/>
              </w:rPr>
              <w:t xml:space="preserve">   </w:t>
            </w:r>
            <w:r>
              <w:rPr>
                <w:rFonts w:hint="eastAsia" w:ascii="Calibri" w:hAnsi="Calibri" w:cs="Calibri"/>
                <w:color w:val="auto"/>
                <w:highlight w:val="none"/>
                <w:u w:val="single"/>
              </w:rPr>
              <w:t>发布澄清和修改的媒介名称</w:t>
            </w:r>
            <w:r>
              <w:rPr>
                <w:rFonts w:ascii="Calibri" w:hAnsi="Calibri" w:cs="Calibri"/>
                <w:color w:val="auto"/>
                <w:highlight w:val="none"/>
                <w:u w:val="single"/>
              </w:rPr>
              <w:t xml:space="preserve">   </w:t>
            </w:r>
            <w:r>
              <w:rPr>
                <w:rFonts w:hint="eastAsia" w:ascii="Calibri" w:hAnsi="Calibri" w:cs="Calibri"/>
                <w:color w:val="auto"/>
                <w:szCs w:val="21"/>
                <w:highlight w:val="none"/>
              </w:rPr>
              <w:t>发布。</w:t>
            </w:r>
          </w:p>
        </w:tc>
      </w:tr>
      <w:tr w14:paraId="14EA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6" w:type="dxa"/>
            <w:vAlign w:val="center"/>
          </w:tcPr>
          <w:p w14:paraId="48945DA7">
            <w:pPr>
              <w:jc w:val="center"/>
              <w:rPr>
                <w:rFonts w:ascii="Calibri" w:hAnsi="Calibri" w:cs="Calibri"/>
                <w:color w:val="auto"/>
                <w:szCs w:val="21"/>
                <w:highlight w:val="none"/>
              </w:rPr>
            </w:pPr>
            <w:r>
              <w:rPr>
                <w:rFonts w:ascii="Calibri" w:hAnsi="Calibri" w:cs="Calibri"/>
                <w:color w:val="auto"/>
                <w:szCs w:val="21"/>
                <w:highlight w:val="none"/>
              </w:rPr>
              <w:t>3.1</w:t>
            </w:r>
            <w:r>
              <w:rPr>
                <w:rFonts w:hint="eastAsia" w:ascii="Calibri" w:hAnsi="Calibri" w:cs="Calibri"/>
                <w:color w:val="auto"/>
                <w:szCs w:val="21"/>
                <w:highlight w:val="none"/>
              </w:rPr>
              <w:t>.1</w:t>
            </w:r>
          </w:p>
        </w:tc>
        <w:tc>
          <w:tcPr>
            <w:tcW w:w="2010" w:type="dxa"/>
            <w:gridSpan w:val="3"/>
            <w:vAlign w:val="center"/>
          </w:tcPr>
          <w:p w14:paraId="7C99DF82">
            <w:pPr>
              <w:jc w:val="center"/>
              <w:rPr>
                <w:rFonts w:ascii="Calibri" w:hAnsi="Calibri" w:cs="Calibri"/>
                <w:color w:val="auto"/>
                <w:szCs w:val="21"/>
                <w:highlight w:val="none"/>
              </w:rPr>
            </w:pPr>
            <w:r>
              <w:rPr>
                <w:rFonts w:ascii="Calibri" w:hAnsi="Calibri" w:cs="Calibri"/>
                <w:color w:val="auto"/>
                <w:szCs w:val="21"/>
                <w:highlight w:val="none"/>
              </w:rPr>
              <w:t>构成投标文件的的其他材料</w:t>
            </w:r>
          </w:p>
        </w:tc>
        <w:tc>
          <w:tcPr>
            <w:tcW w:w="6462" w:type="dxa"/>
            <w:vAlign w:val="center"/>
          </w:tcPr>
          <w:p w14:paraId="05974AAA">
            <w:pPr>
              <w:ind w:left="-103" w:leftChars="-49" w:firstLine="422" w:firstLineChars="201"/>
              <w:rPr>
                <w:rFonts w:ascii="Calibri" w:hAnsi="Calibri" w:cs="Calibri"/>
                <w:color w:val="auto"/>
                <w:szCs w:val="21"/>
                <w:highlight w:val="none"/>
              </w:rPr>
            </w:pPr>
            <w:r>
              <w:rPr>
                <w:rFonts w:ascii="宋体" w:hAnsi="宋体" w:eastAsia="Arial" w:cs="Arial"/>
                <w:snapToGrid w:val="0"/>
                <w:color w:val="auto"/>
                <w:kern w:val="0"/>
                <w:szCs w:val="21"/>
                <w:highlight w:val="none"/>
                <w:u w:val="single"/>
              </w:rPr>
              <w:t xml:space="preserve">              </w:t>
            </w:r>
          </w:p>
        </w:tc>
      </w:tr>
      <w:tr w14:paraId="4958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6" w:type="dxa"/>
            <w:vAlign w:val="center"/>
          </w:tcPr>
          <w:p w14:paraId="31FE2CEC">
            <w:pPr>
              <w:jc w:val="center"/>
              <w:rPr>
                <w:rFonts w:ascii="Calibri" w:hAnsi="Calibri" w:cs="Calibri"/>
                <w:color w:val="auto"/>
                <w:szCs w:val="21"/>
                <w:highlight w:val="none"/>
              </w:rPr>
            </w:pPr>
            <w:r>
              <w:rPr>
                <w:rFonts w:ascii="Calibri" w:hAnsi="Calibri" w:cs="Calibri"/>
                <w:color w:val="auto"/>
                <w:szCs w:val="21"/>
                <w:highlight w:val="none"/>
              </w:rPr>
              <w:t>3.</w:t>
            </w:r>
            <w:r>
              <w:rPr>
                <w:rFonts w:hint="eastAsia" w:ascii="Calibri" w:hAnsi="Calibri" w:cs="Calibri"/>
                <w:color w:val="auto"/>
                <w:szCs w:val="21"/>
                <w:highlight w:val="none"/>
              </w:rPr>
              <w:t>3.1</w:t>
            </w:r>
          </w:p>
        </w:tc>
        <w:tc>
          <w:tcPr>
            <w:tcW w:w="2010" w:type="dxa"/>
            <w:gridSpan w:val="3"/>
            <w:vAlign w:val="center"/>
          </w:tcPr>
          <w:p w14:paraId="5B0EDF70">
            <w:pPr>
              <w:jc w:val="center"/>
              <w:rPr>
                <w:rFonts w:ascii="Calibri" w:hAnsi="Calibri" w:cs="Calibri"/>
                <w:color w:val="auto"/>
                <w:szCs w:val="21"/>
                <w:highlight w:val="none"/>
              </w:rPr>
            </w:pPr>
            <w:r>
              <w:rPr>
                <w:rFonts w:ascii="Calibri" w:hAnsi="Calibri" w:cs="Calibri"/>
                <w:color w:val="auto"/>
                <w:szCs w:val="21"/>
                <w:highlight w:val="none"/>
              </w:rPr>
              <w:t>投标有效期</w:t>
            </w:r>
          </w:p>
        </w:tc>
        <w:tc>
          <w:tcPr>
            <w:tcW w:w="6462" w:type="dxa"/>
            <w:vAlign w:val="center"/>
          </w:tcPr>
          <w:p w14:paraId="2EEFC770">
            <w:pPr>
              <w:rPr>
                <w:rFonts w:ascii="Calibri" w:hAnsi="Calibri" w:cs="Calibri"/>
                <w:color w:val="auto"/>
                <w:szCs w:val="21"/>
                <w:highlight w:val="none"/>
                <w:u w:val="single"/>
              </w:rPr>
            </w:pPr>
            <w:r>
              <w:rPr>
                <w:rFonts w:ascii="Calibri" w:hAnsi="Calibri" w:cs="Calibri"/>
                <w:color w:val="auto"/>
                <w:szCs w:val="21"/>
                <w:highlight w:val="none"/>
              </w:rPr>
              <w:t>自投标截止之日起</w:t>
            </w:r>
            <w:r>
              <w:rPr>
                <w:rFonts w:ascii="Calibri" w:hAnsi="Calibri" w:cs="Calibri"/>
                <w:color w:val="auto"/>
                <w:szCs w:val="21"/>
                <w:highlight w:val="none"/>
                <w:u w:val="single"/>
              </w:rPr>
              <w:t xml:space="preserve">      </w:t>
            </w:r>
            <w:r>
              <w:rPr>
                <w:rFonts w:ascii="Calibri" w:hAnsi="Calibri" w:cs="Calibri"/>
                <w:color w:val="auto"/>
                <w:szCs w:val="21"/>
                <w:highlight w:val="none"/>
              </w:rPr>
              <w:t>天（日历天）</w:t>
            </w:r>
          </w:p>
        </w:tc>
      </w:tr>
      <w:tr w14:paraId="058A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6" w:type="dxa"/>
            <w:vAlign w:val="center"/>
          </w:tcPr>
          <w:p w14:paraId="5057F750">
            <w:pPr>
              <w:jc w:val="center"/>
              <w:rPr>
                <w:rFonts w:ascii="Calibri" w:hAnsi="Calibri" w:cs="Calibri"/>
                <w:color w:val="auto"/>
                <w:szCs w:val="21"/>
                <w:highlight w:val="none"/>
              </w:rPr>
            </w:pPr>
            <w:r>
              <w:rPr>
                <w:rFonts w:hint="eastAsia" w:ascii="Calibri" w:hAnsi="Calibri" w:cs="Calibri"/>
                <w:color w:val="auto"/>
                <w:szCs w:val="21"/>
                <w:highlight w:val="none"/>
              </w:rPr>
              <w:t>3.4.1</w:t>
            </w:r>
          </w:p>
        </w:tc>
        <w:tc>
          <w:tcPr>
            <w:tcW w:w="2010" w:type="dxa"/>
            <w:gridSpan w:val="3"/>
            <w:vAlign w:val="center"/>
          </w:tcPr>
          <w:p w14:paraId="4F7C06A0">
            <w:pPr>
              <w:jc w:val="center"/>
              <w:rPr>
                <w:rFonts w:ascii="Calibri" w:hAnsi="Calibri" w:cs="Calibri"/>
                <w:color w:val="auto"/>
                <w:szCs w:val="21"/>
                <w:highlight w:val="none"/>
              </w:rPr>
            </w:pPr>
            <w:r>
              <w:rPr>
                <w:rFonts w:ascii="Calibri" w:hAnsi="Calibri" w:cs="Calibri"/>
                <w:color w:val="auto"/>
                <w:szCs w:val="21"/>
                <w:highlight w:val="none"/>
              </w:rPr>
              <w:t>投标保证</w:t>
            </w:r>
          </w:p>
        </w:tc>
        <w:tc>
          <w:tcPr>
            <w:tcW w:w="6462" w:type="dxa"/>
            <w:vAlign w:val="center"/>
          </w:tcPr>
          <w:p w14:paraId="3947B944">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不要求提交投标担保</w:t>
            </w:r>
          </w:p>
          <w:p w14:paraId="095F25D3">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要求提交投标担保</w:t>
            </w:r>
          </w:p>
          <w:p w14:paraId="728A95B8">
            <w:pPr>
              <w:widowControl/>
              <w:kinsoku w:val="0"/>
              <w:autoSpaceDE w:val="0"/>
              <w:autoSpaceDN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1.形式：</w:t>
            </w:r>
          </w:p>
          <w:p w14:paraId="483A7603">
            <w:pPr>
              <w:rPr>
                <w:rFonts w:hint="eastAsia" w:ascii="宋体" w:hAnsi="宋体" w:cs="宋体"/>
                <w:color w:val="auto"/>
                <w:szCs w:val="21"/>
                <w:highlight w:val="none"/>
              </w:rPr>
            </w:pPr>
            <w:r>
              <w:rPr>
                <w:rFonts w:hint="eastAsia" w:ascii="宋体" w:hAnsi="宋体" w:cs="宋体"/>
                <w:color w:val="auto"/>
                <w:szCs w:val="21"/>
                <w:highlight w:val="none"/>
              </w:rPr>
              <w:t>（1）现金</w:t>
            </w:r>
          </w:p>
          <w:p w14:paraId="5F13373E">
            <w:pPr>
              <w:rPr>
                <w:rFonts w:hint="eastAsia" w:ascii="宋体" w:hAnsi="宋体" w:cs="宋体"/>
                <w:color w:val="auto"/>
                <w:szCs w:val="21"/>
                <w:highlight w:val="none"/>
              </w:rPr>
            </w:pPr>
            <w:r>
              <w:rPr>
                <w:rFonts w:hint="eastAsia" w:ascii="宋体" w:hAnsi="宋体" w:cs="宋体"/>
                <w:color w:val="auto"/>
                <w:szCs w:val="21"/>
                <w:highlight w:val="none"/>
              </w:rPr>
              <w:t>（2）保函（银行业金融机构、专业担保公司开立的无条件的、不可撤销的独立保函、保险公司开具的见索即付的保证保险）</w:t>
            </w:r>
          </w:p>
          <w:p w14:paraId="57E44509">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（3）承诺</w:t>
            </w:r>
          </w:p>
          <w:p w14:paraId="00EF14C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□接受承诺，适用于所有投标人</w:t>
            </w:r>
          </w:p>
          <w:p w14:paraId="3D6BD804">
            <w:pPr>
              <w:rPr>
                <w:rFonts w:hint="eastAsia" w:ascii="宋体" w:hAnsi="宋体" w:cs="宋体"/>
                <w:color w:val="auto"/>
                <w:szCs w:val="21"/>
                <w:highlight w:val="none"/>
              </w:rPr>
            </w:pPr>
            <w:r>
              <w:rPr>
                <w:rFonts w:hint="eastAsia" w:ascii="宋体" w:hAnsi="宋体" w:cs="宋体"/>
                <w:color w:val="auto"/>
                <w:szCs w:val="21"/>
                <w:highlight w:val="none"/>
              </w:rPr>
              <w:t>□接受承诺，仅适用于在提交投标文件截止之时省住房和城乡建设主管部门最新公布的“湖南省建筑市场信用评价”结果为AAA级信用的投标人。</w:t>
            </w:r>
          </w:p>
          <w:p w14:paraId="085C338C">
            <w:pPr>
              <w:rPr>
                <w:rFonts w:hint="eastAsia" w:ascii="宋体" w:hAnsi="宋体" w:cs="宋体"/>
                <w:color w:val="auto"/>
                <w:szCs w:val="21"/>
                <w:highlight w:val="none"/>
              </w:rPr>
            </w:pPr>
            <w:r>
              <w:rPr>
                <w:rFonts w:hint="eastAsia" w:ascii="宋体" w:hAnsi="宋体" w:cs="宋体"/>
                <w:color w:val="auto"/>
                <w:szCs w:val="21"/>
                <w:highlight w:val="none"/>
              </w:rPr>
              <w:t>2. 现金和保函的担保金额（最高不超过50万元）：</w:t>
            </w:r>
            <w:bookmarkStart w:id="127" w:name="EB8dbbe7d69b6b40f7b85efbc9336ebc78"/>
            <w:bookmarkEnd w:id="127"/>
            <w:bookmarkStart w:id="128" w:name="EB46f4a30e3fdd47c3a21b177455f65d7d"/>
            <w:bookmarkEnd w:id="128"/>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90FC58C">
            <w:pPr>
              <w:rPr>
                <w:rFonts w:hint="eastAsia" w:ascii="宋体" w:hAnsi="宋体" w:cs="宋体"/>
                <w:color w:val="auto"/>
                <w:szCs w:val="21"/>
                <w:highlight w:val="none"/>
              </w:rPr>
            </w:pPr>
            <w:r>
              <w:rPr>
                <w:rFonts w:hint="eastAsia" w:ascii="宋体" w:hAnsi="宋体" w:cs="宋体"/>
                <w:color w:val="auto"/>
                <w:szCs w:val="21"/>
                <w:highlight w:val="none"/>
              </w:rPr>
              <w:t>3.提交方式：</w:t>
            </w:r>
          </w:p>
          <w:p w14:paraId="2782853F">
            <w:pPr>
              <w:rPr>
                <w:rFonts w:hint="eastAsia" w:ascii="宋体" w:hAnsi="宋体" w:cs="宋体"/>
                <w:color w:val="auto"/>
                <w:szCs w:val="21"/>
                <w:highlight w:val="none"/>
              </w:rPr>
            </w:pPr>
            <w:r>
              <w:rPr>
                <w:rFonts w:hint="eastAsia" w:ascii="宋体" w:hAnsi="宋体" w:cs="宋体"/>
                <w:color w:val="auto"/>
                <w:szCs w:val="21"/>
                <w:highlight w:val="none"/>
              </w:rPr>
              <w:t>（1）采用现金的，在投标截止时间前，由投标人通过其基本账户转账到达如下账户</w:t>
            </w:r>
          </w:p>
          <w:p w14:paraId="25B60B5E">
            <w:pPr>
              <w:rPr>
                <w:rFonts w:hint="eastAsia" w:ascii="宋体" w:hAnsi="宋体" w:cs="宋体"/>
                <w:color w:val="auto"/>
                <w:szCs w:val="21"/>
                <w:highlight w:val="none"/>
                <w:u w:val="single"/>
              </w:rPr>
            </w:pPr>
            <w:r>
              <w:rPr>
                <w:rFonts w:hint="eastAsia" w:ascii="宋体" w:hAnsi="宋体" w:cs="宋体"/>
                <w:color w:val="auto"/>
                <w:szCs w:val="21"/>
                <w:highlight w:val="none"/>
              </w:rPr>
              <w:t>户    名：</w:t>
            </w:r>
            <w:r>
              <w:rPr>
                <w:rFonts w:hint="eastAsia" w:ascii="宋体" w:hAnsi="宋体" w:cs="宋体"/>
                <w:color w:val="auto"/>
                <w:szCs w:val="21"/>
                <w:highlight w:val="none"/>
                <w:u w:val="single"/>
              </w:rPr>
              <w:t xml:space="preserve">          </w:t>
            </w:r>
          </w:p>
          <w:p w14:paraId="571F229B">
            <w:pPr>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6F70A1B4">
            <w:pPr>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p w14:paraId="4FF2C4D9">
            <w:pPr>
              <w:rPr>
                <w:rFonts w:hint="eastAsia" w:ascii="宋体" w:hAnsi="宋体" w:cs="宋体"/>
                <w:color w:val="auto"/>
                <w:szCs w:val="21"/>
                <w:highlight w:val="none"/>
              </w:rPr>
            </w:pPr>
            <w:r>
              <w:rPr>
                <w:rFonts w:hint="eastAsia" w:ascii="宋体" w:hAnsi="宋体" w:cs="宋体"/>
                <w:color w:val="auto"/>
                <w:szCs w:val="21"/>
                <w:highlight w:val="none"/>
              </w:rPr>
              <w:t>（2）采用保函的：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CDF84D">
            <w:pPr>
              <w:rPr>
                <w:rFonts w:hint="eastAsia" w:ascii="宋体" w:hAnsi="宋体" w:cs="宋体"/>
                <w:color w:val="auto"/>
                <w:szCs w:val="21"/>
                <w:highlight w:val="none"/>
              </w:rPr>
            </w:pPr>
            <w:r>
              <w:rPr>
                <w:rFonts w:hint="eastAsia" w:ascii="宋体" w:hAnsi="宋体" w:cs="宋体"/>
                <w:color w:val="auto"/>
                <w:szCs w:val="21"/>
                <w:highlight w:val="none"/>
              </w:rPr>
              <w:t>（3）采用承诺的，应符合招标文件第八章投标文件格式第一节“投标函及附录格式”规定。</w:t>
            </w:r>
          </w:p>
          <w:p w14:paraId="6C809821">
            <w:pPr>
              <w:rPr>
                <w:rFonts w:hint="eastAsia" w:ascii="宋体" w:hAnsi="宋体" w:cs="宋体"/>
                <w:color w:val="auto"/>
                <w:szCs w:val="21"/>
                <w:highlight w:val="none"/>
              </w:rPr>
            </w:pPr>
            <w:r>
              <w:rPr>
                <w:rFonts w:hint="eastAsia" w:ascii="宋体" w:hAnsi="宋体" w:cs="宋体"/>
                <w:color w:val="auto"/>
                <w:szCs w:val="21"/>
                <w:highlight w:val="none"/>
              </w:rPr>
              <w:t>4.联合体投标的，由牵头人递交。</w:t>
            </w:r>
          </w:p>
          <w:p w14:paraId="009EB8AF">
            <w:pPr>
              <w:rPr>
                <w:rFonts w:hint="eastAsia" w:ascii="宋体" w:hAnsi="宋体" w:cs="宋体"/>
                <w:color w:val="auto"/>
                <w:szCs w:val="21"/>
                <w:highlight w:val="none"/>
              </w:rPr>
            </w:pPr>
            <w:r>
              <w:rPr>
                <w:rFonts w:hint="eastAsia" w:ascii="宋体" w:hAnsi="宋体" w:cs="宋体"/>
                <w:color w:val="auto"/>
                <w:szCs w:val="21"/>
                <w:highlight w:val="none"/>
              </w:rPr>
              <w:t>5.投标担保应当在投标截止时间前提交，采用现金或保函形式提交的投标保证金到账情况，以项目开标时电子招标投标系统公示的保证金到账信息为准。</w:t>
            </w:r>
          </w:p>
          <w:p w14:paraId="41C497E8">
            <w:pPr>
              <w:rPr>
                <w:rFonts w:ascii="Calibri" w:hAnsi="Calibri" w:cs="Calibri"/>
                <w:color w:val="auto"/>
                <w:highlight w:val="none"/>
              </w:rPr>
            </w:pPr>
            <w:r>
              <w:rPr>
                <w:rFonts w:hint="eastAsia" w:ascii="宋体" w:hAnsi="宋体" w:cs="宋体"/>
                <w:color w:val="auto"/>
                <w:szCs w:val="21"/>
                <w:highlight w:val="none"/>
              </w:rPr>
              <w:t xml:space="preserve">6.其他要求：              </w:t>
            </w:r>
          </w:p>
        </w:tc>
      </w:tr>
      <w:tr w14:paraId="4BFB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6" w:type="dxa"/>
            <w:vAlign w:val="center"/>
          </w:tcPr>
          <w:p w14:paraId="6A0C5C27">
            <w:pPr>
              <w:jc w:val="center"/>
              <w:rPr>
                <w:rFonts w:ascii="Calibri" w:hAnsi="Calibri" w:cs="Calibri"/>
                <w:color w:val="auto"/>
                <w:szCs w:val="21"/>
                <w:highlight w:val="none"/>
              </w:rPr>
            </w:pPr>
            <w:r>
              <w:rPr>
                <w:rFonts w:hint="eastAsia" w:ascii="Calibri" w:hAnsi="Calibri" w:cs="Calibri"/>
                <w:color w:val="auto"/>
                <w:szCs w:val="21"/>
                <w:highlight w:val="none"/>
              </w:rPr>
              <w:t>3.6</w:t>
            </w:r>
          </w:p>
        </w:tc>
        <w:tc>
          <w:tcPr>
            <w:tcW w:w="2010" w:type="dxa"/>
            <w:gridSpan w:val="3"/>
            <w:vAlign w:val="center"/>
          </w:tcPr>
          <w:p w14:paraId="476EA47D">
            <w:pPr>
              <w:jc w:val="center"/>
              <w:rPr>
                <w:rFonts w:ascii="Calibri" w:hAnsi="Calibri" w:cs="Calibri"/>
                <w:color w:val="auto"/>
                <w:szCs w:val="21"/>
                <w:highlight w:val="none"/>
              </w:rPr>
            </w:pPr>
            <w:r>
              <w:rPr>
                <w:rFonts w:ascii="Calibri" w:hAnsi="Calibri" w:cs="Calibri"/>
                <w:color w:val="auto"/>
                <w:szCs w:val="21"/>
                <w:highlight w:val="none"/>
              </w:rPr>
              <w:t>是否允许递交备选投标方案</w:t>
            </w:r>
          </w:p>
        </w:tc>
        <w:tc>
          <w:tcPr>
            <w:tcW w:w="6462" w:type="dxa"/>
            <w:vAlign w:val="center"/>
          </w:tcPr>
          <w:p w14:paraId="16AFF3D9">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不允许</w:t>
            </w:r>
          </w:p>
          <w:p w14:paraId="4DE0C62E">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允许</w:t>
            </w:r>
          </w:p>
        </w:tc>
      </w:tr>
      <w:tr w14:paraId="5CF8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trPr>
        <w:tc>
          <w:tcPr>
            <w:tcW w:w="926" w:type="dxa"/>
            <w:vAlign w:val="center"/>
          </w:tcPr>
          <w:p w14:paraId="12E0319D">
            <w:pPr>
              <w:jc w:val="center"/>
              <w:rPr>
                <w:rFonts w:ascii="Calibri" w:hAnsi="Calibri" w:cs="Calibri"/>
                <w:color w:val="auto"/>
                <w:szCs w:val="21"/>
                <w:highlight w:val="none"/>
              </w:rPr>
            </w:pPr>
            <w:r>
              <w:rPr>
                <w:rFonts w:hint="eastAsia" w:ascii="Calibri" w:hAnsi="Calibri" w:cs="Calibri"/>
                <w:color w:val="auto"/>
                <w:szCs w:val="21"/>
                <w:highlight w:val="none"/>
              </w:rPr>
              <w:t>3.7.3</w:t>
            </w:r>
          </w:p>
        </w:tc>
        <w:tc>
          <w:tcPr>
            <w:tcW w:w="2010" w:type="dxa"/>
            <w:gridSpan w:val="3"/>
            <w:vAlign w:val="center"/>
          </w:tcPr>
          <w:p w14:paraId="1D363B34">
            <w:pPr>
              <w:jc w:val="center"/>
              <w:rPr>
                <w:rFonts w:ascii="Calibri" w:hAnsi="Calibri" w:cs="Calibri"/>
                <w:color w:val="auto"/>
                <w:szCs w:val="21"/>
                <w:highlight w:val="none"/>
              </w:rPr>
            </w:pPr>
            <w:r>
              <w:rPr>
                <w:rFonts w:ascii="Calibri" w:hAnsi="Calibri" w:cs="Calibri"/>
                <w:color w:val="auto"/>
                <w:szCs w:val="21"/>
                <w:highlight w:val="none"/>
              </w:rPr>
              <w:t>签字和（或）盖章要求</w:t>
            </w:r>
          </w:p>
        </w:tc>
        <w:tc>
          <w:tcPr>
            <w:tcW w:w="6462" w:type="dxa"/>
            <w:vAlign w:val="center"/>
          </w:tcPr>
          <w:p w14:paraId="59BB163C">
            <w:pPr>
              <w:spacing w:line="360" w:lineRule="auto"/>
              <w:rPr>
                <w:rFonts w:ascii="Calibri" w:hAnsi="Calibri" w:cs="Calibri"/>
                <w:color w:val="auto"/>
                <w:highlight w:val="none"/>
              </w:rPr>
            </w:pPr>
            <w:r>
              <w:rPr>
                <w:rFonts w:hint="eastAsia" w:ascii="Calibri" w:hAnsi="Calibri" w:cs="Calibri"/>
                <w:color w:val="auto"/>
                <w:highlight w:val="none"/>
              </w:rPr>
              <w:t>1.投标人须同时在投标文件封面加盖投标人电子公章（法人名称）、法定代表人签字或盖章、授权委托代理人（如委托）签字或盖章。以联合体形式投标的，投标文件封面须同时加盖联合体各方单位电子公章（法人名称）、法定代表人签字或盖章、授权委托代理人（如委托）签字或盖章。</w:t>
            </w:r>
          </w:p>
          <w:p w14:paraId="5CA0C49E">
            <w:pPr>
              <w:spacing w:line="360" w:lineRule="auto"/>
              <w:rPr>
                <w:rFonts w:ascii="Calibri" w:hAnsi="Calibri" w:cs="Calibri"/>
                <w:color w:val="auto"/>
                <w:szCs w:val="21"/>
                <w:highlight w:val="none"/>
              </w:rPr>
            </w:pPr>
            <w:r>
              <w:rPr>
                <w:rFonts w:hint="eastAsia" w:ascii="Calibri" w:hAnsi="Calibri" w:cs="Calibri"/>
                <w:color w:val="auto"/>
                <w:highlight w:val="none"/>
              </w:rPr>
              <w:t>2.投标人满足上述封面盖章要求的，招标文件中所有要求盖章或签字的地方均视为已按要求盖章或签字，包括投标函、授权委托书、法定代表人身份证明和联合体协议书等。评标委员会不得因封面以外未盖章否决投标。</w:t>
            </w:r>
          </w:p>
        </w:tc>
      </w:tr>
      <w:tr w14:paraId="7BB7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6" w:type="dxa"/>
            <w:vAlign w:val="center"/>
          </w:tcPr>
          <w:p w14:paraId="7CBE9AB9">
            <w:pPr>
              <w:jc w:val="center"/>
              <w:rPr>
                <w:rFonts w:ascii="Calibri" w:hAnsi="Calibri" w:cs="Calibri"/>
                <w:color w:val="auto"/>
                <w:szCs w:val="21"/>
                <w:highlight w:val="none"/>
              </w:rPr>
            </w:pPr>
            <w:r>
              <w:rPr>
                <w:rFonts w:hint="eastAsia" w:ascii="Calibri" w:hAnsi="Calibri" w:cs="Calibri"/>
                <w:color w:val="auto"/>
                <w:szCs w:val="21"/>
                <w:highlight w:val="none"/>
              </w:rPr>
              <w:t>4.1.1</w:t>
            </w:r>
          </w:p>
        </w:tc>
        <w:tc>
          <w:tcPr>
            <w:tcW w:w="2010" w:type="dxa"/>
            <w:gridSpan w:val="3"/>
            <w:vAlign w:val="center"/>
          </w:tcPr>
          <w:p w14:paraId="31A77FB0">
            <w:pPr>
              <w:jc w:val="center"/>
              <w:rPr>
                <w:rFonts w:ascii="Calibri" w:hAnsi="Calibri" w:cs="Calibri"/>
                <w:bCs/>
                <w:color w:val="auto"/>
                <w:szCs w:val="21"/>
                <w:highlight w:val="none"/>
              </w:rPr>
            </w:pPr>
            <w:r>
              <w:rPr>
                <w:rFonts w:ascii="Calibri" w:hAnsi="Calibri" w:cs="Calibri"/>
                <w:color w:val="auto"/>
                <w:szCs w:val="21"/>
                <w:highlight w:val="none"/>
              </w:rPr>
              <w:t>投标文件加密  要求</w:t>
            </w:r>
          </w:p>
        </w:tc>
        <w:tc>
          <w:tcPr>
            <w:tcW w:w="6462" w:type="dxa"/>
            <w:vAlign w:val="center"/>
          </w:tcPr>
          <w:p w14:paraId="5AE0AE60">
            <w:pPr>
              <w:rPr>
                <w:rFonts w:ascii="Calibri" w:hAnsi="Calibri" w:cs="Calibri"/>
                <w:bCs/>
                <w:color w:val="auto"/>
                <w:szCs w:val="21"/>
                <w:highlight w:val="none"/>
              </w:rPr>
            </w:pPr>
            <w:r>
              <w:rPr>
                <w:rFonts w:hint="eastAsia" w:ascii="宋体" w:hAnsi="宋体" w:cs="Calibri"/>
                <w:bCs/>
                <w:color w:val="auto"/>
                <w:szCs w:val="21"/>
                <w:highlight w:val="none"/>
              </w:rPr>
              <w:t>电子交易系统自动加密</w:t>
            </w:r>
          </w:p>
        </w:tc>
      </w:tr>
      <w:tr w14:paraId="57E2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26" w:type="dxa"/>
            <w:vAlign w:val="center"/>
          </w:tcPr>
          <w:p w14:paraId="0977AD6E">
            <w:pPr>
              <w:jc w:val="center"/>
              <w:rPr>
                <w:rFonts w:ascii="Calibri" w:hAnsi="Calibri" w:cs="Calibri"/>
                <w:color w:val="auto"/>
                <w:szCs w:val="21"/>
                <w:highlight w:val="none"/>
              </w:rPr>
            </w:pPr>
            <w:r>
              <w:rPr>
                <w:rFonts w:hint="eastAsia" w:ascii="Calibri" w:hAnsi="Calibri" w:cs="Calibri"/>
                <w:color w:val="auto"/>
                <w:szCs w:val="21"/>
                <w:highlight w:val="none"/>
              </w:rPr>
              <w:t>4.2.2</w:t>
            </w:r>
          </w:p>
        </w:tc>
        <w:tc>
          <w:tcPr>
            <w:tcW w:w="2010" w:type="dxa"/>
            <w:gridSpan w:val="3"/>
            <w:vAlign w:val="center"/>
          </w:tcPr>
          <w:p w14:paraId="6A613420">
            <w:pPr>
              <w:jc w:val="center"/>
              <w:rPr>
                <w:rFonts w:ascii="Calibri" w:hAnsi="Calibri" w:cs="Calibri"/>
                <w:color w:val="auto"/>
                <w:szCs w:val="21"/>
                <w:highlight w:val="none"/>
              </w:rPr>
            </w:pPr>
            <w:r>
              <w:rPr>
                <w:rFonts w:ascii="Calibri" w:hAnsi="Calibri" w:cs="Calibri"/>
                <w:color w:val="auto"/>
                <w:szCs w:val="21"/>
                <w:highlight w:val="none"/>
              </w:rPr>
              <w:t>递交投标文件</w:t>
            </w:r>
          </w:p>
          <w:p w14:paraId="61C917AB">
            <w:pPr>
              <w:jc w:val="center"/>
              <w:rPr>
                <w:rFonts w:ascii="Calibri" w:hAnsi="Calibri" w:cs="Calibri"/>
                <w:color w:val="auto"/>
                <w:szCs w:val="21"/>
                <w:highlight w:val="none"/>
              </w:rPr>
            </w:pPr>
            <w:r>
              <w:rPr>
                <w:rFonts w:ascii="Calibri" w:hAnsi="Calibri" w:cs="Calibri"/>
                <w:color w:val="auto"/>
                <w:szCs w:val="21"/>
                <w:highlight w:val="none"/>
              </w:rPr>
              <w:t>地点</w:t>
            </w:r>
          </w:p>
        </w:tc>
        <w:tc>
          <w:tcPr>
            <w:tcW w:w="6462" w:type="dxa"/>
            <w:vAlign w:val="center"/>
          </w:tcPr>
          <w:p w14:paraId="5701E741">
            <w:pPr>
              <w:snapToGrid w:val="0"/>
              <w:jc w:val="left"/>
              <w:rPr>
                <w:rFonts w:ascii="Calibri" w:hAnsi="Calibri" w:cs="Calibri"/>
                <w:color w:val="auto"/>
                <w:szCs w:val="21"/>
                <w:highlight w:val="none"/>
              </w:rPr>
            </w:pPr>
            <w:r>
              <w:rPr>
                <w:rFonts w:ascii="Calibri" w:hAnsi="Calibri" w:cs="Calibri"/>
                <w:color w:val="auto"/>
                <w:szCs w:val="21"/>
                <w:highlight w:val="none"/>
              </w:rPr>
              <w:t>电子投标文件递交至</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i/>
                <w:iCs/>
                <w:color w:val="auto"/>
                <w:highlight w:val="none"/>
                <w:u w:val="single"/>
              </w:rPr>
              <w:t>电子招标投标交易平台名称</w:t>
            </w:r>
            <w:r>
              <w:rPr>
                <w:rFonts w:hint="eastAsia" w:ascii="Calibri" w:hAnsi="Calibri" w:cs="Calibri"/>
                <w:color w:val="auto"/>
                <w:highlight w:val="none"/>
                <w:u w:val="single"/>
              </w:rPr>
              <w:t xml:space="preserve">   </w:t>
            </w:r>
            <w:r>
              <w:rPr>
                <w:rFonts w:ascii="Calibri" w:hAnsi="Calibri" w:cs="Calibri"/>
                <w:color w:val="auto"/>
                <w:szCs w:val="21"/>
                <w:highlight w:val="none"/>
                <w:u w:val="single"/>
              </w:rPr>
              <w:t xml:space="preserve"> </w:t>
            </w:r>
          </w:p>
        </w:tc>
      </w:tr>
      <w:tr w14:paraId="07C9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926" w:type="dxa"/>
            <w:vAlign w:val="center"/>
          </w:tcPr>
          <w:p w14:paraId="1CD69861">
            <w:pPr>
              <w:jc w:val="center"/>
              <w:rPr>
                <w:rFonts w:ascii="Calibri" w:hAnsi="Calibri" w:cs="Calibri"/>
                <w:color w:val="auto"/>
                <w:szCs w:val="21"/>
                <w:highlight w:val="none"/>
              </w:rPr>
            </w:pPr>
            <w:r>
              <w:rPr>
                <w:rFonts w:ascii="Calibri" w:hAnsi="Calibri" w:cs="Calibri"/>
                <w:color w:val="auto"/>
                <w:szCs w:val="21"/>
                <w:highlight w:val="none"/>
              </w:rPr>
              <w:t>5.</w:t>
            </w:r>
            <w:r>
              <w:rPr>
                <w:rFonts w:hint="eastAsia" w:ascii="Calibri" w:hAnsi="Calibri" w:cs="Calibri"/>
                <w:color w:val="auto"/>
                <w:szCs w:val="21"/>
                <w:highlight w:val="none"/>
              </w:rPr>
              <w:t>1</w:t>
            </w:r>
          </w:p>
        </w:tc>
        <w:tc>
          <w:tcPr>
            <w:tcW w:w="2010" w:type="dxa"/>
            <w:gridSpan w:val="3"/>
            <w:vAlign w:val="center"/>
          </w:tcPr>
          <w:p w14:paraId="1A975D61">
            <w:pPr>
              <w:jc w:val="center"/>
              <w:rPr>
                <w:rFonts w:ascii="Calibri" w:hAnsi="Calibri" w:cs="Calibri"/>
                <w:color w:val="auto"/>
                <w:szCs w:val="21"/>
                <w:highlight w:val="none"/>
              </w:rPr>
            </w:pPr>
            <w:r>
              <w:rPr>
                <w:rFonts w:ascii="Calibri" w:hAnsi="Calibri" w:cs="Calibri"/>
                <w:color w:val="auto"/>
                <w:szCs w:val="21"/>
                <w:highlight w:val="none"/>
              </w:rPr>
              <w:t>开标时间和地点</w:t>
            </w:r>
          </w:p>
        </w:tc>
        <w:tc>
          <w:tcPr>
            <w:tcW w:w="6462" w:type="dxa"/>
            <w:vAlign w:val="center"/>
          </w:tcPr>
          <w:p w14:paraId="02CFBB9F">
            <w:pPr>
              <w:rPr>
                <w:rFonts w:ascii="Calibri" w:hAnsi="Calibri" w:cs="Calibri"/>
                <w:color w:val="auto"/>
                <w:szCs w:val="21"/>
                <w:highlight w:val="none"/>
                <w:u w:val="single"/>
              </w:rPr>
            </w:pPr>
            <w:r>
              <w:rPr>
                <w:rFonts w:ascii="Calibri" w:hAnsi="Calibri" w:cs="Calibri"/>
                <w:color w:val="auto"/>
                <w:szCs w:val="21"/>
                <w:highlight w:val="none"/>
              </w:rPr>
              <w:t>开标时间：同投标截止时间</w:t>
            </w:r>
          </w:p>
          <w:p w14:paraId="505EA0C1">
            <w:pPr>
              <w:rPr>
                <w:rFonts w:ascii="Calibri" w:hAnsi="Calibri" w:cs="Calibri"/>
                <w:color w:val="auto"/>
                <w:szCs w:val="21"/>
                <w:highlight w:val="none"/>
              </w:rPr>
            </w:pPr>
            <w:r>
              <w:rPr>
                <w:rFonts w:ascii="Calibri" w:hAnsi="Calibri" w:cs="Calibri"/>
                <w:color w:val="auto"/>
                <w:szCs w:val="21"/>
                <w:highlight w:val="none"/>
              </w:rPr>
              <w:t>开标地点：</w:t>
            </w:r>
            <w:r>
              <w:rPr>
                <w:rFonts w:hint="eastAsia" w:ascii="Calibri" w:hAnsi="Calibri" w:cs="Calibri"/>
                <w:color w:val="auto"/>
                <w:szCs w:val="21"/>
                <w:highlight w:val="none"/>
              </w:rPr>
              <w:t xml:space="preserve"> </w:t>
            </w:r>
            <w:r>
              <w:rPr>
                <w:rFonts w:hint="eastAsia" w:ascii="Calibri" w:hAnsi="Calibri" w:cs="Calibri"/>
                <w:i/>
                <w:iCs/>
                <w:color w:val="auto"/>
                <w:highlight w:val="none"/>
                <w:u w:val="single"/>
              </w:rPr>
              <w:t>电子招标投标交易平台名称</w:t>
            </w:r>
            <w:r>
              <w:rPr>
                <w:rFonts w:hint="eastAsia" w:ascii="Calibri" w:hAnsi="Calibri" w:cs="Calibri"/>
                <w:color w:val="auto"/>
                <w:szCs w:val="21"/>
                <w:highlight w:val="none"/>
                <w:u w:val="single"/>
              </w:rPr>
              <w:t xml:space="preserve">   </w:t>
            </w:r>
            <w:r>
              <w:rPr>
                <w:rFonts w:ascii="Calibri" w:hAnsi="Calibri" w:cs="Calibri"/>
                <w:color w:val="auto"/>
                <w:szCs w:val="21"/>
                <w:highlight w:val="none"/>
              </w:rPr>
              <w:t>举行，所有投标人应准时在线参加开标。</w:t>
            </w:r>
            <w:r>
              <w:rPr>
                <w:rFonts w:hint="eastAsia" w:ascii="Calibri" w:hAnsi="Calibri" w:cs="Calibri"/>
                <w:color w:val="auto"/>
                <w:szCs w:val="21"/>
                <w:highlight w:val="none"/>
              </w:rPr>
              <w:t>同时在</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i/>
                <w:iCs/>
                <w:color w:val="auto"/>
                <w:szCs w:val="21"/>
                <w:highlight w:val="none"/>
                <w:u w:val="single"/>
              </w:rPr>
              <w:t>公共资源交易中心名称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设立</w:t>
            </w:r>
            <w:r>
              <w:rPr>
                <w:rFonts w:ascii="Calibri" w:hAnsi="Calibri" w:cs="Calibri"/>
                <w:color w:val="auto"/>
                <w:szCs w:val="21"/>
                <w:highlight w:val="none"/>
              </w:rPr>
              <w:t>开标会场</w:t>
            </w:r>
            <w:r>
              <w:rPr>
                <w:rFonts w:hint="eastAsia" w:ascii="Calibri" w:hAnsi="Calibri" w:cs="Calibri"/>
                <w:color w:val="auto"/>
                <w:szCs w:val="21"/>
                <w:highlight w:val="none"/>
              </w:rPr>
              <w:t>。</w:t>
            </w:r>
          </w:p>
        </w:tc>
      </w:tr>
      <w:tr w14:paraId="38EE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26" w:type="dxa"/>
            <w:vAlign w:val="center"/>
          </w:tcPr>
          <w:p w14:paraId="23DF92C5">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5.2.1</w:t>
            </w:r>
          </w:p>
        </w:tc>
        <w:tc>
          <w:tcPr>
            <w:tcW w:w="2010" w:type="dxa"/>
            <w:gridSpan w:val="3"/>
            <w:vAlign w:val="center"/>
          </w:tcPr>
          <w:p w14:paraId="131CE9C7">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电子投标文件解密</w:t>
            </w:r>
          </w:p>
        </w:tc>
        <w:tc>
          <w:tcPr>
            <w:tcW w:w="6462" w:type="dxa"/>
            <w:vAlign w:val="center"/>
          </w:tcPr>
          <w:p w14:paraId="1FC750D9">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投标人使用生成投标文件的</w:t>
            </w:r>
            <w:r>
              <w:rPr>
                <w:rFonts w:hint="eastAsia" w:ascii="宋体" w:hAnsi="宋体" w:eastAsia="Arial" w:cs="Arial"/>
                <w:snapToGrid w:val="0"/>
                <w:color w:val="auto"/>
                <w:kern w:val="0"/>
                <w:szCs w:val="21"/>
                <w:highlight w:val="none"/>
              </w:rPr>
              <w:t>CA数字证书解密</w:t>
            </w:r>
          </w:p>
        </w:tc>
      </w:tr>
      <w:tr w14:paraId="11F3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926" w:type="dxa"/>
            <w:vAlign w:val="center"/>
          </w:tcPr>
          <w:p w14:paraId="4053C89C">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5.2.2</w:t>
            </w:r>
          </w:p>
        </w:tc>
        <w:tc>
          <w:tcPr>
            <w:tcW w:w="2010" w:type="dxa"/>
            <w:gridSpan w:val="3"/>
            <w:vAlign w:val="center"/>
          </w:tcPr>
          <w:p w14:paraId="761DC838">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解密时限</w:t>
            </w:r>
          </w:p>
        </w:tc>
        <w:tc>
          <w:tcPr>
            <w:tcW w:w="6462" w:type="dxa"/>
            <w:vAlign w:val="center"/>
          </w:tcPr>
          <w:p w14:paraId="6BD0835F">
            <w:pPr>
              <w:widowControl/>
              <w:kinsoku w:val="0"/>
              <w:autoSpaceDE w:val="0"/>
              <w:autoSpaceDN w:val="0"/>
              <w:spacing w:line="360" w:lineRule="auto"/>
              <w:jc w:val="left"/>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rPr>
              <w:t>从投标截止时间起_</w:t>
            </w:r>
            <w:r>
              <w:rPr>
                <w:rFonts w:hint="eastAsia" w:ascii="宋体" w:hAnsi="宋体"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_分钟内完成，</w:t>
            </w:r>
            <w:r>
              <w:rPr>
                <w:rFonts w:ascii="Arial" w:hAnsi="Arial" w:eastAsia="Arial" w:cs="Arial"/>
                <w:snapToGrid w:val="0"/>
                <w:color w:val="auto"/>
                <w:kern w:val="0"/>
                <w:szCs w:val="21"/>
                <w:highlight w:val="none"/>
              </w:rPr>
              <w:t>因投标人原因造成投标文件未解密的，视为撤销其投标文件；因投标人之外的原因造成投标文件未解密的，视为撤回其投标文件。部分投标文件未解密的，其他投标文件开标继续进行。</w:t>
            </w:r>
            <w:r>
              <w:rPr>
                <w:rFonts w:hint="eastAsia" w:ascii="宋体" w:hAnsi="宋体" w:eastAsia="Arial" w:cs="Arial"/>
                <w:snapToGrid w:val="0"/>
                <w:color w:val="auto"/>
                <w:kern w:val="0"/>
                <w:szCs w:val="21"/>
                <w:highlight w:val="none"/>
                <w:lang w:eastAsia="en-US"/>
              </w:rPr>
              <w:t>（如在开标现场解密的请自备解密电脑）。</w:t>
            </w:r>
          </w:p>
        </w:tc>
      </w:tr>
      <w:tr w14:paraId="2074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6" w:type="dxa"/>
            <w:vAlign w:val="center"/>
          </w:tcPr>
          <w:p w14:paraId="055F2022">
            <w:pPr>
              <w:jc w:val="center"/>
              <w:rPr>
                <w:rFonts w:ascii="Calibri" w:hAnsi="Calibri" w:cs="Calibri"/>
                <w:color w:val="auto"/>
                <w:szCs w:val="21"/>
                <w:highlight w:val="none"/>
              </w:rPr>
            </w:pPr>
            <w:r>
              <w:rPr>
                <w:rFonts w:hint="eastAsia" w:ascii="Calibri" w:hAnsi="Calibri" w:cs="Calibri"/>
                <w:color w:val="auto"/>
                <w:szCs w:val="21"/>
                <w:highlight w:val="none"/>
              </w:rPr>
              <w:t>6.1.1</w:t>
            </w:r>
          </w:p>
        </w:tc>
        <w:tc>
          <w:tcPr>
            <w:tcW w:w="2010" w:type="dxa"/>
            <w:gridSpan w:val="3"/>
            <w:vAlign w:val="center"/>
          </w:tcPr>
          <w:p w14:paraId="5ED2C258">
            <w:pPr>
              <w:jc w:val="center"/>
              <w:rPr>
                <w:rFonts w:ascii="Calibri" w:hAnsi="Calibri" w:cs="Calibri"/>
                <w:color w:val="auto"/>
                <w:szCs w:val="21"/>
                <w:highlight w:val="none"/>
              </w:rPr>
            </w:pPr>
            <w:r>
              <w:rPr>
                <w:rFonts w:ascii="Calibri" w:hAnsi="Calibri" w:cs="Calibri"/>
                <w:color w:val="auto"/>
                <w:szCs w:val="21"/>
                <w:highlight w:val="none"/>
              </w:rPr>
              <w:t>评标委员会的      组建</w:t>
            </w:r>
          </w:p>
        </w:tc>
        <w:tc>
          <w:tcPr>
            <w:tcW w:w="6462" w:type="dxa"/>
            <w:vAlign w:val="center"/>
          </w:tcPr>
          <w:p w14:paraId="538E4FD9">
            <w:pPr>
              <w:rPr>
                <w:rFonts w:ascii="Calibri" w:hAnsi="Calibri" w:cs="Calibri"/>
                <w:color w:val="auto"/>
                <w:szCs w:val="21"/>
                <w:highlight w:val="none"/>
              </w:rPr>
            </w:pPr>
            <w:r>
              <w:rPr>
                <w:rFonts w:ascii="Calibri" w:hAnsi="Calibri" w:cs="Calibri"/>
                <w:color w:val="auto"/>
                <w:szCs w:val="21"/>
                <w:highlight w:val="none"/>
              </w:rPr>
              <w:t>评标委员会</w:t>
            </w:r>
            <w:r>
              <w:rPr>
                <w:rFonts w:hint="eastAsia" w:ascii="Calibri" w:hAnsi="Calibri" w:cs="Calibri"/>
                <w:color w:val="auto"/>
                <w:szCs w:val="21"/>
                <w:highlight w:val="none"/>
              </w:rPr>
              <w:t>成员</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color w:val="auto"/>
                <w:szCs w:val="21"/>
                <w:highlight w:val="none"/>
              </w:rPr>
              <w:t>人</w:t>
            </w:r>
            <w:r>
              <w:rPr>
                <w:rFonts w:hint="eastAsia" w:ascii="Calibri" w:hAnsi="Calibri" w:cs="Calibri"/>
                <w:color w:val="auto"/>
                <w:szCs w:val="21"/>
                <w:highlight w:val="none"/>
              </w:rPr>
              <w:t>或以上单数</w:t>
            </w:r>
            <w:r>
              <w:rPr>
                <w:rFonts w:ascii="Calibri" w:hAnsi="Calibri" w:cs="Calibri"/>
                <w:color w:val="auto"/>
                <w:szCs w:val="21"/>
                <w:highlight w:val="none"/>
              </w:rPr>
              <w:t>，其中：招标人代表</w:t>
            </w:r>
            <w:r>
              <w:rPr>
                <w:rFonts w:ascii="Calibri" w:hAnsi="Calibri" w:cs="Calibri"/>
                <w:color w:val="auto"/>
                <w:szCs w:val="21"/>
                <w:highlight w:val="none"/>
                <w:u w:val="single"/>
              </w:rPr>
              <w:t xml:space="preserve">   </w:t>
            </w:r>
            <w:r>
              <w:rPr>
                <w:rFonts w:ascii="Calibri" w:hAnsi="Calibri" w:cs="Calibri"/>
                <w:color w:val="auto"/>
                <w:szCs w:val="21"/>
                <w:highlight w:val="none"/>
              </w:rPr>
              <w:t>人</w:t>
            </w:r>
            <w:r>
              <w:rPr>
                <w:rFonts w:hint="eastAsia" w:ascii="Calibri" w:hAnsi="Calibri" w:cs="Calibri"/>
                <w:color w:val="auto"/>
                <w:szCs w:val="21"/>
                <w:highlight w:val="none"/>
              </w:rPr>
              <w:t>。</w:t>
            </w:r>
          </w:p>
          <w:p w14:paraId="00F6C23E">
            <w:pPr>
              <w:rPr>
                <w:rFonts w:ascii="Calibri" w:hAnsi="Calibri" w:cs="Calibri"/>
                <w:color w:val="auto"/>
                <w:szCs w:val="21"/>
                <w:highlight w:val="none"/>
              </w:rPr>
            </w:pPr>
            <w:r>
              <w:rPr>
                <w:rFonts w:hint="eastAsia" w:ascii="Calibri" w:hAnsi="Calibri" w:cs="Calibri"/>
                <w:color w:val="auto"/>
                <w:szCs w:val="21"/>
                <w:highlight w:val="none"/>
              </w:rPr>
              <w:t>评标专家确定方式：</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p>
        </w:tc>
      </w:tr>
      <w:tr w14:paraId="40BD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26" w:type="dxa"/>
            <w:vAlign w:val="center"/>
          </w:tcPr>
          <w:p w14:paraId="53B34EF1">
            <w:pPr>
              <w:jc w:val="center"/>
              <w:rPr>
                <w:rFonts w:ascii="Calibri" w:hAnsi="Calibri" w:cs="Calibri"/>
                <w:color w:val="auto"/>
                <w:szCs w:val="21"/>
                <w:highlight w:val="none"/>
              </w:rPr>
            </w:pPr>
            <w:r>
              <w:rPr>
                <w:rFonts w:hint="eastAsia" w:ascii="Calibri" w:hAnsi="Calibri" w:cs="Calibri"/>
                <w:color w:val="auto"/>
                <w:szCs w:val="21"/>
                <w:highlight w:val="none"/>
              </w:rPr>
              <w:t>6.4</w:t>
            </w:r>
          </w:p>
        </w:tc>
        <w:tc>
          <w:tcPr>
            <w:tcW w:w="2010" w:type="dxa"/>
            <w:gridSpan w:val="3"/>
            <w:vAlign w:val="center"/>
          </w:tcPr>
          <w:p w14:paraId="6C6B9D9E">
            <w:pPr>
              <w:jc w:val="center"/>
              <w:rPr>
                <w:rFonts w:ascii="Calibri" w:hAnsi="Calibri" w:cs="Calibri"/>
                <w:color w:val="auto"/>
                <w:szCs w:val="21"/>
                <w:highlight w:val="none"/>
              </w:rPr>
            </w:pPr>
            <w:r>
              <w:rPr>
                <w:rFonts w:hint="eastAsia" w:ascii="宋体" w:hAnsi="宋体" w:cs="Arial"/>
                <w:snapToGrid w:val="0"/>
                <w:color w:val="auto"/>
                <w:kern w:val="0"/>
                <w:szCs w:val="21"/>
                <w:highlight w:val="none"/>
              </w:rPr>
              <w:t>商务部分</w:t>
            </w:r>
            <w:r>
              <w:rPr>
                <w:rFonts w:hint="eastAsia" w:ascii="宋体" w:hAnsi="宋体" w:eastAsia="Arial" w:cs="Arial"/>
                <w:snapToGrid w:val="0"/>
                <w:color w:val="auto"/>
                <w:kern w:val="0"/>
                <w:szCs w:val="21"/>
                <w:highlight w:val="none"/>
              </w:rPr>
              <w:t>评审的业绩</w:t>
            </w:r>
            <w:r>
              <w:rPr>
                <w:rFonts w:hint="eastAsia" w:ascii="宋体" w:hAnsi="宋体" w:cs="Arial"/>
                <w:snapToGrid w:val="0"/>
                <w:color w:val="auto"/>
                <w:kern w:val="0"/>
                <w:szCs w:val="21"/>
                <w:highlight w:val="none"/>
              </w:rPr>
              <w:t>、</w:t>
            </w:r>
            <w:r>
              <w:rPr>
                <w:rFonts w:hint="eastAsia" w:ascii="宋体" w:hAnsi="宋体" w:eastAsia="Arial" w:cs="Arial"/>
                <w:snapToGrid w:val="0"/>
                <w:color w:val="auto"/>
                <w:kern w:val="0"/>
                <w:szCs w:val="21"/>
                <w:highlight w:val="none"/>
              </w:rPr>
              <w:t>奖项规定</w:t>
            </w:r>
            <w:r>
              <w:rPr>
                <w:rFonts w:hint="eastAsia" w:ascii="宋体" w:hAnsi="宋体" w:cs="Arial"/>
                <w:snapToGrid w:val="0"/>
                <w:color w:val="auto"/>
                <w:kern w:val="0"/>
                <w:szCs w:val="21"/>
                <w:highlight w:val="none"/>
              </w:rPr>
              <w:t>（含资格要求业绩）</w:t>
            </w:r>
          </w:p>
        </w:tc>
        <w:tc>
          <w:tcPr>
            <w:tcW w:w="6462" w:type="dxa"/>
            <w:vAlign w:val="center"/>
          </w:tcPr>
          <w:p w14:paraId="696FB12F">
            <w:pPr>
              <w:spacing w:line="360" w:lineRule="auto"/>
              <w:rPr>
                <w:rFonts w:ascii="Calibri" w:hAnsi="Calibri" w:cs="Calibri"/>
                <w:b/>
                <w:bCs/>
                <w:color w:val="auto"/>
                <w:szCs w:val="21"/>
                <w:highlight w:val="none"/>
              </w:rPr>
            </w:pPr>
            <w:r>
              <w:rPr>
                <w:rFonts w:ascii="Calibri" w:hAnsi="Calibri" w:cs="Calibri"/>
                <w:b/>
                <w:bCs/>
                <w:color w:val="auto"/>
                <w:szCs w:val="21"/>
                <w:highlight w:val="none"/>
              </w:rPr>
              <w:t>1.资格</w:t>
            </w:r>
            <w:r>
              <w:rPr>
                <w:rFonts w:hint="eastAsia" w:ascii="Calibri" w:hAnsi="Calibri" w:cs="Calibri"/>
                <w:b/>
                <w:bCs/>
                <w:color w:val="auto"/>
                <w:szCs w:val="21"/>
                <w:highlight w:val="none"/>
              </w:rPr>
              <w:t>要求的类似工程业绩</w:t>
            </w:r>
            <w:r>
              <w:rPr>
                <w:rFonts w:ascii="Calibri" w:hAnsi="Calibri" w:cs="Calibri"/>
                <w:b/>
                <w:bCs/>
                <w:color w:val="auto"/>
                <w:szCs w:val="21"/>
                <w:highlight w:val="none"/>
              </w:rPr>
              <w:t>：</w:t>
            </w:r>
          </w:p>
          <w:p w14:paraId="686676BE">
            <w:pPr>
              <w:spacing w:line="360" w:lineRule="auto"/>
              <w:rPr>
                <w:rFonts w:ascii="Calibri" w:hAnsi="Calibri" w:cs="Calibri"/>
                <w:color w:val="auto"/>
                <w:szCs w:val="21"/>
                <w:highlight w:val="none"/>
              </w:rPr>
            </w:pPr>
            <w:r>
              <w:rPr>
                <w:rFonts w:hint="eastAsia" w:ascii="Calibri" w:hAnsi="Calibri" w:cs="Calibri"/>
                <w:color w:val="auto"/>
                <w:szCs w:val="21"/>
                <w:highlight w:val="none"/>
              </w:rPr>
              <w:t>1.1投标人类似工程业绩：</w:t>
            </w:r>
          </w:p>
          <w:p w14:paraId="2AC7E9EC">
            <w:pPr>
              <w:spacing w:line="360" w:lineRule="auto"/>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不要求类似工程业绩</w:t>
            </w:r>
          </w:p>
          <w:p w14:paraId="3E54CED1">
            <w:pPr>
              <w:spacing w:line="360" w:lineRule="auto"/>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要求投标截止时间前</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rPr>
              <w:t>招标人选择的业绩牵引指标项+      规模+工程内容（或工程类别） 的</w:t>
            </w:r>
            <w:r>
              <w:rPr>
                <w:rFonts w:hint="eastAsia"/>
                <w:color w:val="auto"/>
                <w:szCs w:val="21"/>
                <w:highlight w:val="none"/>
              </w:rPr>
              <w:t>施工业绩。</w:t>
            </w:r>
          </w:p>
          <w:p w14:paraId="133CA8ED">
            <w:pPr>
              <w:spacing w:line="360" w:lineRule="auto"/>
              <w:rPr>
                <w:color w:val="auto"/>
                <w:szCs w:val="21"/>
                <w:highlight w:val="none"/>
              </w:rPr>
            </w:pPr>
            <w:r>
              <w:rPr>
                <w:rFonts w:hint="eastAsia"/>
                <w:color w:val="auto"/>
                <w:szCs w:val="21"/>
                <w:highlight w:val="none"/>
              </w:rPr>
              <w:t>（类似工程业绩牵引指标规模不高于招标项目选择指标或最高投标限价的50%，年限要求一般为近3年，轨道交通项目可放宽至5年。）</w:t>
            </w:r>
          </w:p>
          <w:p w14:paraId="1A6144F7">
            <w:pPr>
              <w:spacing w:line="360" w:lineRule="auto"/>
              <w:rPr>
                <w:rFonts w:ascii="Calibri" w:hAnsi="Calibri" w:cs="Calibri"/>
                <w:color w:val="auto"/>
                <w:szCs w:val="21"/>
                <w:highlight w:val="none"/>
              </w:rPr>
            </w:pPr>
            <w:r>
              <w:rPr>
                <w:rFonts w:hint="eastAsia" w:ascii="Calibri" w:hAnsi="Calibri" w:cs="Calibri"/>
                <w:color w:val="auto"/>
                <w:szCs w:val="21"/>
                <w:highlight w:val="none"/>
              </w:rPr>
              <w:t>1.2拟任项目经理类似工程业绩：</w:t>
            </w:r>
          </w:p>
          <w:p w14:paraId="117F657C">
            <w:pPr>
              <w:spacing w:line="360" w:lineRule="auto"/>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不要求类似工程业绩</w:t>
            </w:r>
          </w:p>
          <w:p w14:paraId="0B0F2D32">
            <w:pPr>
              <w:spacing w:line="360" w:lineRule="auto"/>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要求投标截止时间前</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rPr>
              <w:t>招标人选择的业绩牵引指标项+      规模+工程内容（或工程类别） 的</w:t>
            </w:r>
            <w:r>
              <w:rPr>
                <w:rFonts w:hint="eastAsia"/>
                <w:color w:val="auto"/>
                <w:szCs w:val="21"/>
                <w:highlight w:val="none"/>
              </w:rPr>
              <w:t>施工业绩。（类似工程业绩牵引指标规模不高于招标项目选择指标或最高投标限价的50%，年限要求一般为近3年，轨道交通项目可放宽至5年。）</w:t>
            </w:r>
          </w:p>
          <w:p w14:paraId="16D52A48">
            <w:pPr>
              <w:spacing w:line="360" w:lineRule="auto"/>
              <w:rPr>
                <w:rFonts w:ascii="Calibri" w:hAnsi="Calibri" w:cs="Calibri"/>
                <w:b/>
                <w:bCs/>
                <w:color w:val="auto"/>
                <w:szCs w:val="21"/>
                <w:highlight w:val="none"/>
              </w:rPr>
            </w:pPr>
            <w:r>
              <w:rPr>
                <w:rFonts w:ascii="Calibri" w:hAnsi="Calibri" w:cs="Calibri"/>
                <w:b/>
                <w:bCs/>
                <w:color w:val="auto"/>
                <w:szCs w:val="21"/>
                <w:highlight w:val="none"/>
              </w:rPr>
              <w:t>2.</w:t>
            </w:r>
            <w:r>
              <w:rPr>
                <w:rFonts w:hint="eastAsia" w:ascii="Calibri" w:hAnsi="Calibri" w:cs="Calibri"/>
                <w:b/>
                <w:bCs/>
                <w:color w:val="auto"/>
                <w:szCs w:val="21"/>
                <w:highlight w:val="none"/>
              </w:rPr>
              <w:t>评审加分</w:t>
            </w:r>
            <w:r>
              <w:rPr>
                <w:rFonts w:ascii="Calibri" w:hAnsi="Calibri" w:cs="Calibri"/>
                <w:b/>
                <w:bCs/>
                <w:color w:val="auto"/>
                <w:szCs w:val="21"/>
                <w:highlight w:val="none"/>
              </w:rPr>
              <w:t>要求的类似工程业绩</w:t>
            </w:r>
          </w:p>
          <w:p w14:paraId="3A0A1353">
            <w:pPr>
              <w:spacing w:line="360" w:lineRule="auto"/>
              <w:rPr>
                <w:rFonts w:ascii="Calibri" w:hAnsi="Calibri" w:cs="Calibri"/>
                <w:color w:val="auto"/>
                <w:szCs w:val="21"/>
                <w:highlight w:val="none"/>
              </w:rPr>
            </w:pPr>
            <w:r>
              <w:rPr>
                <w:rFonts w:hint="eastAsia" w:ascii="Calibri" w:hAnsi="Calibri" w:cs="Calibri"/>
                <w:color w:val="auto"/>
                <w:szCs w:val="21"/>
                <w:highlight w:val="none"/>
              </w:rPr>
              <w:t xml:space="preserve">2.1投标人类似工程业绩个数：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 xml:space="preserve">个  </w:t>
            </w:r>
            <w:r>
              <w:rPr>
                <w:rFonts w:ascii="Calibri" w:hAnsi="Calibri" w:cs="Calibri"/>
                <w:color w:val="auto"/>
                <w:szCs w:val="21"/>
                <w:highlight w:val="none"/>
              </w:rPr>
              <w:sym w:font="Wingdings 2" w:char="00A3"/>
            </w:r>
            <w:r>
              <w:rPr>
                <w:rFonts w:hint="eastAsia" w:ascii="Calibri" w:hAnsi="Calibri" w:cs="Calibri"/>
                <w:color w:val="auto"/>
                <w:szCs w:val="21"/>
                <w:highlight w:val="none"/>
              </w:rPr>
              <w:t>3个；要求</w:t>
            </w:r>
            <w:r>
              <w:rPr>
                <w:rFonts w:hint="eastAsia" w:ascii="宋体" w:hAnsi="宋体" w:cs="宋体"/>
                <w:color w:val="auto"/>
                <w:szCs w:val="21"/>
                <w:highlight w:val="none"/>
              </w:rPr>
              <w:t>投标截止时间前</w:t>
            </w:r>
            <w:r>
              <w:rPr>
                <w:rFonts w:hint="eastAsia" w:ascii="Calibri" w:hAnsi="Calibri" w:cs="Calibri"/>
                <w:color w:val="auto"/>
                <w:szCs w:val="21"/>
                <w:highlight w:val="none"/>
              </w:rPr>
              <w:t>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w:t>
            </w:r>
            <w:r>
              <w:rPr>
                <w:rFonts w:hint="eastAsia"/>
                <w:color w:val="auto"/>
                <w:szCs w:val="21"/>
                <w:highlight w:val="none"/>
              </w:rPr>
              <w:t>内完成过</w:t>
            </w:r>
            <w:r>
              <w:rPr>
                <w:color w:val="auto"/>
                <w:szCs w:val="21"/>
                <w:highlight w:val="none"/>
                <w:u w:val="single"/>
              </w:rPr>
              <w:t xml:space="preserve"> </w:t>
            </w:r>
            <w:r>
              <w:rPr>
                <w:rFonts w:hint="eastAsia"/>
                <w:color w:val="auto"/>
                <w:szCs w:val="21"/>
                <w:highlight w:val="none"/>
                <w:u w:val="single"/>
              </w:rPr>
              <w:t>招标人选择的业绩牵引指标项+规模+工程内容（或工程类别） 的</w:t>
            </w:r>
            <w:r>
              <w:rPr>
                <w:rFonts w:hint="eastAsia"/>
                <w:color w:val="auto"/>
                <w:szCs w:val="21"/>
                <w:highlight w:val="none"/>
              </w:rPr>
              <w:t>施工业绩</w:t>
            </w:r>
            <w:r>
              <w:rPr>
                <w:rFonts w:hint="eastAsia" w:ascii="Calibri" w:hAnsi="Calibri" w:cs="Calibri"/>
                <w:color w:val="auto"/>
                <w:szCs w:val="21"/>
                <w:highlight w:val="none"/>
              </w:rPr>
              <w:t>（类似工程业绩</w:t>
            </w:r>
            <w:r>
              <w:rPr>
                <w:rFonts w:hint="eastAsia"/>
                <w:color w:val="auto"/>
                <w:szCs w:val="21"/>
                <w:highlight w:val="none"/>
              </w:rPr>
              <w:t>年限要求一般为近3年，轨道交通项目可放宽至5年。</w:t>
            </w:r>
            <w:r>
              <w:rPr>
                <w:rFonts w:hint="eastAsia" w:ascii="Calibri" w:hAnsi="Calibri" w:cs="Calibri"/>
                <w:color w:val="auto"/>
                <w:szCs w:val="21"/>
                <w:highlight w:val="none"/>
              </w:rPr>
              <w:t>）</w:t>
            </w:r>
          </w:p>
          <w:p w14:paraId="49FBF7FA">
            <w:pPr>
              <w:spacing w:line="360" w:lineRule="auto"/>
              <w:rPr>
                <w:rFonts w:ascii="Calibri" w:hAnsi="Calibri" w:cs="Calibri"/>
                <w:color w:val="auto"/>
                <w:szCs w:val="21"/>
                <w:highlight w:val="none"/>
              </w:rPr>
            </w:pPr>
            <w:r>
              <w:rPr>
                <w:rFonts w:ascii="Calibri" w:hAnsi="Calibri" w:cs="Calibri"/>
                <w:color w:val="auto"/>
                <w:szCs w:val="21"/>
                <w:highlight w:val="none"/>
              </w:rPr>
              <w:t>第一个评审加分业绩的</w:t>
            </w:r>
            <w:r>
              <w:rPr>
                <w:rFonts w:hint="eastAsia" w:ascii="Calibri" w:hAnsi="Calibri" w:cs="Calibri"/>
                <w:color w:val="auto"/>
                <w:szCs w:val="21"/>
                <w:highlight w:val="none"/>
              </w:rPr>
              <w:t>规模系数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（规模系数不高于50%）</w:t>
            </w:r>
            <w:r>
              <w:rPr>
                <w:rFonts w:ascii="Calibri" w:hAnsi="Calibri" w:cs="Calibri"/>
                <w:color w:val="auto"/>
                <w:szCs w:val="21"/>
                <w:highlight w:val="none"/>
              </w:rPr>
              <w:t>；第二个</w:t>
            </w:r>
            <w:r>
              <w:rPr>
                <w:rFonts w:hint="eastAsia" w:ascii="Calibri" w:hAnsi="Calibri" w:cs="Calibri"/>
                <w:color w:val="auto"/>
                <w:szCs w:val="21"/>
                <w:highlight w:val="none"/>
              </w:rPr>
              <w:t>、</w:t>
            </w:r>
            <w:r>
              <w:rPr>
                <w:rFonts w:ascii="Calibri" w:hAnsi="Calibri" w:cs="Calibri"/>
                <w:color w:val="auto"/>
                <w:szCs w:val="21"/>
                <w:highlight w:val="none"/>
              </w:rPr>
              <w:t>第三个评审加分业绩的</w:t>
            </w:r>
            <w:r>
              <w:rPr>
                <w:rFonts w:hint="eastAsia" w:ascii="Calibri" w:hAnsi="Calibri" w:cs="Calibri"/>
                <w:color w:val="auto"/>
                <w:szCs w:val="21"/>
                <w:highlight w:val="none"/>
              </w:rPr>
              <w:t>规模系数</w:t>
            </w:r>
            <w:r>
              <w:rPr>
                <w:rFonts w:ascii="Calibri" w:hAnsi="Calibri" w:cs="Calibri"/>
                <w:color w:val="auto"/>
                <w:szCs w:val="21"/>
                <w:highlight w:val="none"/>
              </w:rPr>
              <w:t>为</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ascii="Calibri" w:hAnsi="Calibri" w:cs="Calibri"/>
                <w:color w:val="auto"/>
                <w:szCs w:val="21"/>
                <w:highlight w:val="none"/>
              </w:rPr>
              <w:t xml:space="preserve"> 。</w:t>
            </w:r>
            <w:r>
              <w:rPr>
                <w:rFonts w:hint="eastAsia" w:ascii="Calibri" w:hAnsi="Calibri" w:cs="Calibri"/>
                <w:color w:val="auto"/>
                <w:szCs w:val="21"/>
                <w:highlight w:val="none"/>
              </w:rPr>
              <w:t xml:space="preserve"> </w:t>
            </w:r>
          </w:p>
          <w:p w14:paraId="0BA13881">
            <w:pPr>
              <w:spacing w:line="360" w:lineRule="auto"/>
              <w:rPr>
                <w:rFonts w:ascii="Calibri" w:hAnsi="Calibri" w:cs="Calibri"/>
                <w:color w:val="auto"/>
                <w:szCs w:val="21"/>
                <w:highlight w:val="none"/>
              </w:rPr>
            </w:pPr>
            <w:r>
              <w:rPr>
                <w:rFonts w:ascii="Calibri" w:hAnsi="Calibri" w:cs="Calibri"/>
                <w:color w:val="auto"/>
                <w:szCs w:val="21"/>
                <w:highlight w:val="none"/>
              </w:rPr>
              <w:t>注：</w:t>
            </w:r>
          </w:p>
          <w:p w14:paraId="18178A4F">
            <w:pPr>
              <w:spacing w:line="360" w:lineRule="auto"/>
              <w:rPr>
                <w:rFonts w:ascii="Calibri" w:hAnsi="Calibri" w:cs="Calibri"/>
                <w:b/>
                <w:bCs/>
                <w:color w:val="auto"/>
                <w:szCs w:val="21"/>
                <w:highlight w:val="none"/>
              </w:rPr>
            </w:pPr>
            <w:r>
              <w:rPr>
                <w:rFonts w:ascii="Calibri" w:hAnsi="Calibri" w:cs="Calibri"/>
                <w:color w:val="auto"/>
                <w:szCs w:val="21"/>
                <w:highlight w:val="none"/>
              </w:rPr>
              <w:t>（1）第二个、第三个评审加分业绩的</w:t>
            </w:r>
            <w:r>
              <w:rPr>
                <w:rFonts w:hint="eastAsia" w:ascii="Calibri" w:hAnsi="Calibri" w:cs="Calibri"/>
                <w:color w:val="auto"/>
                <w:szCs w:val="21"/>
                <w:highlight w:val="none"/>
              </w:rPr>
              <w:t>规模系数</w:t>
            </w:r>
            <w:r>
              <w:rPr>
                <w:rFonts w:ascii="Calibri" w:hAnsi="Calibri" w:cs="Calibri"/>
                <w:color w:val="auto"/>
                <w:szCs w:val="21"/>
                <w:highlight w:val="none"/>
              </w:rPr>
              <w:t>范围为60%-80%</w:t>
            </w:r>
            <w:r>
              <w:rPr>
                <w:rFonts w:hint="eastAsia" w:ascii="Calibri" w:hAnsi="Calibri" w:cs="Calibri"/>
                <w:b/>
                <w:bCs/>
                <w:color w:val="auto"/>
                <w:szCs w:val="21"/>
                <w:highlight w:val="none"/>
              </w:rPr>
              <w:t>,</w:t>
            </w:r>
            <w:r>
              <w:rPr>
                <w:rFonts w:hint="eastAsia" w:ascii="Calibri" w:hAnsi="Calibri" w:cs="Calibri"/>
                <w:color w:val="auto"/>
                <w:szCs w:val="21"/>
                <w:highlight w:val="none"/>
              </w:rPr>
              <w:t>具体规模系数由招标人根据项目情况在招标文件中进行明确。</w:t>
            </w:r>
          </w:p>
          <w:p w14:paraId="04706053">
            <w:pPr>
              <w:spacing w:line="360" w:lineRule="auto"/>
              <w:rPr>
                <w:rFonts w:ascii="Calibri" w:hAnsi="Calibri" w:cs="Calibri"/>
                <w:color w:val="auto"/>
                <w:szCs w:val="21"/>
                <w:highlight w:val="none"/>
              </w:rPr>
            </w:pPr>
            <w:r>
              <w:rPr>
                <w:rFonts w:ascii="Calibri" w:hAnsi="Calibri" w:cs="Calibri"/>
                <w:color w:val="auto"/>
                <w:szCs w:val="21"/>
                <w:highlight w:val="none"/>
              </w:rPr>
              <w:t>（2）加分业绩依次按：</w:t>
            </w:r>
          </w:p>
          <w:p w14:paraId="5AA60C62">
            <w:pPr>
              <w:spacing w:line="360" w:lineRule="auto"/>
              <w:rPr>
                <w:rFonts w:ascii="Calibri" w:hAnsi="Calibri" w:cs="Calibri"/>
                <w:color w:val="auto"/>
                <w:szCs w:val="21"/>
                <w:highlight w:val="none"/>
              </w:rPr>
            </w:pPr>
            <w:r>
              <w:rPr>
                <w:rFonts w:ascii="Calibri" w:hAnsi="Calibri" w:cs="Calibri"/>
                <w:color w:val="auto"/>
                <w:szCs w:val="21"/>
                <w:highlight w:val="none"/>
              </w:rPr>
              <w:t>①招标人设置3个加分业绩时：第一个加分业绩得分权重</w:t>
            </w:r>
            <w:r>
              <w:rPr>
                <w:rFonts w:ascii="Calibri" w:hAnsi="Calibri" w:cs="Calibri"/>
                <w:color w:val="auto"/>
                <w:szCs w:val="21"/>
                <w:highlight w:val="none"/>
                <w:u w:val="single"/>
              </w:rPr>
              <w:t xml:space="preserve">  50%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30%</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第三个加分业绩权重</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20%  </w:t>
            </w:r>
            <w:r>
              <w:rPr>
                <w:rFonts w:ascii="Calibri" w:hAnsi="Calibri" w:cs="Calibri"/>
                <w:color w:val="auto"/>
                <w:szCs w:val="21"/>
                <w:highlight w:val="none"/>
              </w:rPr>
              <w:t>。</w:t>
            </w:r>
          </w:p>
          <w:p w14:paraId="1341793D">
            <w:pPr>
              <w:spacing w:line="360" w:lineRule="auto"/>
              <w:rPr>
                <w:rFonts w:ascii="Calibri" w:hAnsi="Calibri" w:cs="Calibri"/>
                <w:color w:val="auto"/>
                <w:szCs w:val="21"/>
                <w:highlight w:val="none"/>
              </w:rPr>
            </w:pPr>
            <w:r>
              <w:rPr>
                <w:rFonts w:ascii="Calibri" w:hAnsi="Calibri" w:cs="Calibri"/>
                <w:color w:val="auto"/>
                <w:szCs w:val="21"/>
                <w:highlight w:val="none"/>
              </w:rPr>
              <w:t>②招标人设置2个加分业绩时：第一个加分业绩得分权重</w:t>
            </w:r>
            <w:r>
              <w:rPr>
                <w:rFonts w:ascii="Calibri" w:hAnsi="Calibri" w:cs="Calibri"/>
                <w:color w:val="auto"/>
                <w:szCs w:val="21"/>
                <w:highlight w:val="none"/>
                <w:u w:val="single"/>
              </w:rPr>
              <w:t xml:space="preserve">  60%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40% </w:t>
            </w:r>
            <w:r>
              <w:rPr>
                <w:rFonts w:ascii="Calibri" w:hAnsi="Calibri" w:cs="Calibri"/>
                <w:color w:val="auto"/>
                <w:szCs w:val="21"/>
                <w:highlight w:val="none"/>
              </w:rPr>
              <w:t>。</w:t>
            </w:r>
          </w:p>
          <w:p w14:paraId="649C69B3">
            <w:pPr>
              <w:spacing w:line="360" w:lineRule="auto"/>
              <w:rPr>
                <w:rFonts w:ascii="Calibri" w:hAnsi="Calibri" w:cs="Calibri"/>
                <w:color w:val="auto"/>
                <w:szCs w:val="21"/>
                <w:highlight w:val="none"/>
              </w:rPr>
            </w:pPr>
            <w:r>
              <w:rPr>
                <w:rFonts w:ascii="Calibri" w:hAnsi="Calibri" w:cs="Calibri"/>
                <w:color w:val="auto"/>
                <w:szCs w:val="21"/>
                <w:highlight w:val="none"/>
              </w:rPr>
              <w:t>③招标人设置1个加分业绩时：加分业绩得分权重</w:t>
            </w:r>
            <w:r>
              <w:rPr>
                <w:rFonts w:ascii="Calibri" w:hAnsi="Calibri" w:cs="Calibri"/>
                <w:color w:val="auto"/>
                <w:szCs w:val="21"/>
                <w:highlight w:val="none"/>
                <w:u w:val="single"/>
              </w:rPr>
              <w:t xml:space="preserve">  100% </w:t>
            </w:r>
            <w:r>
              <w:rPr>
                <w:rFonts w:hint="eastAsia" w:ascii="Calibri" w:hAnsi="Calibri" w:cs="Calibri"/>
                <w:color w:val="auto"/>
                <w:szCs w:val="21"/>
                <w:highlight w:val="none"/>
                <w:u w:val="single"/>
              </w:rPr>
              <w:t xml:space="preserve"> </w:t>
            </w:r>
            <w:r>
              <w:rPr>
                <w:rFonts w:ascii="Calibri" w:hAnsi="Calibri" w:cs="Calibri"/>
                <w:color w:val="auto"/>
                <w:szCs w:val="21"/>
                <w:highlight w:val="none"/>
              </w:rPr>
              <w:t>。</w:t>
            </w:r>
          </w:p>
          <w:p w14:paraId="33D02A4B">
            <w:pPr>
              <w:spacing w:line="360" w:lineRule="auto"/>
              <w:rPr>
                <w:rFonts w:ascii="Calibri" w:hAnsi="Calibri" w:cs="Calibri"/>
                <w:color w:val="auto"/>
                <w:szCs w:val="21"/>
                <w:highlight w:val="none"/>
              </w:rPr>
            </w:pPr>
            <w:r>
              <w:rPr>
                <w:rFonts w:ascii="Calibri" w:hAnsi="Calibri" w:cs="Calibri"/>
                <w:color w:val="auto"/>
                <w:szCs w:val="21"/>
                <w:highlight w:val="none"/>
              </w:rPr>
              <w:t>（3）以联合体形式进行投标的，其第一、第二个评审加分业绩的认定须以联合体牵头人具备的业绩为准，第三个评审加分业绩可以是联合体成员的。</w:t>
            </w:r>
          </w:p>
          <w:p w14:paraId="6FF79A4B">
            <w:pPr>
              <w:spacing w:line="360" w:lineRule="auto"/>
              <w:rPr>
                <w:rFonts w:ascii="Calibri" w:hAnsi="Calibri" w:cs="Calibri"/>
                <w:color w:val="auto"/>
                <w:szCs w:val="21"/>
                <w:highlight w:val="none"/>
              </w:rPr>
            </w:pPr>
            <w:r>
              <w:rPr>
                <w:rFonts w:hint="eastAsia" w:ascii="Calibri" w:hAnsi="Calibri" w:cs="Calibri"/>
                <w:color w:val="auto"/>
                <w:szCs w:val="21"/>
                <w:highlight w:val="none"/>
              </w:rPr>
              <w:t>2.2拟任项目经理类似工程业绩个数：</w:t>
            </w:r>
            <w:r>
              <w:rPr>
                <w:rFonts w:ascii="Calibri" w:hAnsi="Calibri" w:cs="Calibri"/>
                <w:color w:val="auto"/>
                <w:szCs w:val="21"/>
                <w:highlight w:val="none"/>
              </w:rPr>
              <w:sym w:font="Wingdings 2" w:char="00A3"/>
            </w:r>
            <w:r>
              <w:rPr>
                <w:rFonts w:ascii="Calibri" w:hAnsi="Calibri" w:cs="Calibri"/>
                <w:color w:val="auto"/>
                <w:szCs w:val="21"/>
                <w:highlight w:val="none"/>
              </w:rPr>
              <w:t>0</w:t>
            </w:r>
            <w:r>
              <w:rPr>
                <w:rFonts w:hint="eastAsia" w:ascii="Calibri" w:hAnsi="Calibri" w:cs="Calibri"/>
                <w:color w:val="auto"/>
                <w:szCs w:val="21"/>
                <w:highlight w:val="none"/>
              </w:rPr>
              <w:t xml:space="preserve">个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hint="eastAsia"/>
                <w:color w:val="auto"/>
                <w:highlight w:val="none"/>
              </w:rPr>
              <w:t xml:space="preserve"> </w:t>
            </w:r>
            <w:r>
              <w:rPr>
                <w:rFonts w:hint="eastAsia" w:ascii="Calibri" w:hAnsi="Calibri" w:cs="Calibri"/>
                <w:color w:val="auto"/>
                <w:szCs w:val="21"/>
                <w:highlight w:val="none"/>
              </w:rPr>
              <w:t>。</w:t>
            </w:r>
          </w:p>
          <w:p w14:paraId="1DDCB37A">
            <w:pPr>
              <w:spacing w:line="360" w:lineRule="auto"/>
              <w:rPr>
                <w:rFonts w:ascii="Calibri" w:hAnsi="Calibri" w:cs="Calibri"/>
                <w:color w:val="auto"/>
                <w:szCs w:val="21"/>
                <w:highlight w:val="none"/>
              </w:rPr>
            </w:pPr>
            <w:r>
              <w:rPr>
                <w:rFonts w:hint="eastAsia" w:ascii="Calibri" w:hAnsi="Calibri" w:cs="Calibri"/>
                <w:color w:val="auto"/>
                <w:szCs w:val="21"/>
                <w:highlight w:val="none"/>
              </w:rPr>
              <w:t>要求</w:t>
            </w:r>
            <w:r>
              <w:rPr>
                <w:rFonts w:hint="eastAsia" w:ascii="宋体" w:hAnsi="宋体" w:cs="宋体"/>
                <w:color w:val="auto"/>
                <w:szCs w:val="21"/>
                <w:highlight w:val="none"/>
              </w:rPr>
              <w:t>投标截止时间前</w:t>
            </w:r>
            <w:r>
              <w:rPr>
                <w:rFonts w:hint="eastAsia" w:ascii="Calibri" w:hAnsi="Calibri" w:cs="Calibri"/>
                <w:color w:val="auto"/>
                <w:szCs w:val="21"/>
                <w:highlight w:val="none"/>
              </w:rPr>
              <w:t>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w:t>
            </w:r>
            <w:r>
              <w:rPr>
                <w:rFonts w:hint="eastAsia"/>
                <w:color w:val="auto"/>
                <w:szCs w:val="21"/>
                <w:highlight w:val="none"/>
              </w:rPr>
              <w:t>内完成过</w:t>
            </w:r>
            <w:r>
              <w:rPr>
                <w:color w:val="auto"/>
                <w:szCs w:val="21"/>
                <w:highlight w:val="none"/>
                <w:u w:val="single"/>
              </w:rPr>
              <w:t xml:space="preserve"> </w:t>
            </w:r>
            <w:r>
              <w:rPr>
                <w:rFonts w:hint="eastAsia"/>
                <w:color w:val="auto"/>
                <w:szCs w:val="21"/>
                <w:highlight w:val="none"/>
                <w:u w:val="single"/>
              </w:rPr>
              <w:t>招标人选择的业绩牵引指标项+规模+工程内容（或工程类别） 的</w:t>
            </w:r>
            <w:r>
              <w:rPr>
                <w:rFonts w:hint="eastAsia"/>
                <w:color w:val="auto"/>
                <w:szCs w:val="21"/>
                <w:highlight w:val="none"/>
              </w:rPr>
              <w:t>施工业绩</w:t>
            </w:r>
            <w:r>
              <w:rPr>
                <w:rFonts w:hint="eastAsia" w:ascii="Calibri" w:hAnsi="Calibri" w:cs="Calibri"/>
                <w:color w:val="auto"/>
                <w:szCs w:val="21"/>
                <w:highlight w:val="none"/>
              </w:rPr>
              <w:t>。（类似工程业绩</w:t>
            </w:r>
            <w:r>
              <w:rPr>
                <w:rFonts w:hint="eastAsia"/>
                <w:color w:val="auto"/>
                <w:szCs w:val="21"/>
                <w:highlight w:val="none"/>
              </w:rPr>
              <w:t>年限要求一般为近3年，轨道交通项目可放宽至5年。</w:t>
            </w:r>
            <w:r>
              <w:rPr>
                <w:rFonts w:hint="eastAsia" w:ascii="Calibri" w:hAnsi="Calibri" w:cs="Calibri"/>
                <w:color w:val="auto"/>
                <w:szCs w:val="21"/>
                <w:highlight w:val="none"/>
              </w:rPr>
              <w:t>）</w:t>
            </w:r>
          </w:p>
          <w:p w14:paraId="74FBA2CF">
            <w:pPr>
              <w:spacing w:line="360" w:lineRule="auto"/>
              <w:rPr>
                <w:color w:val="auto"/>
                <w:szCs w:val="21"/>
                <w:highlight w:val="none"/>
              </w:rPr>
            </w:pPr>
            <w:r>
              <w:rPr>
                <w:rFonts w:hint="eastAsia" w:ascii="Calibri" w:hAnsi="Calibri" w:cs="Calibri"/>
                <w:color w:val="auto"/>
                <w:szCs w:val="21"/>
                <w:highlight w:val="none"/>
              </w:rPr>
              <w:t>拟任项目经理</w:t>
            </w:r>
            <w:r>
              <w:rPr>
                <w:rFonts w:ascii="Calibri" w:hAnsi="Calibri" w:cs="Calibri"/>
                <w:color w:val="auto"/>
                <w:szCs w:val="21"/>
                <w:highlight w:val="none"/>
              </w:rPr>
              <w:t>评审加分业绩的</w:t>
            </w:r>
            <w:r>
              <w:rPr>
                <w:rFonts w:hint="eastAsia" w:ascii="Calibri" w:hAnsi="Calibri" w:cs="Calibri"/>
                <w:color w:val="auto"/>
                <w:szCs w:val="21"/>
                <w:highlight w:val="none"/>
              </w:rPr>
              <w:t>规模系数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w:t>
            </w:r>
            <w:r>
              <w:rPr>
                <w:rFonts w:hint="eastAsia"/>
                <w:color w:val="auto"/>
                <w:szCs w:val="21"/>
                <w:highlight w:val="none"/>
              </w:rPr>
              <w:t>不高于招标项目选择指标或最高投标限价的50%）。</w:t>
            </w:r>
          </w:p>
          <w:p w14:paraId="5367DB51">
            <w:pPr>
              <w:spacing w:line="360" w:lineRule="auto"/>
              <w:rPr>
                <w:rFonts w:ascii="Calibri" w:hAnsi="Calibri" w:cs="Calibri"/>
                <w:b/>
                <w:bCs/>
                <w:color w:val="auto"/>
                <w:highlight w:val="none"/>
              </w:rPr>
            </w:pPr>
            <w:r>
              <w:rPr>
                <w:rFonts w:hint="eastAsia"/>
                <w:b/>
                <w:bCs/>
                <w:color w:val="auto"/>
                <w:szCs w:val="21"/>
                <w:highlight w:val="none"/>
              </w:rPr>
              <w:t>注：</w:t>
            </w:r>
            <w:r>
              <w:rPr>
                <w:rFonts w:hint="eastAsia" w:ascii="Calibri" w:hAnsi="Calibri" w:cs="Calibri"/>
                <w:b/>
                <w:bCs/>
                <w:color w:val="auto"/>
                <w:szCs w:val="21"/>
                <w:highlight w:val="none"/>
              </w:rPr>
              <w:t>类似工程业绩的考核要求：</w:t>
            </w:r>
          </w:p>
          <w:p w14:paraId="2C3D921C">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ascii="Calibri" w:hAnsi="Calibri" w:cs="Calibri"/>
                <w:bCs/>
                <w:color w:val="auto"/>
                <w:highlight w:val="none"/>
              </w:rPr>
            </w:pPr>
            <w:r>
              <w:rPr>
                <w:rFonts w:hint="eastAsia"/>
                <w:color w:val="auto"/>
                <w:szCs w:val="21"/>
                <w:highlight w:val="none"/>
              </w:rPr>
              <w:t>有行业数据库（含交易系统生成的业绩库）可比对核查的，由交易系统比对交工验收或竣工验收时间、与牵引指标项相符的工程类别、工程规模要求以及涉项目负责人（项目经理）信息等四项关键内容，对其他信息不作评判，评标委员会仅对上述四项关键内容进行复核确认。没有数据库可比对的，以交工验收或竣工验收文件（证书）中载明的项目信息及内容为评审依据，评标委员会仅对投标人提交的相关证明材料﹝例如中标通知书，工程合同，交工验收或竣工验收文件（证书），招标文件规定的行业数据库查询到的企业、人员业绩信息相关项目网页截图等﹞中的前述四项关键内容进行符合性形式要件审查。投标人应将前述四项关键内容在相关证明材料上进行显著标记，评标委员会在评审环节和招标代理机构复核环节不对投标人提交资料的真实性负责</w:t>
            </w:r>
            <w:r>
              <w:rPr>
                <w:rFonts w:hint="eastAsia"/>
                <w:color w:val="auto"/>
                <w:szCs w:val="21"/>
                <w:highlight w:val="none"/>
                <w:lang w:eastAsia="zh-CN"/>
              </w:rPr>
              <w:t>。</w:t>
            </w:r>
            <w:r>
              <w:rPr>
                <w:rFonts w:hint="eastAsia" w:ascii="Calibri" w:hAnsi="Calibri" w:cs="Calibri"/>
                <w:bCs/>
                <w:color w:val="auto"/>
                <w:highlight w:val="none"/>
              </w:rPr>
              <w:t>业绩在投标文件中的列序由投标人按照自身最优原则进行排列。</w:t>
            </w:r>
          </w:p>
          <w:p w14:paraId="25BA6E21">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color w:val="auto"/>
                <w:szCs w:val="21"/>
                <w:highlight w:val="none"/>
                <w:u w:val="single"/>
                <w:lang w:val="en-US" w:eastAsia="zh-CN"/>
              </w:rPr>
            </w:pPr>
            <w:r>
              <w:rPr>
                <w:rFonts w:hint="eastAsia"/>
                <w:color w:val="auto"/>
                <w:szCs w:val="21"/>
                <w:highlight w:val="none"/>
                <w:lang w:val="en-US" w:eastAsia="zh-CN"/>
              </w:rPr>
              <w:t>（2）招标人可参考下述原则，对本招标项目类似业绩考核要求及必要佐证资料进行明确，具体如下：</w:t>
            </w:r>
            <w:r>
              <w:rPr>
                <w:rFonts w:hint="eastAsia"/>
                <w:color w:val="auto"/>
                <w:szCs w:val="21"/>
                <w:highlight w:val="none"/>
                <w:u w:val="single"/>
                <w:lang w:val="en-US" w:eastAsia="zh-CN"/>
              </w:rPr>
              <w:t xml:space="preserve">                           </w:t>
            </w:r>
            <w:r>
              <w:rPr>
                <w:rFonts w:hint="eastAsia"/>
                <w:color w:val="auto"/>
                <w:szCs w:val="21"/>
                <w:highlight w:val="none"/>
                <w:u w:val="none"/>
                <w:lang w:val="en-US" w:eastAsia="zh-CN"/>
              </w:rPr>
              <w:t>。</w:t>
            </w:r>
          </w:p>
          <w:p w14:paraId="4298AE1A">
            <w:pPr>
              <w:keepNext w:val="0"/>
              <w:keepLines w:val="0"/>
              <w:pageBreakBefore w:val="0"/>
              <w:widowControl w:val="0"/>
              <w:kinsoku/>
              <w:wordWrap/>
              <w:overflowPunct/>
              <w:topLinePunct w:val="0"/>
              <w:autoSpaceDE/>
              <w:autoSpaceDN/>
              <w:bidi w:val="0"/>
              <w:adjustRightInd/>
              <w:snapToGrid/>
              <w:spacing w:after="0" w:line="400" w:lineRule="exact"/>
              <w:textAlignment w:val="auto"/>
              <w:rPr>
                <w:color w:val="auto"/>
                <w:szCs w:val="21"/>
                <w:highlight w:val="none"/>
              </w:rPr>
            </w:pPr>
            <w:r>
              <w:rPr>
                <w:rFonts w:hint="eastAsia"/>
                <w:color w:val="auto"/>
                <w:szCs w:val="21"/>
                <w:highlight w:val="none"/>
                <w:lang w:val="en-US" w:eastAsia="zh-CN"/>
              </w:rPr>
              <w:t>注（参考原则）</w:t>
            </w:r>
            <w:r>
              <w:rPr>
                <w:rFonts w:hint="eastAsia"/>
                <w:color w:val="auto"/>
                <w:szCs w:val="21"/>
                <w:highlight w:val="none"/>
              </w:rPr>
              <w:t>：</w:t>
            </w:r>
          </w:p>
          <w:p w14:paraId="45CF7364">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olor w:val="auto"/>
                <w:szCs w:val="21"/>
                <w:highlight w:val="none"/>
                <w:lang w:val="en-US" w:eastAsia="zh-CN"/>
              </w:rPr>
            </w:pPr>
            <w:r>
              <w:rPr>
                <w:rFonts w:hint="eastAsia"/>
                <w:color w:val="auto"/>
                <w:szCs w:val="21"/>
                <w:highlight w:val="none"/>
                <w:lang w:val="en-US" w:eastAsia="zh-CN"/>
              </w:rPr>
              <w:t>a、</w:t>
            </w:r>
            <w:r>
              <w:rPr>
                <w:rFonts w:hint="eastAsia" w:ascii="Calibri" w:hAnsi="Calibri" w:cs="Calibri"/>
                <w:color w:val="auto"/>
                <w:szCs w:val="21"/>
                <w:highlight w:val="none"/>
                <w:lang w:val="en-US" w:eastAsia="zh-CN"/>
              </w:rPr>
              <w:t>业绩佐证资料包括</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交工验收或竣工验收文件（证书）复印件</w:t>
            </w:r>
            <w:r>
              <w:rPr>
                <w:rFonts w:hint="eastAsia" w:ascii="Calibri" w:hAnsi="Calibri" w:cs="Calibri"/>
                <w:color w:val="auto"/>
                <w:szCs w:val="21"/>
                <w:highlight w:val="none"/>
                <w:lang w:eastAsia="zh-CN"/>
              </w:rPr>
              <w:t>、类似业绩相关</w:t>
            </w:r>
            <w:r>
              <w:rPr>
                <w:rFonts w:hint="eastAsia" w:ascii="Calibri" w:hAnsi="Calibri" w:cs="Calibri"/>
                <w:color w:val="auto"/>
                <w:szCs w:val="21"/>
                <w:highlight w:val="none"/>
              </w:rPr>
              <w:t>网页截图</w:t>
            </w:r>
            <w:r>
              <w:rPr>
                <w:rFonts w:hint="eastAsia" w:ascii="Calibri" w:hAnsi="Calibri" w:cs="Calibri"/>
                <w:color w:val="auto"/>
                <w:szCs w:val="21"/>
                <w:highlight w:val="none"/>
                <w:lang w:val="en-US" w:eastAsia="zh-CN"/>
              </w:rPr>
              <w:t>等招标人明确的其他资料</w:t>
            </w:r>
            <w:r>
              <w:rPr>
                <w:rFonts w:hint="eastAsia" w:ascii="Calibri" w:hAnsi="Calibri" w:cs="Calibri"/>
                <w:color w:val="auto"/>
                <w:szCs w:val="21"/>
                <w:highlight w:val="none"/>
                <w:lang w:eastAsia="zh-CN"/>
              </w:rPr>
              <w:t>。</w:t>
            </w:r>
          </w:p>
          <w:p w14:paraId="13315226">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color w:val="auto"/>
                <w:szCs w:val="21"/>
                <w:highlight w:val="none"/>
                <w:lang w:val="en-US" w:eastAsia="zh-CN"/>
              </w:rPr>
            </w:pPr>
            <w:r>
              <w:rPr>
                <w:rFonts w:hint="eastAsia"/>
                <w:color w:val="auto"/>
                <w:szCs w:val="21"/>
                <w:highlight w:val="none"/>
                <w:lang w:val="en-US" w:eastAsia="zh-CN"/>
              </w:rPr>
              <w:t>b、</w:t>
            </w:r>
            <w:r>
              <w:rPr>
                <w:rFonts w:hint="eastAsia"/>
                <w:color w:val="auto"/>
                <w:szCs w:val="21"/>
                <w:highlight w:val="none"/>
              </w:rPr>
              <w:t>交工验收或竣工验收文件（证书）是指竣工验收备案表（经建设工程质量监督部门签字</w:t>
            </w:r>
            <w:r>
              <w:rPr>
                <w:rFonts w:hint="eastAsia"/>
                <w:color w:val="auto"/>
                <w:szCs w:val="21"/>
                <w:highlight w:val="none"/>
                <w:lang w:val="en-US" w:eastAsia="zh-CN"/>
              </w:rPr>
              <w:t>或盖章</w:t>
            </w:r>
            <w:r>
              <w:rPr>
                <w:rFonts w:hint="eastAsia"/>
                <w:color w:val="auto"/>
                <w:szCs w:val="21"/>
                <w:highlight w:val="none"/>
              </w:rPr>
              <w:t>）。</w:t>
            </w:r>
            <w:r>
              <w:rPr>
                <w:rFonts w:hint="eastAsia"/>
                <w:color w:val="auto"/>
                <w:szCs w:val="21"/>
                <w:highlight w:val="none"/>
                <w:lang w:eastAsia="zh-CN"/>
              </w:rPr>
              <w:t>相关网页截图是指</w:t>
            </w:r>
            <w:r>
              <w:rPr>
                <w:rFonts w:hint="eastAsia"/>
                <w:color w:val="auto"/>
                <w:szCs w:val="21"/>
                <w:highlight w:val="none"/>
              </w:rPr>
              <w:t>“全国建筑市场监管公共服务平台”或者“</w:t>
            </w:r>
            <w:r>
              <w:rPr>
                <w:rFonts w:hint="eastAsia"/>
                <w:color w:val="auto"/>
                <w:szCs w:val="21"/>
                <w:highlight w:val="none"/>
                <w:lang w:eastAsia="zh-CN"/>
              </w:rPr>
              <w:t>省级建设行政主管部门监管服务平台</w:t>
            </w:r>
            <w:r>
              <w:rPr>
                <w:rFonts w:hint="eastAsia"/>
                <w:color w:val="auto"/>
                <w:szCs w:val="21"/>
                <w:highlight w:val="none"/>
              </w:rPr>
              <w:t>”上查询到</w:t>
            </w:r>
            <w:r>
              <w:rPr>
                <w:rFonts w:hint="eastAsia" w:ascii="Times New Roman" w:hAnsi="Times New Roman" w:eastAsia="宋体" w:cs="Times New Roman"/>
                <w:color w:val="auto"/>
                <w:sz w:val="21"/>
                <w:highlight w:val="none"/>
              </w:rPr>
              <w:t>体现其作为</w:t>
            </w:r>
            <w:r>
              <w:rPr>
                <w:rFonts w:hint="eastAsia" w:ascii="Times New Roman" w:hAnsi="Times New Roman" w:eastAsia="宋体" w:cs="Times New Roman"/>
                <w:color w:val="auto"/>
                <w:sz w:val="21"/>
                <w:highlight w:val="none"/>
                <w:lang w:val="en-US" w:eastAsia="zh-CN"/>
              </w:rPr>
              <w:t>相应</w:t>
            </w:r>
            <w:r>
              <w:rPr>
                <w:rFonts w:hint="eastAsia" w:ascii="Times New Roman" w:hAnsi="Times New Roman" w:eastAsia="宋体" w:cs="Times New Roman"/>
                <w:color w:val="auto"/>
                <w:sz w:val="21"/>
                <w:highlight w:val="none"/>
              </w:rPr>
              <w:t>承包人</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项目经理</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的网页截图</w:t>
            </w:r>
            <w:r>
              <w:rPr>
                <w:rFonts w:hint="eastAsia"/>
                <w:color w:val="auto"/>
                <w:szCs w:val="21"/>
                <w:highlight w:val="none"/>
                <w:lang w:eastAsia="zh-CN"/>
              </w:rPr>
              <w:t>，湖南省建设行政主管部门监管服务平台是指</w:t>
            </w:r>
            <w:r>
              <w:rPr>
                <w:rFonts w:hint="eastAsia"/>
                <w:color w:val="auto"/>
                <w:szCs w:val="21"/>
                <w:highlight w:val="none"/>
              </w:rPr>
              <w:t>湖南省数字城建档案馆丨智慧住建云</w:t>
            </w:r>
            <w:r>
              <w:rPr>
                <w:rFonts w:hint="eastAsia"/>
                <w:color w:val="auto"/>
                <w:szCs w:val="21"/>
                <w:highlight w:val="none"/>
                <w:lang w:eastAsia="zh-CN"/>
              </w:rPr>
              <w:t>。</w:t>
            </w:r>
          </w:p>
          <w:p w14:paraId="129321C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Calibri" w:hAnsi="Calibri" w:cs="Calibri"/>
                <w:bCs/>
                <w:color w:val="auto"/>
                <w:highlight w:val="none"/>
              </w:rPr>
            </w:pPr>
            <w:r>
              <w:rPr>
                <w:rFonts w:hint="eastAsia" w:cs="Times New Roman"/>
                <w:color w:val="auto"/>
                <w:kern w:val="2"/>
                <w:sz w:val="21"/>
                <w:szCs w:val="21"/>
                <w:lang w:val="en-US" w:eastAsia="zh-CN" w:bidi="ar-SA"/>
              </w:rPr>
              <w:t>c</w:t>
            </w:r>
            <w:r>
              <w:rPr>
                <w:rFonts w:hint="eastAsia" w:ascii="Times New Roman" w:hAnsi="Times New Roman" w:eastAsia="宋体" w:cs="Times New Roman"/>
                <w:color w:val="auto"/>
                <w:kern w:val="2"/>
                <w:sz w:val="21"/>
                <w:szCs w:val="21"/>
                <w:lang w:val="en-US" w:eastAsia="zh-CN" w:bidi="ar-SA"/>
              </w:rPr>
              <w:t>、</w:t>
            </w:r>
            <w:r>
              <w:rPr>
                <w:rFonts w:hint="eastAsia"/>
                <w:color w:val="auto"/>
                <w:szCs w:val="21"/>
                <w:highlight w:val="none"/>
                <w:lang w:val="en-US" w:eastAsia="zh-CN"/>
              </w:rPr>
              <w:t>不同业绩佐证资料中</w:t>
            </w:r>
            <w:r>
              <w:rPr>
                <w:rFonts w:hint="eastAsia"/>
                <w:color w:val="auto"/>
                <w:szCs w:val="21"/>
                <w:highlight w:val="none"/>
              </w:rPr>
              <w:t>竣工验收时间、与牵引指标项相符的工程类别、工程规模要求</w:t>
            </w:r>
            <w:r>
              <w:rPr>
                <w:rFonts w:hint="eastAsia"/>
                <w:color w:val="auto"/>
                <w:szCs w:val="21"/>
                <w:highlight w:val="none"/>
                <w:lang w:val="en-US" w:eastAsia="zh-CN"/>
              </w:rPr>
              <w:t>及项目经理姓名四项关键内容</w:t>
            </w:r>
            <w:r>
              <w:rPr>
                <w:rFonts w:hint="eastAsia"/>
                <w:color w:val="auto"/>
                <w:szCs w:val="21"/>
                <w:highlight w:val="none"/>
              </w:rPr>
              <w:t>不一致时，依次按照交工验收或竣工验收文件（证书）、合同和中标通知书的顺序认定</w:t>
            </w:r>
            <w:r>
              <w:rPr>
                <w:rFonts w:hint="eastAsia"/>
                <w:color w:val="auto"/>
                <w:szCs w:val="21"/>
                <w:highlight w:val="none"/>
                <w:lang w:eastAsia="zh-CN"/>
              </w:rPr>
              <w:t>，</w:t>
            </w:r>
            <w:r>
              <w:rPr>
                <w:rFonts w:hint="eastAsia"/>
                <w:color w:val="auto"/>
                <w:szCs w:val="21"/>
                <w:highlight w:val="none"/>
                <w:lang w:val="en-US" w:eastAsia="zh-CN"/>
              </w:rPr>
              <w:t>如</w:t>
            </w:r>
            <w:r>
              <w:rPr>
                <w:rFonts w:hint="eastAsia"/>
                <w:color w:val="auto"/>
                <w:szCs w:val="21"/>
                <w:highlight w:val="none"/>
              </w:rPr>
              <w:t>交工验收或竣工验收文件（证书）</w:t>
            </w:r>
            <w:r>
              <w:rPr>
                <w:rFonts w:hint="eastAsia" w:ascii="Calibri" w:hAnsi="Calibri" w:cs="Calibri"/>
                <w:bCs/>
                <w:color w:val="auto"/>
                <w:highlight w:val="none"/>
              </w:rPr>
              <w:t>、合同和中标通知书任一评审依据上载明的项目经理超过一个的，仅</w:t>
            </w:r>
            <w:r>
              <w:rPr>
                <w:rFonts w:hint="eastAsia" w:ascii="Calibri" w:hAnsi="Calibri" w:cs="Calibri"/>
                <w:bCs/>
                <w:color w:val="auto"/>
                <w:highlight w:val="none"/>
                <w:lang w:val="en-US" w:eastAsia="zh-CN"/>
              </w:rPr>
              <w:t>认可</w:t>
            </w:r>
            <w:r>
              <w:rPr>
                <w:rFonts w:hint="eastAsia" w:ascii="Calibri" w:hAnsi="Calibri" w:cs="Calibri"/>
                <w:bCs/>
                <w:color w:val="auto"/>
                <w:highlight w:val="none"/>
              </w:rPr>
              <w:t>排序第一的项目经理。</w:t>
            </w:r>
          </w:p>
          <w:p w14:paraId="168CE34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color w:val="auto"/>
                <w:szCs w:val="21"/>
                <w:highlight w:val="none"/>
              </w:rPr>
            </w:pPr>
            <w:r>
              <w:rPr>
                <w:rFonts w:hint="eastAsia" w:cs="Times New Roman"/>
                <w:color w:val="auto"/>
                <w:kern w:val="2"/>
                <w:sz w:val="21"/>
                <w:szCs w:val="21"/>
                <w:lang w:val="en-US" w:eastAsia="zh-CN" w:bidi="ar-SA"/>
              </w:rPr>
              <w:t>d</w:t>
            </w:r>
            <w:r>
              <w:rPr>
                <w:rFonts w:hint="eastAsia" w:ascii="Times New Roman" w:hAnsi="Times New Roman" w:eastAsia="宋体" w:cs="Times New Roman"/>
                <w:color w:val="auto"/>
                <w:kern w:val="2"/>
                <w:sz w:val="21"/>
                <w:szCs w:val="21"/>
                <w:lang w:val="en-US" w:eastAsia="zh-CN" w:bidi="ar-SA"/>
              </w:rPr>
              <w:t>、</w:t>
            </w:r>
            <w:r>
              <w:rPr>
                <w:rFonts w:hint="eastAsia"/>
                <w:color w:val="auto"/>
                <w:szCs w:val="21"/>
                <w:highlight w:val="none"/>
              </w:rPr>
              <w:t>上述业绩</w:t>
            </w:r>
            <w:r>
              <w:rPr>
                <w:rFonts w:hint="eastAsia"/>
                <w:color w:val="auto"/>
                <w:szCs w:val="21"/>
                <w:highlight w:val="none"/>
                <w:lang w:val="en-US" w:eastAsia="zh-CN"/>
              </w:rPr>
              <w:t>佐证资料</w:t>
            </w:r>
            <w:r>
              <w:rPr>
                <w:rFonts w:hint="eastAsia"/>
                <w:color w:val="auto"/>
                <w:szCs w:val="21"/>
                <w:highlight w:val="none"/>
              </w:rPr>
              <w:t>均无法体现出类似业绩所要求的</w:t>
            </w:r>
            <w:r>
              <w:rPr>
                <w:rFonts w:hint="eastAsia"/>
                <w:color w:val="auto"/>
                <w:szCs w:val="21"/>
                <w:highlight w:val="none"/>
                <w:lang w:val="en-US" w:eastAsia="zh-CN"/>
              </w:rPr>
              <w:t>与</w:t>
            </w:r>
            <w:r>
              <w:rPr>
                <w:rFonts w:hint="eastAsia"/>
                <w:color w:val="auto"/>
                <w:szCs w:val="21"/>
                <w:highlight w:val="none"/>
              </w:rPr>
              <w:t>牵引指标项相符的工程类别、工程规模要求内容的，投标人还可提供本项目答疑文件明确可以作为评审依据的资料的复印件。</w:t>
            </w:r>
          </w:p>
          <w:p w14:paraId="7825A42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color w:val="auto"/>
                <w:szCs w:val="21"/>
                <w:highlight w:val="none"/>
              </w:rPr>
            </w:pPr>
            <w:r>
              <w:rPr>
                <w:rFonts w:hint="eastAsia" w:cs="Times New Roman"/>
                <w:color w:val="auto"/>
                <w:kern w:val="2"/>
                <w:sz w:val="21"/>
                <w:szCs w:val="21"/>
                <w:lang w:val="en-US" w:eastAsia="zh-CN" w:bidi="ar-SA"/>
              </w:rPr>
              <w:t>e</w:t>
            </w:r>
            <w:r>
              <w:rPr>
                <w:rFonts w:ascii="Times New Roman" w:hAnsi="Times New Roman" w:eastAsia="宋体" w:cs="Times New Roman"/>
                <w:color w:val="auto"/>
                <w:kern w:val="2"/>
                <w:sz w:val="21"/>
                <w:szCs w:val="21"/>
                <w:lang w:val="en-US" w:eastAsia="zh-CN" w:bidi="ar-SA"/>
              </w:rPr>
              <w:t>、</w:t>
            </w:r>
            <w:r>
              <w:rPr>
                <w:rFonts w:hint="eastAsia" w:ascii="Calibri" w:hAnsi="Calibri" w:cs="Calibri"/>
                <w:bCs/>
                <w:color w:val="auto"/>
                <w:highlight w:val="none"/>
              </w:rPr>
              <w:t>业绩</w:t>
            </w:r>
            <w:r>
              <w:rPr>
                <w:rFonts w:hint="eastAsia" w:ascii="Calibri" w:hAnsi="Calibri" w:cs="Calibri"/>
                <w:bCs/>
                <w:color w:val="auto"/>
                <w:highlight w:val="none"/>
                <w:lang w:val="en-US" w:eastAsia="zh-CN"/>
              </w:rPr>
              <w:t>佐证资料</w:t>
            </w:r>
            <w:r>
              <w:rPr>
                <w:rFonts w:hint="eastAsia" w:ascii="Calibri" w:hAnsi="Calibri" w:cs="Calibri"/>
                <w:bCs/>
                <w:color w:val="auto"/>
                <w:highlight w:val="none"/>
              </w:rPr>
              <w:t>与填报信息</w:t>
            </w:r>
            <w:r>
              <w:rPr>
                <w:rFonts w:hint="eastAsia" w:ascii="Calibri" w:hAnsi="Calibri" w:eastAsia="宋体" w:cs="Calibri"/>
                <w:color w:val="auto"/>
                <w:szCs w:val="21"/>
                <w:highlight w:val="none"/>
                <w:lang w:val="en-US" w:eastAsia="zh-CN"/>
              </w:rPr>
              <w:t>不一致或未按上述要求提供业绩佐证资料的，该类似业绩不予认可。</w:t>
            </w:r>
          </w:p>
          <w:p w14:paraId="0C0A75F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hint="eastAsia"/>
                <w:color w:val="auto"/>
                <w:szCs w:val="21"/>
                <w:highlight w:val="none"/>
              </w:rPr>
            </w:pPr>
            <w:r>
              <w:rPr>
                <w:rFonts w:hint="eastAsia" w:cs="Times New Roman"/>
                <w:color w:val="auto"/>
                <w:kern w:val="2"/>
                <w:sz w:val="21"/>
                <w:szCs w:val="21"/>
                <w:lang w:val="en-US" w:eastAsia="zh-CN" w:bidi="ar-SA"/>
              </w:rPr>
              <w:t>f</w:t>
            </w:r>
            <w:r>
              <w:rPr>
                <w:rFonts w:hint="eastAsia" w:ascii="Times New Roman" w:hAnsi="Times New Roman" w:eastAsia="宋体" w:cs="Times New Roman"/>
                <w:color w:val="auto"/>
                <w:kern w:val="2"/>
                <w:sz w:val="21"/>
                <w:szCs w:val="21"/>
                <w:lang w:val="en-US" w:eastAsia="zh-CN" w:bidi="ar-SA"/>
              </w:rPr>
              <w:t>、</w:t>
            </w:r>
            <w:r>
              <w:rPr>
                <w:rFonts w:hint="eastAsia"/>
                <w:color w:val="auto"/>
                <w:szCs w:val="21"/>
                <w:highlight w:val="none"/>
                <w:lang w:eastAsia="zh-CN"/>
              </w:rPr>
              <w:t>类似</w:t>
            </w:r>
            <w:r>
              <w:rPr>
                <w:rFonts w:hint="eastAsia"/>
                <w:color w:val="auto"/>
                <w:szCs w:val="21"/>
                <w:highlight w:val="none"/>
              </w:rPr>
              <w:t>业绩时限自交工验收或竣工验收文件（证书）中建设单位签字或盖章之日起计算。未体现建设单位签字或盖章之日的，以竣工验收备案表（经建设工程质量监督部门签字</w:t>
            </w:r>
            <w:r>
              <w:rPr>
                <w:rFonts w:hint="eastAsia"/>
                <w:color w:val="auto"/>
                <w:szCs w:val="21"/>
                <w:highlight w:val="none"/>
                <w:lang w:val="en-US" w:eastAsia="zh-CN"/>
              </w:rPr>
              <w:t>或盖章</w:t>
            </w:r>
            <w:r>
              <w:rPr>
                <w:rFonts w:hint="eastAsia"/>
                <w:color w:val="auto"/>
                <w:szCs w:val="21"/>
                <w:highlight w:val="none"/>
              </w:rPr>
              <w:t>）</w:t>
            </w:r>
            <w:r>
              <w:rPr>
                <w:rFonts w:hint="eastAsia"/>
                <w:color w:val="auto"/>
                <w:szCs w:val="21"/>
                <w:highlight w:val="none"/>
                <w:lang w:eastAsia="zh-CN"/>
              </w:rPr>
              <w:t>中</w:t>
            </w:r>
            <w:r>
              <w:rPr>
                <w:rFonts w:hint="eastAsia"/>
                <w:color w:val="auto"/>
                <w:szCs w:val="21"/>
                <w:highlight w:val="none"/>
              </w:rPr>
              <w:t>“竣工验收日期”栏中注明的时间为准。</w:t>
            </w:r>
          </w:p>
          <w:p w14:paraId="1A542CA8">
            <w:pPr>
              <w:spacing w:line="360" w:lineRule="auto"/>
              <w:rPr>
                <w:rFonts w:ascii="Calibri" w:hAnsi="Calibri" w:cs="Calibri"/>
                <w:bCs/>
                <w:color w:val="auto"/>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w:t>
            </w:r>
            <w:r>
              <w:rPr>
                <w:rFonts w:hint="eastAsia" w:ascii="Calibri" w:hAnsi="Calibri" w:cs="Calibri"/>
                <w:bCs/>
                <w:color w:val="auto"/>
                <w:highlight w:val="none"/>
              </w:rPr>
              <w:t>招标项目存在不同类型（专业）工程内容的，招标人应根据项目实际情况在招标文件中明确主要类型（专业），加分业绩的指标标准按照主要类型（专业）的规模设置，主要类型（专业）详见本附表第10.11款。</w:t>
            </w:r>
          </w:p>
          <w:p w14:paraId="5E7B8CA0">
            <w:pPr>
              <w:widowControl/>
              <w:kinsoku w:val="0"/>
              <w:autoSpaceDE w:val="0"/>
              <w:autoSpaceDN w:val="0"/>
              <w:spacing w:line="360" w:lineRule="auto"/>
              <w:jc w:val="left"/>
              <w:textAlignment w:val="baseline"/>
              <w:rPr>
                <w:rFonts w:hint="eastAsia" w:asciiTheme="majorEastAsia" w:hAnsiTheme="majorEastAsia" w:eastAsiaTheme="majorEastAsia" w:cstheme="majorEastAsia"/>
                <w:b/>
                <w:bCs/>
                <w:snapToGrid w:val="0"/>
                <w:color w:val="auto"/>
                <w:kern w:val="0"/>
                <w:szCs w:val="21"/>
                <w:highlight w:val="none"/>
              </w:rPr>
            </w:pPr>
            <w:r>
              <w:rPr>
                <w:rFonts w:hint="eastAsia" w:asciiTheme="majorEastAsia" w:hAnsiTheme="majorEastAsia" w:eastAsiaTheme="majorEastAsia" w:cstheme="majorEastAsia"/>
                <w:b/>
                <w:bCs/>
                <w:snapToGrid w:val="0"/>
                <w:color w:val="auto"/>
                <w:kern w:val="0"/>
                <w:szCs w:val="21"/>
                <w:highlight w:val="none"/>
              </w:rPr>
              <w:t>3.奖项和发明专利加分：</w:t>
            </w:r>
          </w:p>
          <w:p w14:paraId="2A2F891C">
            <w:pPr>
              <w:spacing w:line="360" w:lineRule="auto"/>
              <w:rPr>
                <w:rFonts w:ascii="Calibri" w:hAnsi="Calibri" w:cs="Calibri"/>
                <w:color w:val="auto"/>
                <w:szCs w:val="21"/>
                <w:highlight w:val="none"/>
              </w:rPr>
            </w:pPr>
            <w:r>
              <w:rPr>
                <w:rFonts w:hint="eastAsia" w:ascii="Calibri" w:hAnsi="Calibri" w:cs="Calibri"/>
                <w:color w:val="auto"/>
                <w:szCs w:val="21"/>
                <w:highlight w:val="none"/>
              </w:rPr>
              <w:t>投标人</w:t>
            </w:r>
            <w:r>
              <w:rPr>
                <w:rFonts w:hint="eastAsia" w:ascii="宋体" w:hAnsi="宋体" w:cs="宋体"/>
                <w:color w:val="auto"/>
                <w:szCs w:val="21"/>
                <w:highlight w:val="none"/>
              </w:rPr>
              <w:t>投标截止时间前</w:t>
            </w:r>
            <w:r>
              <w:rPr>
                <w:rFonts w:hint="eastAsia" w:ascii="Calibri" w:hAnsi="Calibri" w:cs="Calibri"/>
                <w:color w:val="auto"/>
                <w:szCs w:val="21"/>
                <w:highlight w:val="none"/>
              </w:rPr>
              <w:t>近</w:t>
            </w:r>
            <w:r>
              <w:rPr>
                <w:rFonts w:ascii="Calibri" w:hAnsi="Calibri" w:cs="Calibri"/>
                <w:color w:val="auto"/>
                <w:szCs w:val="21"/>
                <w:highlight w:val="none"/>
                <w:u w:val="single"/>
              </w:rPr>
              <w:t xml:space="preserve">  3  </w:t>
            </w:r>
            <w:r>
              <w:rPr>
                <w:rFonts w:hint="eastAsia" w:ascii="Calibri" w:hAnsi="Calibri" w:cs="Calibri"/>
                <w:color w:val="auto"/>
                <w:szCs w:val="21"/>
                <w:highlight w:val="none"/>
              </w:rPr>
              <w:t>年获得的</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hint="eastAsia" w:ascii="Calibri" w:hAnsi="Calibri" w:cs="Calibri"/>
                <w:color w:val="auto"/>
                <w:szCs w:val="21"/>
                <w:highlight w:val="none"/>
              </w:rPr>
              <w:t>房屋建筑工程</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hint="eastAsia" w:ascii="Calibri" w:hAnsi="Calibri" w:cs="Calibri"/>
                <w:color w:val="auto"/>
                <w:szCs w:val="21"/>
                <w:highlight w:val="none"/>
              </w:rPr>
              <w:t>市政公用工程</w:t>
            </w:r>
            <w:r>
              <w:rPr>
                <w:rFonts w:hint="eastAsia" w:ascii="Calibri" w:hAnsi="Calibri" w:cs="Calibri"/>
                <w:color w:val="auto"/>
                <w:szCs w:val="21"/>
                <w:highlight w:val="none"/>
                <w:lang w:val="en-US" w:eastAsia="zh-CN"/>
              </w:rPr>
              <w:t xml:space="preserve">  </w:t>
            </w:r>
            <w:r>
              <w:rPr>
                <w:rFonts w:hint="eastAsia" w:ascii="Calibri" w:hAnsi="Calibri" w:cs="Calibri"/>
                <w:color w:val="auto"/>
                <w:szCs w:val="21"/>
                <w:highlight w:val="none"/>
              </w:rPr>
              <w:t>奖项均予以计分（</w:t>
            </w:r>
            <w:r>
              <w:rPr>
                <w:rFonts w:hint="eastAsia" w:ascii="Calibri" w:hAnsi="Calibri" w:cs="Calibri"/>
                <w:color w:val="auto"/>
                <w:szCs w:val="21"/>
                <w:highlight w:val="none"/>
                <w:lang w:val="en-US" w:eastAsia="zh-CN"/>
              </w:rPr>
              <w:t>招标人应按招标项目工程类型对应勾选，</w:t>
            </w:r>
            <w:r>
              <w:rPr>
                <w:rFonts w:hint="eastAsia" w:ascii="Calibri" w:hAnsi="Calibri" w:cs="Calibri"/>
                <w:color w:val="auto"/>
                <w:szCs w:val="21"/>
                <w:highlight w:val="none"/>
              </w:rPr>
              <w:t>如无资质要求时，房屋建筑工程和市政公用工程的奖项均予以计分，需同时勾选。）</w:t>
            </w:r>
          </w:p>
          <w:p w14:paraId="260F7F7A">
            <w:pPr>
              <w:rPr>
                <w:rFonts w:ascii="Calibri" w:hAnsi="Calibri" w:cs="Calibri"/>
                <w:b/>
                <w:bCs/>
                <w:color w:val="auto"/>
                <w:szCs w:val="21"/>
                <w:highlight w:val="none"/>
              </w:rPr>
            </w:pPr>
            <w:r>
              <w:rPr>
                <w:rFonts w:hint="eastAsia" w:ascii="Calibri" w:hAnsi="Calibri" w:cs="Calibri"/>
                <w:b/>
                <w:bCs/>
                <w:color w:val="auto"/>
                <w:szCs w:val="21"/>
                <w:highlight w:val="none"/>
              </w:rPr>
              <w:t>奖项个数：</w:t>
            </w:r>
          </w:p>
          <w:p w14:paraId="1CFFE479">
            <w:pPr>
              <w:rPr>
                <w:rFonts w:ascii="Calibri" w:hAnsi="Calibri" w:cs="Calibri"/>
                <w:b/>
                <w:bCs/>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 xml:space="preserve">个  </w:t>
            </w:r>
            <w:r>
              <w:rPr>
                <w:rFonts w:ascii="Calibri" w:hAnsi="Calibri" w:cs="Calibri"/>
                <w:color w:val="auto"/>
                <w:szCs w:val="21"/>
                <w:highlight w:val="none"/>
              </w:rPr>
              <w:sym w:font="Wingdings 2" w:char="00A3"/>
            </w:r>
            <w:r>
              <w:rPr>
                <w:rFonts w:hint="eastAsia" w:ascii="Calibri" w:hAnsi="Calibri" w:cs="Calibri"/>
                <w:color w:val="auto"/>
                <w:szCs w:val="21"/>
                <w:highlight w:val="none"/>
              </w:rPr>
              <w:t>3个。</w:t>
            </w:r>
          </w:p>
          <w:p w14:paraId="0BA9B337">
            <w:pPr>
              <w:rPr>
                <w:rFonts w:ascii="Calibri" w:hAnsi="Calibri" w:cs="Calibri"/>
                <w:b/>
                <w:bCs/>
                <w:color w:val="auto"/>
                <w:szCs w:val="21"/>
                <w:highlight w:val="none"/>
              </w:rPr>
            </w:pPr>
            <w:r>
              <w:rPr>
                <w:rFonts w:hint="eastAsia" w:ascii="Calibri" w:hAnsi="Calibri" w:cs="Calibri"/>
                <w:b/>
                <w:bCs/>
                <w:color w:val="auto"/>
                <w:szCs w:val="21"/>
                <w:highlight w:val="none"/>
              </w:rPr>
              <w:t>奖项和发明专利加分权重：</w:t>
            </w:r>
          </w:p>
          <w:p w14:paraId="594D9602">
            <w:pPr>
              <w:rPr>
                <w:rFonts w:ascii="Calibri" w:hAnsi="Calibri" w:cs="Calibri"/>
                <w:color w:val="auto"/>
                <w:szCs w:val="21"/>
                <w:highlight w:val="none"/>
              </w:rPr>
            </w:pPr>
            <w:r>
              <w:rPr>
                <w:rFonts w:ascii="Calibri" w:hAnsi="Calibri" w:cs="Calibri"/>
                <w:color w:val="auto"/>
                <w:szCs w:val="21"/>
                <w:highlight w:val="none"/>
              </w:rPr>
              <w:t>其中奖项加分权重为</w:t>
            </w:r>
            <w:r>
              <w:rPr>
                <w:rFonts w:ascii="Calibri" w:hAnsi="Calibri" w:cs="Calibri"/>
                <w:color w:val="auto"/>
                <w:szCs w:val="21"/>
                <w:highlight w:val="none"/>
                <w:u w:val="single"/>
              </w:rPr>
              <w:t xml:space="preserve">   70%  </w:t>
            </w:r>
            <w:r>
              <w:rPr>
                <w:rFonts w:ascii="Calibri" w:hAnsi="Calibri" w:cs="Calibri"/>
                <w:color w:val="auto"/>
                <w:szCs w:val="21"/>
                <w:highlight w:val="none"/>
              </w:rPr>
              <w:t>，发明专利</w:t>
            </w:r>
            <w:r>
              <w:rPr>
                <w:rFonts w:hint="eastAsia" w:ascii="Calibri" w:hAnsi="Calibri" w:cs="Calibri"/>
                <w:color w:val="auto"/>
                <w:szCs w:val="21"/>
                <w:highlight w:val="none"/>
              </w:rPr>
              <w:t>不做具体评审，</w:t>
            </w:r>
            <w:r>
              <w:rPr>
                <w:rFonts w:ascii="Calibri" w:hAnsi="Calibri" w:cs="Calibri"/>
                <w:color w:val="auto"/>
                <w:szCs w:val="21"/>
                <w:highlight w:val="none"/>
              </w:rPr>
              <w:t>统一计奖项和发明专利总权重的</w:t>
            </w:r>
            <w:r>
              <w:rPr>
                <w:rFonts w:ascii="Calibri" w:hAnsi="Calibri" w:cs="Calibri"/>
                <w:color w:val="auto"/>
                <w:szCs w:val="21"/>
                <w:highlight w:val="none"/>
                <w:u w:val="single"/>
              </w:rPr>
              <w:t xml:space="preserve"> 30% </w:t>
            </w:r>
            <w:r>
              <w:rPr>
                <w:rFonts w:ascii="Calibri" w:hAnsi="Calibri" w:cs="Calibri"/>
                <w:color w:val="auto"/>
                <w:szCs w:val="21"/>
                <w:highlight w:val="none"/>
              </w:rPr>
              <w:t>。</w:t>
            </w:r>
            <w:r>
              <w:rPr>
                <w:rFonts w:hint="eastAsia" w:ascii="Calibri" w:hAnsi="Calibri" w:cs="Calibri"/>
                <w:color w:val="auto"/>
                <w:szCs w:val="21"/>
                <w:highlight w:val="none"/>
              </w:rPr>
              <w:t>奖项依次按：</w:t>
            </w:r>
          </w:p>
          <w:p w14:paraId="39A42C0C">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①招标人设置</w:t>
            </w:r>
            <w:r>
              <w:rPr>
                <w:rFonts w:ascii="Calibri" w:hAnsi="Calibri" w:cs="Calibri"/>
                <w:color w:val="auto"/>
                <w:szCs w:val="21"/>
                <w:highlight w:val="none"/>
              </w:rPr>
              <w:t>3</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50%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30%  </w:t>
            </w:r>
            <w:r>
              <w:rPr>
                <w:rFonts w:hint="eastAsia" w:ascii="Calibri" w:hAnsi="Calibri" w:cs="Calibri"/>
                <w:color w:val="auto"/>
                <w:szCs w:val="21"/>
                <w:highlight w:val="none"/>
              </w:rPr>
              <w:t>，第三个奖项占该部分得分权重</w:t>
            </w:r>
            <w:r>
              <w:rPr>
                <w:rFonts w:ascii="Calibri" w:hAnsi="Calibri" w:cs="Calibri"/>
                <w:color w:val="auto"/>
                <w:szCs w:val="21"/>
                <w:highlight w:val="none"/>
                <w:u w:val="single"/>
              </w:rPr>
              <w:t xml:space="preserve">   20%  </w:t>
            </w:r>
            <w:r>
              <w:rPr>
                <w:rFonts w:ascii="Calibri" w:hAnsi="Calibri" w:cs="Calibri"/>
                <w:color w:val="auto"/>
                <w:szCs w:val="21"/>
                <w:highlight w:val="none"/>
              </w:rPr>
              <w:t xml:space="preserve"> </w:t>
            </w:r>
            <w:r>
              <w:rPr>
                <w:rFonts w:hint="eastAsia" w:ascii="Calibri" w:hAnsi="Calibri" w:cs="Calibri"/>
                <w:color w:val="auto"/>
                <w:szCs w:val="21"/>
                <w:highlight w:val="none"/>
              </w:rPr>
              <w:t>。</w:t>
            </w:r>
          </w:p>
          <w:p w14:paraId="70C06972">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②招标人设置</w:t>
            </w:r>
            <w:r>
              <w:rPr>
                <w:rFonts w:ascii="Calibri" w:hAnsi="Calibri" w:cs="Calibri"/>
                <w:color w:val="auto"/>
                <w:szCs w:val="21"/>
                <w:highlight w:val="none"/>
              </w:rPr>
              <w:t>2</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60%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40%  </w:t>
            </w:r>
            <w:r>
              <w:rPr>
                <w:rFonts w:hint="eastAsia" w:ascii="Calibri" w:hAnsi="Calibri" w:cs="Calibri"/>
                <w:color w:val="auto"/>
                <w:szCs w:val="21"/>
                <w:highlight w:val="none"/>
              </w:rPr>
              <w:t>。</w:t>
            </w:r>
          </w:p>
          <w:p w14:paraId="7E86E74A">
            <w:pPr>
              <w:ind w:firstLine="420" w:firstLineChars="200"/>
              <w:rPr>
                <w:rFonts w:ascii="Calibri" w:hAnsi="Calibri" w:cs="Calibri"/>
                <w:b/>
                <w:bCs/>
                <w:color w:val="auto"/>
                <w:szCs w:val="21"/>
                <w:highlight w:val="none"/>
              </w:rPr>
            </w:pPr>
            <w:r>
              <w:rPr>
                <w:rFonts w:hint="eastAsia" w:ascii="Calibri" w:hAnsi="Calibri" w:cs="Calibri"/>
                <w:color w:val="auto"/>
                <w:szCs w:val="21"/>
                <w:highlight w:val="none"/>
              </w:rPr>
              <w:t>③招标人设置</w:t>
            </w:r>
            <w:r>
              <w:rPr>
                <w:rFonts w:ascii="Calibri" w:hAnsi="Calibri" w:cs="Calibri"/>
                <w:color w:val="auto"/>
                <w:szCs w:val="21"/>
                <w:highlight w:val="none"/>
              </w:rPr>
              <w:t>1</w:t>
            </w:r>
            <w:r>
              <w:rPr>
                <w:rFonts w:hint="eastAsia" w:ascii="Calibri" w:hAnsi="Calibri" w:cs="Calibri"/>
                <w:color w:val="auto"/>
                <w:szCs w:val="21"/>
                <w:highlight w:val="none"/>
              </w:rPr>
              <w:t>个加分奖项的，加分奖项占该部分得分权重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100%  </w:t>
            </w:r>
            <w:r>
              <w:rPr>
                <w:rFonts w:hint="eastAsia" w:ascii="Calibri" w:hAnsi="Calibri" w:cs="Calibri"/>
                <w:b/>
                <w:bCs/>
                <w:color w:val="auto"/>
                <w:szCs w:val="21"/>
                <w:highlight w:val="none"/>
              </w:rPr>
              <w:t>。</w:t>
            </w:r>
          </w:p>
          <w:p w14:paraId="60921D81">
            <w:pPr>
              <w:rPr>
                <w:rFonts w:ascii="Calibri" w:hAnsi="Calibri" w:cs="Calibri"/>
                <w:color w:val="auto"/>
                <w:szCs w:val="21"/>
                <w:highlight w:val="none"/>
              </w:rPr>
            </w:pPr>
            <w:r>
              <w:rPr>
                <w:rFonts w:ascii="Calibri" w:hAnsi="Calibri" w:cs="Calibri"/>
                <w:b/>
                <w:bCs/>
                <w:color w:val="auto"/>
                <w:szCs w:val="21"/>
                <w:highlight w:val="none"/>
              </w:rPr>
              <w:t>科学技术奖：</w:t>
            </w:r>
            <w:r>
              <w:rPr>
                <w:rFonts w:ascii="Calibri" w:hAnsi="Calibri" w:cs="Calibri"/>
                <w:color w:val="auto"/>
                <w:szCs w:val="21"/>
                <w:highlight w:val="none"/>
              </w:rPr>
              <w:t>国家级科学技术奖、省级科学技术奖。</w:t>
            </w:r>
          </w:p>
          <w:p w14:paraId="42C4315E">
            <w:pPr>
              <w:rPr>
                <w:rFonts w:ascii="Calibri" w:hAnsi="Calibri" w:cs="Calibri"/>
                <w:color w:val="auto"/>
                <w:szCs w:val="21"/>
                <w:highlight w:val="none"/>
              </w:rPr>
            </w:pPr>
            <w:r>
              <w:rPr>
                <w:rFonts w:hint="eastAsia" w:ascii="Calibri" w:hAnsi="Calibri" w:cs="Calibri"/>
                <w:b/>
                <w:bCs/>
                <w:color w:val="auto"/>
                <w:szCs w:val="21"/>
                <w:highlight w:val="none"/>
              </w:rPr>
              <w:t>行业通用权威奖：</w:t>
            </w:r>
            <w:r>
              <w:rPr>
                <w:rFonts w:hint="eastAsia" w:ascii="Calibri" w:hAnsi="Calibri" w:cs="Calibri"/>
                <w:b w:val="0"/>
                <w:bCs w:val="0"/>
                <w:color w:val="auto"/>
                <w:szCs w:val="21"/>
                <w:highlight w:val="none"/>
              </w:rPr>
              <w:t>鲁班奖</w:t>
            </w:r>
            <w:r>
              <w:rPr>
                <w:rFonts w:hint="eastAsia" w:ascii="Calibri" w:hAnsi="Calibri" w:cs="Calibri"/>
                <w:b w:val="0"/>
                <w:bCs w:val="0"/>
                <w:color w:val="auto"/>
                <w:szCs w:val="21"/>
                <w:highlight w:val="none"/>
                <w:lang w:eastAsia="zh-CN"/>
              </w:rPr>
              <w:t>、</w:t>
            </w:r>
            <w:r>
              <w:rPr>
                <w:rFonts w:hint="eastAsia" w:ascii="Calibri" w:hAnsi="Calibri" w:cs="Calibri"/>
                <w:b w:val="0"/>
                <w:bCs w:val="0"/>
                <w:color w:val="auto"/>
                <w:szCs w:val="21"/>
                <w:highlight w:val="none"/>
              </w:rPr>
              <w:t>国家优质工程奖、省级综合工程质量奖</w:t>
            </w:r>
            <w:r>
              <w:rPr>
                <w:rFonts w:hint="eastAsia" w:ascii="Calibri" w:hAnsi="Calibri" w:cs="Calibri"/>
                <w:b w:val="0"/>
                <w:bCs w:val="0"/>
                <w:color w:val="auto"/>
                <w:szCs w:val="21"/>
                <w:highlight w:val="none"/>
                <w:lang w:eastAsia="zh-CN"/>
              </w:rPr>
              <w:t>。</w:t>
            </w:r>
            <w:r>
              <w:rPr>
                <w:rFonts w:ascii="Calibri" w:hAnsi="Calibri" w:cs="Calibri"/>
                <w:color w:val="auto"/>
                <w:szCs w:val="21"/>
                <w:highlight w:val="none"/>
              </w:rPr>
              <w:t xml:space="preserve">  </w:t>
            </w:r>
          </w:p>
          <w:p w14:paraId="0463105F">
            <w:pPr>
              <w:rPr>
                <w:rFonts w:ascii="Calibri" w:hAnsi="Calibri" w:cs="Calibri"/>
                <w:color w:val="auto"/>
                <w:szCs w:val="21"/>
                <w:highlight w:val="none"/>
              </w:rPr>
            </w:pPr>
            <w:r>
              <w:rPr>
                <w:rFonts w:ascii="Calibri" w:hAnsi="Calibri" w:cs="Calibri"/>
                <w:color w:val="auto"/>
                <w:szCs w:val="21"/>
                <w:highlight w:val="none"/>
              </w:rPr>
              <w:t>注：</w:t>
            </w:r>
          </w:p>
          <w:p w14:paraId="63C9237E">
            <w:pPr>
              <w:numPr>
                <w:ilvl w:val="0"/>
                <w:numId w:val="0"/>
              </w:numPr>
              <w:rPr>
                <w:rFonts w:hint="eastAsia" w:ascii="Calibri" w:hAnsi="Calibri" w:cs="Calibri"/>
                <w:color w:val="auto"/>
                <w:szCs w:val="21"/>
                <w:highlight w:val="none"/>
                <w:lang w:eastAsia="zh-CN"/>
              </w:rPr>
            </w:pPr>
            <w:r>
              <w:rPr>
                <w:rFonts w:hint="eastAsia" w:ascii="Calibri" w:hAnsi="Calibri" w:eastAsia="宋体" w:cs="Calibri"/>
                <w:color w:val="auto"/>
                <w:kern w:val="2"/>
                <w:sz w:val="21"/>
                <w:szCs w:val="21"/>
                <w:lang w:val="en-US" w:eastAsia="zh-CN" w:bidi="ar-SA"/>
              </w:rPr>
              <w:t>（1）</w:t>
            </w:r>
            <w:r>
              <w:rPr>
                <w:rFonts w:ascii="Calibri" w:hAnsi="Calibri" w:cs="Calibri"/>
                <w:color w:val="auto"/>
                <w:szCs w:val="21"/>
                <w:highlight w:val="none"/>
              </w:rPr>
              <w:t>奖项级别权重为：国家级奖项加分权重为100%，省级奖项加分权重为国家级奖项加分权重的 80%</w:t>
            </w:r>
            <w:r>
              <w:rPr>
                <w:rFonts w:hint="eastAsia" w:ascii="Calibri" w:hAnsi="Calibri" w:cs="Calibri"/>
                <w:color w:val="auto"/>
                <w:szCs w:val="21"/>
                <w:highlight w:val="none"/>
                <w:lang w:eastAsia="zh-CN"/>
              </w:rPr>
              <w:t>。</w:t>
            </w:r>
          </w:p>
          <w:p w14:paraId="361CD05F">
            <w:pPr>
              <w:numPr>
                <w:ilvl w:val="0"/>
                <w:numId w:val="0"/>
              </w:numPr>
              <w:spacing w:line="360" w:lineRule="atLeast"/>
              <w:rPr>
                <w:rFonts w:cs="Calibri"/>
                <w:szCs w:val="21"/>
              </w:rPr>
            </w:pPr>
            <w:r>
              <w:rPr>
                <w:rFonts w:ascii="Times New Roman" w:hAnsi="Times New Roman" w:eastAsia="宋体" w:cs="Calibri"/>
                <w:kern w:val="2"/>
                <w:sz w:val="21"/>
                <w:szCs w:val="21"/>
                <w:lang w:val="en-US" w:eastAsia="zh-CN" w:bidi="ar-SA"/>
              </w:rPr>
              <w:t>（</w:t>
            </w:r>
            <w:r>
              <w:rPr>
                <w:rFonts w:hint="eastAsia" w:cs="Calibri"/>
                <w:kern w:val="2"/>
                <w:sz w:val="21"/>
                <w:szCs w:val="21"/>
                <w:lang w:val="en-US" w:eastAsia="zh-CN" w:bidi="ar-SA"/>
              </w:rPr>
              <w:t>2</w:t>
            </w:r>
            <w:r>
              <w:rPr>
                <w:rFonts w:ascii="Times New Roman" w:hAnsi="Times New Roman" w:eastAsia="宋体" w:cs="Calibri"/>
                <w:kern w:val="2"/>
                <w:sz w:val="21"/>
                <w:szCs w:val="21"/>
                <w:lang w:val="en-US" w:eastAsia="zh-CN" w:bidi="ar-SA"/>
              </w:rPr>
              <w:t>）</w:t>
            </w:r>
            <w:r>
              <w:rPr>
                <w:rFonts w:hint="eastAsia" w:cs="Calibri"/>
                <w:szCs w:val="21"/>
                <w:lang w:val="en-US" w:eastAsia="zh-CN"/>
              </w:rPr>
              <w:t>奖项等级及排名的具体计分规则：按一等奖及以上100%、二等奖80%、三等奖50%相应权重计分，如有排名的，按第一名占相应权重计分的100%、第二名70%、第三名60%，其余依次按10%递减，第八名及以后按10%。没有等级、排名的，其等级权重、排名权重均按100%计算。</w:t>
            </w:r>
          </w:p>
          <w:p w14:paraId="1DF5E518">
            <w:pPr>
              <w:rPr>
                <w:rFonts w:hint="eastAsia" w:ascii="Calibri" w:hAnsi="Calibri" w:eastAsia="宋体" w:cs="Calibri"/>
                <w:color w:val="auto"/>
                <w:szCs w:val="21"/>
                <w:highlight w:val="none"/>
                <w:lang w:eastAsia="zh-CN"/>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3</w:t>
            </w:r>
            <w:r>
              <w:rPr>
                <w:rFonts w:ascii="Calibri" w:hAnsi="Calibri" w:cs="Calibri"/>
                <w:color w:val="auto"/>
                <w:szCs w:val="21"/>
                <w:highlight w:val="none"/>
              </w:rPr>
              <w:t>）奖项得分按照如下公式进行计算：</w:t>
            </w:r>
            <w:r>
              <w:rPr>
                <w:rFonts w:hint="eastAsia" w:ascii="宋体" w:hAnsi="宋体" w:cs="宋体"/>
                <w:color w:val="auto"/>
                <w:szCs w:val="21"/>
                <w:highlight w:val="none"/>
              </w:rPr>
              <w:t>奖项得分=奖项权重总分x奖项级别权重x奖项等级权重x奖项排名权重</w:t>
            </w:r>
            <w:r>
              <w:rPr>
                <w:rFonts w:hint="eastAsia" w:ascii="Calibri" w:hAnsi="Calibri" w:cs="Calibri"/>
                <w:color w:val="auto"/>
                <w:szCs w:val="21"/>
                <w:highlight w:val="none"/>
                <w:lang w:eastAsia="zh-CN"/>
              </w:rPr>
              <w:t>。</w:t>
            </w:r>
          </w:p>
          <w:p w14:paraId="71648FB4">
            <w:pPr>
              <w:spacing w:line="360" w:lineRule="auto"/>
              <w:rPr>
                <w:rFonts w:hint="default" w:asciiTheme="majorEastAsia" w:hAnsiTheme="majorEastAsia" w:eastAsiaTheme="majorEastAsia"/>
                <w:color w:val="auto"/>
                <w:szCs w:val="21"/>
                <w:highlight w:val="none"/>
                <w:u w:val="single"/>
                <w:lang w:val="en-US"/>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4</w:t>
            </w:r>
            <w:r>
              <w:rPr>
                <w:rFonts w:ascii="Calibri" w:hAnsi="Calibri" w:cs="Calibri"/>
                <w:color w:val="auto"/>
                <w:szCs w:val="21"/>
                <w:highlight w:val="none"/>
              </w:rPr>
              <w:t>）</w:t>
            </w:r>
            <w:r>
              <w:rPr>
                <w:rFonts w:hint="eastAsia" w:ascii="Calibri" w:hAnsi="Calibri" w:cs="Calibri"/>
                <w:color w:val="auto"/>
                <w:szCs w:val="21"/>
                <w:highlight w:val="none"/>
                <w:lang w:val="en-US" w:eastAsia="zh-CN"/>
              </w:rPr>
              <w:t>奖项的评审要求，由招标人根据招标项目实际需要在招标文件中明确，具体如下：</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none"/>
                <w:lang w:val="en-US" w:eastAsia="zh-CN"/>
              </w:rPr>
              <w:t>。</w:t>
            </w:r>
          </w:p>
          <w:p w14:paraId="7D1923B9">
            <w:pPr>
              <w:rPr>
                <w:rFonts w:ascii="Calibri" w:hAnsi="Calibri" w:cs="Calibri"/>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5</w:t>
            </w:r>
            <w:r>
              <w:rPr>
                <w:rFonts w:ascii="Calibri" w:hAnsi="Calibri" w:cs="Calibri"/>
                <w:color w:val="auto"/>
                <w:szCs w:val="21"/>
                <w:highlight w:val="none"/>
              </w:rPr>
              <w:t>）以联合体形式进行投标的，其加分奖项的第一、二个加分奖项必须是联合体牵头人具备的，第三个加分奖项可以是联合体成员的。</w:t>
            </w:r>
          </w:p>
          <w:p w14:paraId="6AB52955">
            <w:pPr>
              <w:rPr>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6</w:t>
            </w:r>
            <w:r>
              <w:rPr>
                <w:rFonts w:ascii="Calibri" w:hAnsi="Calibri" w:cs="Calibri"/>
                <w:color w:val="auto"/>
                <w:szCs w:val="21"/>
                <w:highlight w:val="none"/>
              </w:rPr>
              <w:t>）奖项</w:t>
            </w:r>
            <w:r>
              <w:rPr>
                <w:rFonts w:hint="eastAsia"/>
                <w:color w:val="auto"/>
                <w:szCs w:val="21"/>
                <w:highlight w:val="none"/>
              </w:rPr>
              <w:t>在投标文件中的列序由投标人按照自身最优原则进行列序。</w:t>
            </w:r>
          </w:p>
        </w:tc>
      </w:tr>
      <w:tr w14:paraId="34D1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926" w:type="dxa"/>
            <w:vAlign w:val="center"/>
          </w:tcPr>
          <w:p w14:paraId="7868A527">
            <w:pPr>
              <w:jc w:val="center"/>
              <w:rPr>
                <w:rFonts w:ascii="Calibri" w:hAnsi="Calibri" w:cs="Calibri"/>
                <w:color w:val="auto"/>
                <w:szCs w:val="21"/>
                <w:highlight w:val="none"/>
              </w:rPr>
            </w:pPr>
            <w:r>
              <w:rPr>
                <w:rFonts w:hint="eastAsia" w:ascii="Calibri" w:hAnsi="Calibri" w:cs="Calibri"/>
                <w:color w:val="auto"/>
                <w:szCs w:val="21"/>
                <w:highlight w:val="none"/>
              </w:rPr>
              <w:t>7.1</w:t>
            </w:r>
          </w:p>
        </w:tc>
        <w:tc>
          <w:tcPr>
            <w:tcW w:w="2010" w:type="dxa"/>
            <w:gridSpan w:val="3"/>
            <w:vAlign w:val="center"/>
          </w:tcPr>
          <w:p w14:paraId="030D7852">
            <w:pPr>
              <w:jc w:val="center"/>
              <w:rPr>
                <w:rFonts w:ascii="Calibri" w:hAnsi="Calibri" w:cs="Calibri"/>
                <w:color w:val="auto"/>
                <w:szCs w:val="21"/>
                <w:highlight w:val="none"/>
              </w:rPr>
            </w:pPr>
            <w:r>
              <w:rPr>
                <w:rFonts w:ascii="Calibri" w:hAnsi="Calibri" w:cs="Calibri"/>
                <w:color w:val="auto"/>
                <w:szCs w:val="21"/>
                <w:highlight w:val="none"/>
              </w:rPr>
              <w:t>推荐中标候选人和</w:t>
            </w:r>
            <w:r>
              <w:rPr>
                <w:rFonts w:hint="eastAsia" w:ascii="Calibri" w:hAnsi="Calibri" w:cs="Calibri"/>
                <w:color w:val="auto"/>
                <w:szCs w:val="21"/>
                <w:highlight w:val="none"/>
              </w:rPr>
              <w:t>确定中标人</w:t>
            </w:r>
            <w:r>
              <w:rPr>
                <w:rFonts w:ascii="Calibri" w:hAnsi="Calibri" w:cs="Calibri"/>
                <w:color w:val="auto"/>
                <w:szCs w:val="21"/>
                <w:highlight w:val="none"/>
              </w:rPr>
              <w:t>方式</w:t>
            </w:r>
          </w:p>
        </w:tc>
        <w:tc>
          <w:tcPr>
            <w:tcW w:w="6462" w:type="dxa"/>
            <w:shd w:val="clear" w:color="auto" w:fill="auto"/>
            <w:vAlign w:val="center"/>
          </w:tcPr>
          <w:p w14:paraId="0F35161D">
            <w:pPr>
              <w:spacing w:line="240" w:lineRule="auto"/>
              <w:ind w:firstLine="0" w:firstLineChars="0"/>
              <w:rPr>
                <w:rFonts w:hint="eastAsia"/>
                <w:color w:val="auto"/>
                <w:szCs w:val="21"/>
                <w:highlight w:val="none"/>
              </w:rPr>
            </w:pPr>
            <w:r>
              <w:rPr>
                <w:b/>
                <w:bCs/>
                <w:color w:val="auto"/>
                <w:szCs w:val="21"/>
                <w:highlight w:val="none"/>
              </w:rPr>
              <w:sym w:font="Wingdings 2" w:char="00A3"/>
            </w:r>
            <w:r>
              <w:rPr>
                <w:rFonts w:hint="eastAsia"/>
                <w:b/>
                <w:bCs/>
                <w:color w:val="auto"/>
                <w:szCs w:val="21"/>
                <w:highlight w:val="none"/>
                <w:lang w:val="en-US" w:eastAsia="zh-CN"/>
              </w:rPr>
              <w:t>排序</w:t>
            </w:r>
            <w:r>
              <w:rPr>
                <w:rFonts w:hint="eastAsia"/>
                <w:b/>
                <w:bCs/>
                <w:color w:val="auto"/>
                <w:szCs w:val="21"/>
                <w:highlight w:val="none"/>
              </w:rPr>
              <w:t>法</w:t>
            </w:r>
            <w:r>
              <w:rPr>
                <w:rFonts w:hint="eastAsia"/>
                <w:b/>
                <w:bCs/>
                <w:color w:val="auto"/>
                <w:szCs w:val="21"/>
                <w:highlight w:val="none"/>
                <w:lang w:val="en-US" w:eastAsia="zh-CN"/>
              </w:rPr>
              <w:t xml:space="preserve">  </w:t>
            </w:r>
            <w:r>
              <w:rPr>
                <w:rFonts w:hint="eastAsia"/>
                <w:color w:val="auto"/>
                <w:szCs w:val="21"/>
                <w:highlight w:val="none"/>
              </w:rPr>
              <w:t>即：由评标委员会推荐不超过3个有排序的中标候选人，公示期满后招标人按照相关规定确定中标人。</w:t>
            </w:r>
          </w:p>
          <w:p w14:paraId="4F8A5B3A">
            <w:pPr>
              <w:spacing w:line="240" w:lineRule="auto"/>
              <w:ind w:firstLine="0" w:firstLineChars="0"/>
              <w:rPr>
                <w:rFonts w:hint="eastAsia"/>
                <w:color w:val="auto"/>
                <w:szCs w:val="21"/>
                <w:highlight w:val="none"/>
              </w:rPr>
            </w:pPr>
            <w:r>
              <w:rPr>
                <w:b/>
                <w:bCs/>
                <w:color w:val="auto"/>
                <w:szCs w:val="21"/>
                <w:highlight w:val="none"/>
              </w:rPr>
              <w:sym w:font="Wingdings 2" w:char="00A3"/>
            </w:r>
            <w:r>
              <w:rPr>
                <w:rFonts w:hint="eastAsia"/>
                <w:b/>
                <w:bCs/>
                <w:color w:val="auto"/>
                <w:szCs w:val="21"/>
                <w:highlight w:val="none"/>
              </w:rPr>
              <w:t>评定分离法</w:t>
            </w:r>
            <w:r>
              <w:rPr>
                <w:rFonts w:hint="eastAsia"/>
                <w:b/>
                <w:bCs/>
                <w:color w:val="auto"/>
                <w:szCs w:val="21"/>
                <w:highlight w:val="none"/>
                <w:lang w:eastAsia="zh-CN"/>
              </w:rPr>
              <w:t>（</w:t>
            </w:r>
            <w:r>
              <w:rPr>
                <w:rFonts w:hint="eastAsia"/>
                <w:b/>
                <w:bCs/>
                <w:color w:val="auto"/>
                <w:szCs w:val="21"/>
                <w:highlight w:val="none"/>
                <w:lang w:val="en-US" w:eastAsia="zh-CN"/>
              </w:rPr>
              <w:t>采用综合评估法1、综合评估法2项目可以选用</w:t>
            </w:r>
            <w:r>
              <w:rPr>
                <w:rFonts w:hint="eastAsia"/>
                <w:b/>
                <w:bCs/>
                <w:color w:val="auto"/>
                <w:szCs w:val="21"/>
                <w:highlight w:val="none"/>
                <w:lang w:eastAsia="zh-CN"/>
              </w:rPr>
              <w:t>）</w:t>
            </w:r>
            <w:r>
              <w:rPr>
                <w:rFonts w:hint="eastAsia"/>
                <w:color w:val="auto"/>
                <w:szCs w:val="21"/>
                <w:highlight w:val="none"/>
                <w:u w:val="none"/>
                <w:lang w:val="en-US" w:eastAsia="zh-CN"/>
              </w:rPr>
              <w:t xml:space="preserve">   </w:t>
            </w:r>
            <w:r>
              <w:rPr>
                <w:rFonts w:hint="eastAsia"/>
                <w:color w:val="auto"/>
                <w:szCs w:val="21"/>
                <w:highlight w:val="none"/>
              </w:rPr>
              <w:t>即</w:t>
            </w:r>
            <w:r>
              <w:rPr>
                <w:rFonts w:hint="eastAsia"/>
                <w:color w:val="auto"/>
                <w:szCs w:val="21"/>
                <w:highlight w:val="none"/>
                <w:lang w:eastAsia="zh-CN"/>
              </w:rPr>
              <w:t>：</w:t>
            </w:r>
            <w:r>
              <w:rPr>
                <w:rFonts w:hint="eastAsia"/>
                <w:color w:val="auto"/>
                <w:szCs w:val="21"/>
                <w:highlight w:val="none"/>
              </w:rPr>
              <w:t>评标阶段，评标委员会按照招标文件确定的评标标准和方法评标，向招标人推荐不超过3个不排序的中标候选人；定标阶段，招标人按照招标文件确定的定标程序和方法，从推荐的中标候选人中自主确定中标人。</w:t>
            </w:r>
          </w:p>
          <w:p w14:paraId="6EB9DA3B">
            <w:pPr>
              <w:spacing w:line="240" w:lineRule="auto"/>
              <w:ind w:firstLine="422" w:firstLineChars="200"/>
              <w:rPr>
                <w:rFonts w:hint="default" w:eastAsia="宋体"/>
                <w:b/>
                <w:bCs/>
                <w:color w:val="auto"/>
                <w:szCs w:val="21"/>
                <w:highlight w:val="none"/>
                <w:lang w:val="en-US" w:eastAsia="zh-CN"/>
              </w:rPr>
            </w:pPr>
            <w:r>
              <w:rPr>
                <w:rFonts w:hint="eastAsia"/>
                <w:b/>
                <w:bCs/>
                <w:color w:val="auto"/>
                <w:szCs w:val="21"/>
                <w:highlight w:val="none"/>
                <w:lang w:val="en-US" w:eastAsia="zh-CN"/>
              </w:rPr>
              <w:t>1.采用评定分离法的，定标方法为：</w:t>
            </w:r>
          </w:p>
          <w:p w14:paraId="7CD25071">
            <w:pPr>
              <w:spacing w:line="240" w:lineRule="auto"/>
              <w:ind w:firstLine="420" w:firstLineChars="200"/>
              <w:rPr>
                <w:rFonts w:hint="eastAsia"/>
                <w:color w:val="auto"/>
                <w:szCs w:val="21"/>
                <w:highlight w:val="none"/>
              </w:rPr>
            </w:pPr>
            <w:r>
              <w:rPr>
                <w:color w:val="auto"/>
                <w:szCs w:val="21"/>
                <w:highlight w:val="none"/>
              </w:rPr>
              <w:sym w:font="Wingdings 2" w:char="00A3"/>
            </w:r>
            <w:r>
              <w:rPr>
                <w:rFonts w:hint="eastAsia"/>
                <w:b/>
                <w:bCs/>
                <w:color w:val="auto"/>
                <w:szCs w:val="21"/>
                <w:highlight w:val="none"/>
              </w:rPr>
              <w:t>（1）票决法。</w:t>
            </w:r>
            <w:r>
              <w:rPr>
                <w:rFonts w:hint="eastAsia"/>
                <w:color w:val="auto"/>
                <w:szCs w:val="21"/>
                <w:highlight w:val="none"/>
              </w:rPr>
              <w:t>定标委员会成员对中标候选人进行记名投票，得票最高的即为中标人；当最高得票相同时，对得票最高的中标候选人再次进行记名投票，直至选出中标人。</w:t>
            </w:r>
          </w:p>
          <w:p w14:paraId="22AF294D">
            <w:pPr>
              <w:spacing w:line="240" w:lineRule="auto"/>
              <w:ind w:firstLine="420" w:firstLineChars="200"/>
              <w:rPr>
                <w:rFonts w:hint="eastAsia"/>
                <w:color w:val="auto"/>
                <w:szCs w:val="21"/>
                <w:highlight w:val="none"/>
              </w:rPr>
            </w:pPr>
            <w:r>
              <w:rPr>
                <w:color w:val="auto"/>
                <w:szCs w:val="21"/>
                <w:highlight w:val="none"/>
              </w:rPr>
              <w:sym w:font="Wingdings 2" w:char="00A3"/>
            </w:r>
            <w:r>
              <w:rPr>
                <w:rFonts w:hint="eastAsia"/>
                <w:b/>
                <w:bCs/>
                <w:color w:val="auto"/>
                <w:szCs w:val="21"/>
                <w:highlight w:val="none"/>
              </w:rPr>
              <w:t>（2）集体议事法。</w:t>
            </w:r>
            <w:r>
              <w:rPr>
                <w:rFonts w:hint="eastAsia"/>
                <w:color w:val="auto"/>
                <w:szCs w:val="21"/>
                <w:highlight w:val="none"/>
              </w:rPr>
              <w:t>定标委员会成员各自发表意见，由定标委员会组长综合各成员意见最终确定中标人。所有定标委员会成员的意见应当作书面记录，并由定标委员会成员签字确认。</w:t>
            </w:r>
          </w:p>
          <w:p w14:paraId="0BF6967A">
            <w:pPr>
              <w:spacing w:line="240" w:lineRule="auto"/>
              <w:ind w:firstLine="420" w:firstLineChars="200"/>
              <w:rPr>
                <w:rFonts w:hint="eastAsia"/>
                <w:b w:val="0"/>
                <w:bCs w:val="0"/>
                <w:color w:val="auto"/>
                <w:szCs w:val="21"/>
                <w:highlight w:val="none"/>
              </w:rPr>
            </w:pPr>
            <w:r>
              <w:rPr>
                <w:color w:val="auto"/>
                <w:szCs w:val="21"/>
                <w:highlight w:val="none"/>
              </w:rPr>
              <w:sym w:font="Wingdings 2" w:char="00A3"/>
            </w:r>
            <w:r>
              <w:rPr>
                <w:rFonts w:hint="eastAsia"/>
                <w:b/>
                <w:bCs/>
                <w:color w:val="auto"/>
                <w:szCs w:val="21"/>
                <w:highlight w:val="none"/>
              </w:rPr>
              <w:t>（3）因素法。</w:t>
            </w:r>
            <w:r>
              <w:rPr>
                <w:color w:val="auto"/>
                <w:szCs w:val="21"/>
                <w:highlight w:val="none"/>
              </w:rPr>
              <w:sym w:font="Wingdings 2" w:char="00A3"/>
            </w:r>
            <w:r>
              <w:rPr>
                <w:rFonts w:hint="eastAsia"/>
                <w:color w:val="auto"/>
                <w:szCs w:val="21"/>
                <w:highlight w:val="none"/>
              </w:rPr>
              <w:t>商务评审和技术评审两项得分之和由高至低排序确定中标人；</w:t>
            </w:r>
            <w:r>
              <w:rPr>
                <w:color w:val="auto"/>
                <w:szCs w:val="21"/>
                <w:highlight w:val="none"/>
              </w:rPr>
              <w:sym w:font="Wingdings 2" w:char="00A3"/>
            </w:r>
            <w:r>
              <w:rPr>
                <w:rFonts w:hint="eastAsia"/>
                <w:color w:val="auto"/>
                <w:szCs w:val="21"/>
                <w:highlight w:val="none"/>
              </w:rPr>
              <w:t>商务评审得分由高至低排序确定中标人。</w:t>
            </w:r>
            <w:r>
              <w:rPr>
                <w:rFonts w:hint="eastAsia"/>
                <w:b w:val="0"/>
                <w:bCs w:val="0"/>
                <w:color w:val="auto"/>
                <w:szCs w:val="21"/>
                <w:highlight w:val="none"/>
              </w:rPr>
              <w:t>采用因素法定标因素得分相同时，按照评标总得分由高至低排序确定中标人。仍有相同总得分导致无法确定中标人的，确定中标人的方式为：</w:t>
            </w:r>
          </w:p>
          <w:p w14:paraId="1F063CFF">
            <w:pPr>
              <w:spacing w:line="240" w:lineRule="auto"/>
              <w:ind w:firstLine="0" w:firstLineChars="0"/>
              <w:rPr>
                <w:color w:val="auto"/>
                <w:szCs w:val="21"/>
                <w:highlight w:val="none"/>
              </w:rPr>
            </w:pP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60DEAA49">
            <w:pPr>
              <w:spacing w:line="240" w:lineRule="auto"/>
              <w:ind w:firstLine="420" w:firstLineChars="200"/>
              <w:rPr>
                <w:rFonts w:hint="eastAsia"/>
                <w:color w:val="auto"/>
                <w:szCs w:val="21"/>
                <w:highlight w:val="none"/>
              </w:rPr>
            </w:pPr>
            <w:r>
              <w:rPr>
                <w:color w:val="auto"/>
                <w:szCs w:val="21"/>
                <w:highlight w:val="none"/>
              </w:rPr>
              <w:sym w:font="Wingdings 2" w:char="00A3"/>
            </w:r>
            <w:r>
              <w:rPr>
                <w:rFonts w:hint="eastAsia"/>
                <w:b/>
                <w:bCs/>
                <w:color w:val="auto"/>
                <w:szCs w:val="21"/>
                <w:highlight w:val="none"/>
              </w:rPr>
              <w:t>（4）其他方法。</w:t>
            </w:r>
            <w:r>
              <w:rPr>
                <w:rFonts w:hint="eastAsia"/>
                <w:color w:val="auto"/>
                <w:szCs w:val="21"/>
                <w:highlight w:val="none"/>
                <w:u w:val="single"/>
              </w:rPr>
              <w:t xml:space="preserve">                </w:t>
            </w:r>
            <w:r>
              <w:rPr>
                <w:rFonts w:hint="eastAsia"/>
                <w:color w:val="auto"/>
                <w:szCs w:val="21"/>
                <w:highlight w:val="none"/>
              </w:rPr>
              <w:t xml:space="preserve">    </w:t>
            </w:r>
          </w:p>
          <w:p w14:paraId="57E9CE82">
            <w:pPr>
              <w:spacing w:line="240" w:lineRule="auto"/>
              <w:ind w:firstLine="422" w:firstLineChars="200"/>
              <w:rPr>
                <w:rFonts w:hint="default" w:eastAsia="宋体"/>
                <w:b/>
                <w:bCs/>
                <w:color w:val="auto"/>
                <w:szCs w:val="21"/>
                <w:highlight w:val="none"/>
                <w:lang w:val="en-US" w:eastAsia="zh-CN"/>
              </w:rPr>
            </w:pPr>
            <w:r>
              <w:rPr>
                <w:rFonts w:hint="eastAsia"/>
                <w:b/>
                <w:bCs/>
                <w:color w:val="auto"/>
                <w:szCs w:val="21"/>
                <w:highlight w:val="none"/>
                <w:lang w:val="en-US" w:eastAsia="zh-CN"/>
              </w:rPr>
              <w:t xml:space="preserve">2.采用评定分离法的，招标人是否需要考察、质询： </w:t>
            </w:r>
          </w:p>
          <w:p w14:paraId="24D742A2">
            <w:pPr>
              <w:spacing w:beforeLines="-2147483648" w:afterLines="-2147483648" w:line="240" w:lineRule="auto"/>
              <w:ind w:firstLine="420" w:firstLineChars="2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否，不组织考察、质询。</w:t>
            </w:r>
          </w:p>
          <w:p w14:paraId="4D20C748">
            <w:pPr>
              <w:spacing w:beforeLines="-2147483648" w:afterLines="-2147483648" w:line="240" w:lineRule="auto"/>
              <w:ind w:firstLine="420" w:firstLineChars="200"/>
              <w:rPr>
                <w:rFonts w:hint="eastAsia"/>
                <w:b w:val="0"/>
                <w:bCs w:val="0"/>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是，组织考察、质询。</w:t>
            </w:r>
            <w:r>
              <w:rPr>
                <w:rFonts w:hint="eastAsia"/>
                <w:b w:val="0"/>
                <w:bCs w:val="0"/>
                <w:color w:val="auto"/>
                <w:szCs w:val="21"/>
                <w:highlight w:val="none"/>
                <w:lang w:val="en-US" w:eastAsia="zh-CN"/>
              </w:rPr>
              <w:t>考察、质询的方式、内容、时间安排、其他要求：</w:t>
            </w:r>
          </w:p>
          <w:p w14:paraId="5BC8DA19">
            <w:pPr>
              <w:spacing w:beforeLines="-2147483648" w:afterLines="-2147483648" w:line="240" w:lineRule="auto"/>
              <w:ind w:firstLine="840" w:firstLineChars="400"/>
              <w:rPr>
                <w:rFonts w:hint="eastAsia"/>
                <w:b/>
                <w:bCs/>
                <w:color w:val="auto"/>
                <w:szCs w:val="21"/>
                <w:highlight w:val="none"/>
                <w:lang w:val="en-US" w:eastAsia="zh-CN"/>
              </w:rPr>
            </w:pPr>
            <w:r>
              <w:rPr>
                <w:color w:val="auto"/>
                <w:szCs w:val="21"/>
                <w:highlight w:val="none"/>
              </w:rPr>
              <w:sym w:font="Wingdings 2" w:char="00A3"/>
            </w:r>
            <w:r>
              <w:rPr>
                <w:rFonts w:hint="eastAsia"/>
                <w:b/>
                <w:bCs/>
                <w:color w:val="auto"/>
                <w:szCs w:val="21"/>
                <w:highlight w:val="none"/>
                <w:lang w:val="en-US" w:eastAsia="zh-CN"/>
              </w:rPr>
              <w:t>考察：</w:t>
            </w:r>
            <w:r>
              <w:rPr>
                <w:rFonts w:hint="eastAsia"/>
                <w:b w:val="0"/>
                <w:bCs w:val="0"/>
                <w:color w:val="auto"/>
                <w:szCs w:val="21"/>
                <w:highlight w:val="none"/>
                <w:u w:val="single"/>
                <w:lang w:val="en-US" w:eastAsia="zh-CN"/>
              </w:rPr>
              <w:t xml:space="preserve">                       </w:t>
            </w:r>
            <w:r>
              <w:rPr>
                <w:rFonts w:hint="eastAsia"/>
                <w:b/>
                <w:bCs/>
                <w:color w:val="auto"/>
                <w:szCs w:val="21"/>
                <w:highlight w:val="none"/>
                <w:lang w:val="en-US" w:eastAsia="zh-CN"/>
              </w:rPr>
              <w:t xml:space="preserve">  </w:t>
            </w:r>
          </w:p>
          <w:p w14:paraId="5316E6A5">
            <w:pPr>
              <w:spacing w:line="240" w:lineRule="auto"/>
              <w:ind w:firstLine="840" w:firstLineChars="400"/>
              <w:rPr>
                <w:rFonts w:hint="eastAsia"/>
                <w:color w:val="auto"/>
                <w:szCs w:val="21"/>
                <w:highlight w:val="none"/>
              </w:rPr>
            </w:pPr>
            <w:r>
              <w:rPr>
                <w:color w:val="auto"/>
                <w:szCs w:val="21"/>
                <w:highlight w:val="none"/>
              </w:rPr>
              <w:sym w:font="Wingdings 2" w:char="00A3"/>
            </w:r>
            <w:r>
              <w:rPr>
                <w:rFonts w:hint="eastAsia"/>
                <w:b/>
                <w:bCs/>
                <w:color w:val="auto"/>
                <w:szCs w:val="21"/>
                <w:highlight w:val="none"/>
                <w:lang w:val="en-US" w:eastAsia="zh-CN"/>
              </w:rPr>
              <w:t>质询：</w:t>
            </w:r>
            <w:r>
              <w:rPr>
                <w:rFonts w:hint="eastAsia"/>
                <w:b w:val="0"/>
                <w:bCs w:val="0"/>
                <w:color w:val="auto"/>
                <w:szCs w:val="21"/>
                <w:highlight w:val="none"/>
                <w:u w:val="single"/>
                <w:lang w:val="en-US" w:eastAsia="zh-CN"/>
              </w:rPr>
              <w:t xml:space="preserve">                       </w:t>
            </w:r>
            <w:r>
              <w:rPr>
                <w:rFonts w:hint="eastAsia"/>
                <w:b/>
                <w:bCs/>
                <w:color w:val="auto"/>
                <w:szCs w:val="21"/>
                <w:highlight w:val="none"/>
                <w:lang w:val="en-US" w:eastAsia="zh-CN"/>
              </w:rPr>
              <w:t xml:space="preserve">      </w:t>
            </w:r>
          </w:p>
          <w:p w14:paraId="2B19DCB9">
            <w:pPr>
              <w:spacing w:line="240" w:lineRule="auto"/>
              <w:ind w:firstLine="422" w:firstLineChars="200"/>
              <w:rPr>
                <w:rFonts w:hint="eastAsia"/>
                <w:b/>
                <w:bCs/>
                <w:color w:val="auto"/>
                <w:szCs w:val="21"/>
                <w:highlight w:val="none"/>
                <w:lang w:val="en-US" w:eastAsia="zh-CN"/>
              </w:rPr>
            </w:pPr>
            <w:r>
              <w:rPr>
                <w:rFonts w:hint="eastAsia"/>
                <w:b/>
                <w:bCs/>
                <w:color w:val="auto"/>
                <w:szCs w:val="21"/>
                <w:highlight w:val="none"/>
                <w:lang w:val="en-US" w:eastAsia="zh-CN"/>
              </w:rPr>
              <w:t>3.采用评定分离法的，定标要素的具体内容应参考招标文件规定的评标办法、质询或考察内容等，此外，还可以参考以下方面：</w:t>
            </w:r>
          </w:p>
          <w:p w14:paraId="675EBEFB">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价格因素  </w:t>
            </w:r>
          </w:p>
          <w:p w14:paraId="700031D4">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企业匹配性 </w:t>
            </w:r>
          </w:p>
          <w:p w14:paraId="7707F560">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企业信誉   </w:t>
            </w:r>
          </w:p>
          <w:p w14:paraId="4E76D9F3">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投标方案  </w:t>
            </w:r>
          </w:p>
          <w:p w14:paraId="0A7FCF04">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拟派团队能力和水平</w:t>
            </w:r>
          </w:p>
          <w:p w14:paraId="27747D9C">
            <w:pPr>
              <w:spacing w:line="240" w:lineRule="auto"/>
              <w:ind w:firstLine="840" w:firstLineChars="400"/>
              <w:rPr>
                <w:rFonts w:ascii="Calibri" w:hAnsi="Calibri" w:eastAsia="宋体" w:cs="Calibri"/>
                <w:bCs/>
                <w:color w:val="auto"/>
                <w:kern w:val="2"/>
                <w:sz w:val="21"/>
                <w:szCs w:val="21"/>
                <w:highlight w:val="none"/>
                <w:lang w:val="en-US" w:eastAsia="zh-CN" w:bidi="ar-SA"/>
              </w:rPr>
            </w:pPr>
            <w:r>
              <w:rPr>
                <w:color w:val="auto"/>
                <w:szCs w:val="21"/>
                <w:highlight w:val="none"/>
              </w:rPr>
              <w:sym w:font="Wingdings 2" w:char="00A3"/>
            </w:r>
            <w:r>
              <w:rPr>
                <w:rFonts w:hint="eastAsia"/>
                <w:color w:val="auto"/>
                <w:szCs w:val="21"/>
                <w:highlight w:val="none"/>
                <w:lang w:val="en-US" w:eastAsia="zh-CN"/>
              </w:rPr>
              <w:t>招标人认为需要考虑的其他因素：</w:t>
            </w:r>
            <w:r>
              <w:rPr>
                <w:rFonts w:hint="eastAsia"/>
                <w:color w:val="auto"/>
                <w:szCs w:val="21"/>
                <w:highlight w:val="none"/>
                <w:u w:val="single"/>
                <w:lang w:val="en-US" w:eastAsia="zh-CN"/>
              </w:rPr>
              <w:t xml:space="preserve">                    </w:t>
            </w:r>
          </w:p>
        </w:tc>
      </w:tr>
      <w:tr w14:paraId="7721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26" w:type="dxa"/>
            <w:vAlign w:val="center"/>
          </w:tcPr>
          <w:p w14:paraId="2844E927">
            <w:pPr>
              <w:widowControl/>
              <w:kinsoku w:val="0"/>
              <w:autoSpaceDE w:val="0"/>
              <w:autoSpaceDN w:val="0"/>
              <w:spacing w:line="360" w:lineRule="auto"/>
              <w:jc w:val="center"/>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7.</w:t>
            </w:r>
            <w:r>
              <w:rPr>
                <w:rFonts w:hint="eastAsia" w:ascii="宋体" w:hAnsi="宋体" w:cs="Arial"/>
                <w:snapToGrid w:val="0"/>
                <w:color w:val="auto"/>
                <w:kern w:val="0"/>
                <w:szCs w:val="21"/>
                <w:highlight w:val="none"/>
              </w:rPr>
              <w:t>1.2</w:t>
            </w:r>
          </w:p>
        </w:tc>
        <w:tc>
          <w:tcPr>
            <w:tcW w:w="2010" w:type="dxa"/>
            <w:gridSpan w:val="3"/>
            <w:vAlign w:val="center"/>
          </w:tcPr>
          <w:p w14:paraId="22B4DE6B">
            <w:pPr>
              <w:widowControl/>
              <w:kinsoku w:val="0"/>
              <w:autoSpaceDE w:val="0"/>
              <w:autoSpaceDN w:val="0"/>
              <w:spacing w:line="360" w:lineRule="auto"/>
              <w:jc w:val="left"/>
              <w:textAlignment w:val="baseline"/>
              <w:rPr>
                <w:rFonts w:ascii="Calibri" w:hAnsi="Calibri" w:cs="Calibri"/>
                <w:color w:val="auto"/>
                <w:szCs w:val="21"/>
                <w:highlight w:val="none"/>
              </w:rPr>
            </w:pPr>
            <w:r>
              <w:rPr>
                <w:rFonts w:ascii="Arial" w:hAnsi="Arial" w:eastAsia="Arial" w:cs="Arial"/>
                <w:snapToGrid w:val="0"/>
                <w:color w:val="auto"/>
                <w:kern w:val="0"/>
                <w:szCs w:val="21"/>
                <w:highlight w:val="none"/>
                <w:lang w:eastAsia="en-US"/>
              </w:rPr>
              <w:t>中标候选人公示媒介</w:t>
            </w:r>
          </w:p>
        </w:tc>
        <w:tc>
          <w:tcPr>
            <w:tcW w:w="6462" w:type="dxa"/>
            <w:vAlign w:val="center"/>
          </w:tcPr>
          <w:p w14:paraId="3F024EA6">
            <w:pPr>
              <w:widowControl/>
              <w:kinsoku w:val="0"/>
              <w:autoSpaceDE w:val="0"/>
              <w:autoSpaceDN w:val="0"/>
              <w:spacing w:line="360" w:lineRule="auto"/>
              <w:jc w:val="left"/>
              <w:textAlignment w:val="baseline"/>
              <w:rPr>
                <w:rFonts w:ascii="Calibri" w:hAnsi="Calibri" w:cs="Calibri"/>
                <w:color w:val="auto"/>
                <w:szCs w:val="21"/>
                <w:highlight w:val="none"/>
              </w:rPr>
            </w:pPr>
            <w:r>
              <w:rPr>
                <w:rFonts w:ascii="Arial" w:hAnsi="Arial" w:eastAsia="Arial" w:cs="Arial"/>
                <w:snapToGrid w:val="0"/>
                <w:color w:val="auto"/>
                <w:kern w:val="0"/>
                <w:szCs w:val="21"/>
                <w:highlight w:val="none"/>
              </w:rPr>
              <w:t>湖南</w:t>
            </w:r>
            <w:r>
              <w:rPr>
                <w:rFonts w:hint="eastAsia" w:ascii="Arial" w:hAnsi="Arial" w:eastAsia="Arial" w:cs="Arial"/>
                <w:snapToGrid w:val="0"/>
                <w:color w:val="auto"/>
                <w:kern w:val="0"/>
                <w:szCs w:val="21"/>
                <w:highlight w:val="none"/>
              </w:rPr>
              <w:t>省</w:t>
            </w:r>
            <w:r>
              <w:rPr>
                <w:rFonts w:ascii="Arial" w:hAnsi="Arial" w:eastAsia="Arial" w:cs="Arial"/>
                <w:snapToGrid w:val="0"/>
                <w:color w:val="auto"/>
                <w:kern w:val="0"/>
                <w:szCs w:val="21"/>
                <w:highlight w:val="none"/>
              </w:rPr>
              <w:t>招</w:t>
            </w:r>
            <w:r>
              <w:rPr>
                <w:rFonts w:hint="eastAsia" w:ascii="Arial" w:hAnsi="Arial" w:eastAsia="Arial" w:cs="Arial"/>
                <w:snapToGrid w:val="0"/>
                <w:color w:val="auto"/>
                <w:kern w:val="0"/>
                <w:szCs w:val="21"/>
                <w:highlight w:val="none"/>
              </w:rPr>
              <w:t>标</w:t>
            </w:r>
            <w:r>
              <w:rPr>
                <w:rFonts w:ascii="Arial" w:hAnsi="Arial" w:eastAsia="Arial" w:cs="Arial"/>
                <w:snapToGrid w:val="0"/>
                <w:color w:val="auto"/>
                <w:kern w:val="0"/>
                <w:szCs w:val="21"/>
                <w:highlight w:val="none"/>
              </w:rPr>
              <w:t>投标监管网</w:t>
            </w:r>
            <w:r>
              <w:rPr>
                <w:rFonts w:hint="eastAsia" w:ascii="Arial" w:hAnsi="Arial" w:cs="Arial"/>
                <w:snapToGrid w:val="0"/>
                <w:color w:val="auto"/>
                <w:kern w:val="0"/>
                <w:szCs w:val="21"/>
                <w:highlight w:val="none"/>
              </w:rPr>
              <w:t>、</w:t>
            </w:r>
            <w:r>
              <w:rPr>
                <w:rFonts w:hint="eastAsia" w:ascii="Calibri" w:hAnsi="Calibri" w:cs="Calibri"/>
                <w:i/>
                <w:iCs/>
                <w:color w:val="auto"/>
                <w:highlight w:val="none"/>
                <w:u w:val="single"/>
              </w:rPr>
              <w:t>电子招标投标交易平台名称</w:t>
            </w:r>
            <w:r>
              <w:rPr>
                <w:rFonts w:ascii="Arial" w:hAnsi="Arial" w:eastAsia="Arial" w:cs="Arial"/>
                <w:snapToGrid w:val="0"/>
                <w:color w:val="auto"/>
                <w:kern w:val="0"/>
                <w:szCs w:val="21"/>
                <w:highlight w:val="none"/>
              </w:rPr>
              <w:t>和______________（发布公告的媒介名称）</w:t>
            </w:r>
          </w:p>
        </w:tc>
      </w:tr>
      <w:tr w14:paraId="7A0F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Align w:val="center"/>
          </w:tcPr>
          <w:p w14:paraId="27E5996F">
            <w:pPr>
              <w:ind w:firstLine="210" w:firstLineChars="100"/>
              <w:rPr>
                <w:rFonts w:ascii="Calibri" w:hAnsi="Calibri" w:cs="Calibri"/>
                <w:color w:val="auto"/>
                <w:szCs w:val="21"/>
                <w:highlight w:val="none"/>
              </w:rPr>
            </w:pPr>
            <w:r>
              <w:rPr>
                <w:rFonts w:hint="eastAsia" w:ascii="Calibri" w:hAnsi="Calibri" w:cs="Calibri"/>
                <w:color w:val="auto"/>
                <w:szCs w:val="21"/>
                <w:highlight w:val="none"/>
              </w:rPr>
              <w:t>7.3.1</w:t>
            </w:r>
          </w:p>
        </w:tc>
        <w:tc>
          <w:tcPr>
            <w:tcW w:w="2010" w:type="dxa"/>
            <w:gridSpan w:val="3"/>
            <w:vAlign w:val="center"/>
          </w:tcPr>
          <w:p w14:paraId="72373987">
            <w:pPr>
              <w:ind w:firstLine="420" w:firstLineChars="200"/>
              <w:rPr>
                <w:rFonts w:ascii="Calibri" w:hAnsi="Calibri" w:cs="Calibri"/>
                <w:color w:val="auto"/>
                <w:szCs w:val="21"/>
                <w:highlight w:val="none"/>
              </w:rPr>
            </w:pPr>
            <w:r>
              <w:rPr>
                <w:rFonts w:ascii="Calibri" w:hAnsi="Calibri" w:cs="Calibri"/>
                <w:color w:val="auto"/>
                <w:szCs w:val="21"/>
                <w:highlight w:val="none"/>
              </w:rPr>
              <w:t>履约担保</w:t>
            </w:r>
          </w:p>
        </w:tc>
        <w:tc>
          <w:tcPr>
            <w:tcW w:w="6462" w:type="dxa"/>
            <w:vAlign w:val="center"/>
          </w:tcPr>
          <w:p w14:paraId="25E325A5">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经评审</w:t>
            </w:r>
            <w:r>
              <w:rPr>
                <w:rFonts w:hint="eastAsia" w:ascii="Calibri" w:hAnsi="Calibri" w:cs="Calibri"/>
                <w:color w:val="auto"/>
                <w:szCs w:val="21"/>
                <w:highlight w:val="none"/>
              </w:rPr>
              <w:t>的</w:t>
            </w:r>
            <w:r>
              <w:rPr>
                <w:rFonts w:ascii="Calibri" w:hAnsi="Calibri" w:cs="Calibri"/>
                <w:color w:val="auto"/>
                <w:szCs w:val="21"/>
                <w:highlight w:val="none"/>
              </w:rPr>
              <w:t>最低投标价法</w:t>
            </w:r>
            <w:r>
              <w:rPr>
                <w:rFonts w:hint="eastAsia" w:ascii="Calibri" w:hAnsi="Calibri" w:cs="Calibri"/>
                <w:color w:val="auto"/>
                <w:szCs w:val="21"/>
                <w:highlight w:val="none"/>
              </w:rPr>
              <w:t>、合理低价法和技术评分最低标价法</w:t>
            </w:r>
            <w:r>
              <w:rPr>
                <w:rFonts w:ascii="Calibri" w:hAnsi="Calibri" w:cs="Calibri"/>
                <w:color w:val="auto"/>
                <w:szCs w:val="21"/>
                <w:highlight w:val="none"/>
              </w:rPr>
              <w:t>，</w:t>
            </w:r>
            <w:r>
              <w:rPr>
                <w:rFonts w:hint="eastAsia" w:ascii="Calibri" w:hAnsi="Calibri" w:cs="Calibri"/>
                <w:color w:val="auto"/>
                <w:szCs w:val="21"/>
                <w:highlight w:val="none"/>
              </w:rPr>
              <w:t>应当</w:t>
            </w:r>
            <w:r>
              <w:rPr>
                <w:rFonts w:ascii="Calibri" w:hAnsi="Calibri" w:cs="Calibri"/>
                <w:color w:val="auto"/>
                <w:szCs w:val="21"/>
                <w:highlight w:val="none"/>
              </w:rPr>
              <w:t>提供履约担保</w:t>
            </w:r>
            <w:r>
              <w:rPr>
                <w:rFonts w:hint="eastAsia" w:ascii="Calibri" w:hAnsi="Calibri" w:cs="Calibri"/>
                <w:color w:val="auto"/>
                <w:szCs w:val="21"/>
                <w:highlight w:val="none"/>
              </w:rPr>
              <w:t>。</w:t>
            </w:r>
          </w:p>
          <w:p w14:paraId="58E719D0">
            <w:pPr>
              <w:rPr>
                <w:rFonts w:ascii="Calibri" w:hAnsi="Calibri" w:cs="Calibri"/>
                <w:color w:val="auto"/>
                <w:szCs w:val="21"/>
                <w:highlight w:val="none"/>
              </w:rPr>
            </w:pPr>
            <w:r>
              <w:rPr>
                <w:rFonts w:ascii="Calibri" w:hAnsi="Calibri" w:cs="Calibri"/>
                <w:color w:val="auto"/>
                <w:szCs w:val="21"/>
                <w:highlight w:val="none"/>
              </w:rPr>
              <w:t>1.保函形式：</w:t>
            </w:r>
            <w:r>
              <w:rPr>
                <w:rFonts w:hint="eastAsia" w:ascii="Calibri" w:hAnsi="Calibri" w:cs="Calibri"/>
                <w:color w:val="auto"/>
                <w:szCs w:val="21"/>
                <w:highlight w:val="none"/>
              </w:rPr>
              <w:t>（</w:t>
            </w:r>
            <w:r>
              <w:rPr>
                <w:rFonts w:hint="eastAsia" w:ascii="宋体" w:hAnsi="宋体" w:cs="宋体"/>
                <w:color w:val="auto"/>
                <w:szCs w:val="21"/>
                <w:highlight w:val="none"/>
              </w:rPr>
              <w:t>银行业金融机构、专业担保公司开立的无条件的、不可撤销的独立保函、保险公司开具的见索即付的保证保险</w:t>
            </w:r>
            <w:r>
              <w:rPr>
                <w:rFonts w:hint="eastAsia" w:ascii="Calibri" w:hAnsi="Calibri" w:cs="Calibri"/>
                <w:color w:val="auto"/>
                <w:szCs w:val="21"/>
                <w:highlight w:val="none"/>
              </w:rPr>
              <w:t>）。</w:t>
            </w:r>
          </w:p>
          <w:p w14:paraId="3700AA92">
            <w:pPr>
              <w:rPr>
                <w:rFonts w:ascii="Calibri" w:hAnsi="Calibri" w:cs="Calibri"/>
                <w:color w:val="auto"/>
                <w:szCs w:val="21"/>
                <w:highlight w:val="none"/>
              </w:rPr>
            </w:pPr>
            <w:r>
              <w:rPr>
                <w:rFonts w:ascii="Calibri" w:hAnsi="Calibri" w:cs="Calibri"/>
                <w:color w:val="auto"/>
                <w:szCs w:val="21"/>
                <w:highlight w:val="none"/>
              </w:rPr>
              <w:t>2.担保金额：</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hint="eastAsia" w:ascii="宋体" w:hAnsi="宋体" w:cs="宋体"/>
                <w:color w:val="auto"/>
                <w:szCs w:val="21"/>
                <w:highlight w:val="none"/>
              </w:rPr>
              <w:t>采用经评审的最低投标价法、合理低价法和技术评分最低标价法的项目，中标合同金额低于项目进入</w:t>
            </w:r>
            <w:r>
              <w:rPr>
                <w:rFonts w:hint="eastAsia"/>
                <w:color w:val="auto"/>
                <w:highlight w:val="none"/>
              </w:rPr>
              <w:t>阶段评审的</w:t>
            </w:r>
            <w:r>
              <w:rPr>
                <w:rFonts w:hint="eastAsia" w:ascii="宋体" w:hAnsi="宋体" w:cs="宋体"/>
                <w:color w:val="auto"/>
                <w:szCs w:val="21"/>
                <w:highlight w:val="none"/>
              </w:rPr>
              <w:t>有效投标报价的平均价10%以上的，中标单位应另提交超出10%以上差额的诚信金。</w:t>
            </w:r>
          </w:p>
          <w:p w14:paraId="0E9C594F">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综合评估法：</w:t>
            </w:r>
          </w:p>
          <w:p w14:paraId="0B7F9C48">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不要求提供履约担保；</w:t>
            </w:r>
            <w:r>
              <w:rPr>
                <w:rFonts w:hint="eastAsia" w:ascii="Calibri" w:hAnsi="Calibri" w:cs="Calibri"/>
                <w:color w:val="auto"/>
                <w:szCs w:val="21"/>
                <w:highlight w:val="none"/>
              </w:rPr>
              <w:t xml:space="preserve"> </w:t>
            </w:r>
          </w:p>
          <w:p w14:paraId="234A7997">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要求</w:t>
            </w:r>
            <w:r>
              <w:rPr>
                <w:rFonts w:hint="eastAsia" w:ascii="Calibri" w:hAnsi="Calibri" w:cs="Calibri"/>
                <w:color w:val="auto"/>
                <w:szCs w:val="21"/>
                <w:highlight w:val="none"/>
              </w:rPr>
              <w:t>提供</w:t>
            </w:r>
            <w:r>
              <w:rPr>
                <w:rFonts w:ascii="Calibri" w:hAnsi="Calibri" w:cs="Calibri"/>
                <w:color w:val="auto"/>
                <w:szCs w:val="21"/>
                <w:highlight w:val="none"/>
              </w:rPr>
              <w:t>履约担保</w:t>
            </w:r>
            <w:r>
              <w:rPr>
                <w:rFonts w:hint="eastAsia" w:ascii="Calibri" w:hAnsi="Calibri" w:cs="Calibri"/>
                <w:color w:val="auto"/>
                <w:szCs w:val="21"/>
                <w:highlight w:val="none"/>
              </w:rPr>
              <w:t>：</w:t>
            </w:r>
          </w:p>
          <w:p w14:paraId="1675C55D">
            <w:pPr>
              <w:widowControl/>
              <w:ind w:left="-103" w:leftChars="-49" w:firstLine="422" w:firstLineChars="201"/>
              <w:rPr>
                <w:rFonts w:hint="eastAsia" w:ascii="宋体" w:hAnsi="宋体" w:cs="宋体"/>
                <w:color w:val="auto"/>
                <w:szCs w:val="21"/>
                <w:highlight w:val="none"/>
              </w:rPr>
            </w:pPr>
            <w:r>
              <w:rPr>
                <w:rFonts w:hint="eastAsia" w:ascii="宋体" w:hAnsi="宋体" w:cs="宋体"/>
                <w:color w:val="auto"/>
                <w:szCs w:val="21"/>
                <w:highlight w:val="none"/>
              </w:rPr>
              <w:t>1.保函形式：（银行业金融机构、专业担保公司开立的无条件的、不可撤销的独立保函、保险公司开具的见索即付的保证保险）</w:t>
            </w:r>
          </w:p>
          <w:p w14:paraId="4CFF6A97">
            <w:pPr>
              <w:ind w:left="-103" w:leftChars="-49" w:firstLine="422" w:firstLineChars="201"/>
              <w:rPr>
                <w:rFonts w:hint="eastAsia" w:ascii="宋体" w:hAnsi="宋体" w:cs="宋体"/>
                <w:color w:val="auto"/>
                <w:szCs w:val="21"/>
                <w:highlight w:val="none"/>
                <w:u w:val="single"/>
              </w:rPr>
            </w:pPr>
            <w:r>
              <w:rPr>
                <w:rFonts w:hint="eastAsia" w:ascii="宋体" w:hAnsi="宋体" w:cs="宋体"/>
                <w:color w:val="auto"/>
                <w:szCs w:val="21"/>
                <w:highlight w:val="none"/>
              </w:rPr>
              <w:t>2.担保金额：</w:t>
            </w:r>
            <w:r>
              <w:rPr>
                <w:rFonts w:hint="eastAsia" w:ascii="宋体" w:hAnsi="宋体" w:cs="宋体"/>
                <w:color w:val="auto"/>
                <w:szCs w:val="21"/>
                <w:highlight w:val="none"/>
                <w:u w:val="single"/>
              </w:rPr>
              <w:t xml:space="preserve">         </w:t>
            </w:r>
          </w:p>
        </w:tc>
      </w:tr>
      <w:tr w14:paraId="18DA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Align w:val="center"/>
          </w:tcPr>
          <w:p w14:paraId="51FC8446">
            <w:pPr>
              <w:ind w:firstLine="210" w:firstLineChars="100"/>
              <w:rPr>
                <w:rFonts w:ascii="Calibri" w:hAnsi="Calibri" w:cs="Calibri"/>
                <w:color w:val="auto"/>
                <w:szCs w:val="21"/>
                <w:highlight w:val="none"/>
              </w:rPr>
            </w:pPr>
            <w:r>
              <w:rPr>
                <w:rFonts w:hint="eastAsia" w:ascii="Calibri" w:hAnsi="Calibri" w:cs="Calibri"/>
                <w:color w:val="auto"/>
                <w:szCs w:val="21"/>
                <w:highlight w:val="none"/>
              </w:rPr>
              <w:t>10</w:t>
            </w:r>
          </w:p>
        </w:tc>
        <w:tc>
          <w:tcPr>
            <w:tcW w:w="8472" w:type="dxa"/>
            <w:gridSpan w:val="4"/>
            <w:vAlign w:val="center"/>
          </w:tcPr>
          <w:p w14:paraId="18FD54D0">
            <w:pPr>
              <w:ind w:firstLine="420" w:firstLineChars="200"/>
              <w:jc w:val="center"/>
              <w:rPr>
                <w:rFonts w:ascii="Calibri" w:hAnsi="Calibri" w:cs="Calibri"/>
                <w:color w:val="auto"/>
                <w:szCs w:val="21"/>
                <w:highlight w:val="none"/>
              </w:rPr>
            </w:pPr>
            <w:r>
              <w:rPr>
                <w:rFonts w:hint="eastAsia" w:ascii="宋体" w:hAnsi="宋体" w:eastAsia="Arial" w:cs="Arial"/>
                <w:b/>
                <w:snapToGrid w:val="0"/>
                <w:color w:val="auto"/>
                <w:kern w:val="0"/>
                <w:szCs w:val="21"/>
                <w:highlight w:val="none"/>
                <w:lang w:eastAsia="en-US"/>
              </w:rPr>
              <w:t>需要</w:t>
            </w:r>
            <w:r>
              <w:rPr>
                <w:rFonts w:ascii="宋体" w:hAnsi="宋体" w:eastAsia="Arial" w:cs="Arial"/>
                <w:b/>
                <w:snapToGrid w:val="0"/>
                <w:color w:val="auto"/>
                <w:kern w:val="0"/>
                <w:szCs w:val="21"/>
                <w:highlight w:val="none"/>
                <w:lang w:eastAsia="en-US"/>
              </w:rPr>
              <w:t>补充</w:t>
            </w:r>
            <w:r>
              <w:rPr>
                <w:rFonts w:hint="eastAsia" w:ascii="宋体" w:hAnsi="宋体" w:eastAsia="Arial" w:cs="Arial"/>
                <w:b/>
                <w:snapToGrid w:val="0"/>
                <w:color w:val="auto"/>
                <w:kern w:val="0"/>
                <w:szCs w:val="21"/>
                <w:highlight w:val="none"/>
                <w:lang w:eastAsia="en-US"/>
              </w:rPr>
              <w:t>的其他</w:t>
            </w:r>
            <w:r>
              <w:rPr>
                <w:rFonts w:ascii="宋体" w:hAnsi="宋体" w:eastAsia="Arial" w:cs="Arial"/>
                <w:b/>
                <w:snapToGrid w:val="0"/>
                <w:color w:val="auto"/>
                <w:kern w:val="0"/>
                <w:szCs w:val="21"/>
                <w:highlight w:val="none"/>
                <w:lang w:eastAsia="en-US"/>
              </w:rPr>
              <w:t>内容</w:t>
            </w:r>
          </w:p>
        </w:tc>
      </w:tr>
      <w:tr w14:paraId="564C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26" w:type="dxa"/>
            <w:vMerge w:val="restart"/>
            <w:vAlign w:val="center"/>
          </w:tcPr>
          <w:p w14:paraId="7588822E">
            <w:pPr>
              <w:widowControl/>
              <w:kinsoku w:val="0"/>
              <w:autoSpaceDE w:val="0"/>
              <w:autoSpaceDN w:val="0"/>
              <w:spacing w:line="360" w:lineRule="auto"/>
              <w:ind w:firstLine="210" w:firstLineChars="100"/>
              <w:jc w:val="left"/>
              <w:textAlignment w:val="baseline"/>
              <w:rPr>
                <w:rFonts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10.1</w:t>
            </w:r>
          </w:p>
        </w:tc>
        <w:tc>
          <w:tcPr>
            <w:tcW w:w="1047" w:type="dxa"/>
            <w:gridSpan w:val="2"/>
            <w:vMerge w:val="restart"/>
            <w:vAlign w:val="center"/>
          </w:tcPr>
          <w:p w14:paraId="422AF409">
            <w:pPr>
              <w:rPr>
                <w:rFonts w:hint="eastAsia" w:ascii="宋体" w:hAnsi="宋体" w:cs="宋体"/>
                <w:bCs/>
                <w:color w:val="auto"/>
                <w:szCs w:val="21"/>
                <w:highlight w:val="none"/>
              </w:rPr>
            </w:pPr>
            <w:r>
              <w:rPr>
                <w:rFonts w:hint="eastAsia" w:ascii="宋体" w:hAnsi="宋体" w:cs="宋体"/>
                <w:bCs/>
                <w:color w:val="auto"/>
                <w:szCs w:val="21"/>
                <w:highlight w:val="none"/>
              </w:rPr>
              <w:t>最高投标限价、合同价格形式和计量与计价的风险内容及其范围</w:t>
            </w:r>
          </w:p>
        </w:tc>
        <w:tc>
          <w:tcPr>
            <w:tcW w:w="963" w:type="dxa"/>
            <w:vAlign w:val="center"/>
          </w:tcPr>
          <w:p w14:paraId="050D2767">
            <w:pPr>
              <w:rPr>
                <w:rFonts w:hint="eastAsia" w:ascii="宋体" w:hAnsi="宋体" w:cs="宋体"/>
                <w:bCs/>
                <w:color w:val="auto"/>
                <w:szCs w:val="21"/>
                <w:highlight w:val="none"/>
                <w:lang w:eastAsia="en-US"/>
              </w:rPr>
            </w:pPr>
            <w:r>
              <w:rPr>
                <w:rFonts w:hint="eastAsia" w:ascii="宋体" w:hAnsi="宋体" w:cs="宋体"/>
                <w:bCs/>
                <w:color w:val="auto"/>
                <w:szCs w:val="21"/>
                <w:highlight w:val="none"/>
              </w:rPr>
              <w:t>最高投标限价</w:t>
            </w:r>
          </w:p>
        </w:tc>
        <w:tc>
          <w:tcPr>
            <w:tcW w:w="6462" w:type="dxa"/>
            <w:vAlign w:val="center"/>
          </w:tcPr>
          <w:p w14:paraId="539F84AF">
            <w:pPr>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最高投标限价总价：            </w:t>
            </w:r>
          </w:p>
          <w:p w14:paraId="5B06649D">
            <w:pPr>
              <w:jc w:val="left"/>
              <w:rPr>
                <w:rFonts w:hint="eastAsia" w:ascii="宋体" w:hAnsi="宋体" w:cs="宋体"/>
                <w:bCs/>
                <w:color w:val="auto"/>
                <w:szCs w:val="21"/>
                <w:highlight w:val="none"/>
              </w:rPr>
            </w:pPr>
            <w:r>
              <w:rPr>
                <w:rFonts w:hint="eastAsia" w:ascii="宋体" w:hAnsi="宋体" w:cs="宋体"/>
                <w:bCs/>
                <w:color w:val="auto"/>
                <w:szCs w:val="21"/>
                <w:highlight w:val="none"/>
              </w:rPr>
              <w:t>最高投标限价包括下列内容：</w:t>
            </w:r>
          </w:p>
          <w:p w14:paraId="148CB5CC">
            <w:pPr>
              <w:jc w:val="left"/>
              <w:rPr>
                <w:rFonts w:hint="eastAsia" w:ascii="宋体" w:hAnsi="宋体" w:cs="宋体"/>
                <w:bCs/>
                <w:color w:val="auto"/>
                <w:szCs w:val="21"/>
                <w:highlight w:val="none"/>
              </w:rPr>
            </w:pP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 1 \* GB3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①</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最高投标限价总价；</w:t>
            </w:r>
          </w:p>
          <w:p w14:paraId="7689888E">
            <w:pPr>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 2 \* GB3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②</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安全生产措施费金额及其费率；</w:t>
            </w:r>
          </w:p>
          <w:p w14:paraId="29934307">
            <w:pPr>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 3 \* GB3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③</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增值税金额及其费率；</w:t>
            </w:r>
          </w:p>
          <w:p w14:paraId="74BA21C8">
            <w:pPr>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 4 \* GB3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④</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暂列金额和专业工程暂估价金额和材料暂估单价;</w:t>
            </w:r>
          </w:p>
          <w:p w14:paraId="2F673676">
            <w:pPr>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w:t>
            </w:r>
            <w:r>
              <w:rPr>
                <w:rFonts w:hint="eastAsia" w:ascii="宋体" w:hAnsi="宋体" w:cs="宋体"/>
                <w:bCs/>
                <w:color w:val="auto"/>
                <w:szCs w:val="21"/>
                <w:highlight w:val="none"/>
              </w:rPr>
              <w:fldChar w:fldCharType="begin"/>
            </w:r>
            <w:r>
              <w:rPr>
                <w:rFonts w:hint="eastAsia" w:ascii="宋体" w:hAnsi="宋体" w:cs="宋体"/>
                <w:bCs/>
                <w:color w:val="auto"/>
                <w:szCs w:val="21"/>
                <w:highlight w:val="none"/>
              </w:rPr>
              <w:instrText xml:space="preserve"> = 5 \* GB3 </w:instrText>
            </w:r>
            <w:r>
              <w:rPr>
                <w:rFonts w:hint="eastAsia" w:ascii="宋体" w:hAnsi="宋体" w:cs="宋体"/>
                <w:bCs/>
                <w:color w:val="auto"/>
                <w:szCs w:val="21"/>
                <w:highlight w:val="none"/>
              </w:rPr>
              <w:fldChar w:fldCharType="separate"/>
            </w:r>
            <w:r>
              <w:rPr>
                <w:rFonts w:hint="eastAsia" w:ascii="宋体" w:hAnsi="宋体" w:cs="宋体"/>
                <w:bCs/>
                <w:color w:val="auto"/>
                <w:szCs w:val="21"/>
                <w:highlight w:val="none"/>
              </w:rPr>
              <w:t>⑤</w:t>
            </w:r>
            <w:r>
              <w:rPr>
                <w:rFonts w:hint="eastAsia" w:ascii="宋体" w:hAnsi="宋体" w:cs="宋体"/>
                <w:bCs/>
                <w:color w:val="auto"/>
                <w:szCs w:val="21"/>
                <w:highlight w:val="none"/>
              </w:rPr>
              <w:fldChar w:fldCharType="end"/>
            </w:r>
            <w:r>
              <w:rPr>
                <w:rFonts w:hint="eastAsia" w:ascii="宋体" w:hAnsi="宋体" w:cs="宋体"/>
                <w:bCs/>
                <w:color w:val="auto"/>
                <w:szCs w:val="21"/>
                <w:highlight w:val="none"/>
              </w:rPr>
              <w:t>其它（招标人根据招标项目特点和实际需要进行编写）：</w:t>
            </w:r>
            <w:r>
              <w:rPr>
                <w:rFonts w:hint="eastAsia" w:ascii="宋体" w:hAnsi="宋体" w:cs="宋体"/>
                <w:bCs/>
                <w:color w:val="auto"/>
                <w:szCs w:val="21"/>
                <w:highlight w:val="none"/>
                <w:u w:val="single"/>
              </w:rPr>
              <w:t xml:space="preserve">       </w:t>
            </w:r>
          </w:p>
        </w:tc>
      </w:tr>
      <w:tr w14:paraId="31DF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26" w:type="dxa"/>
            <w:vMerge w:val="continue"/>
            <w:vAlign w:val="center"/>
          </w:tcPr>
          <w:p w14:paraId="115918B2">
            <w:pPr>
              <w:widowControl/>
              <w:kinsoku w:val="0"/>
              <w:autoSpaceDE w:val="0"/>
              <w:autoSpaceDN w:val="0"/>
              <w:spacing w:line="360" w:lineRule="auto"/>
              <w:ind w:firstLine="210" w:firstLineChars="100"/>
              <w:jc w:val="left"/>
              <w:textAlignment w:val="baseline"/>
              <w:rPr>
                <w:rFonts w:ascii="宋体" w:hAnsi="宋体" w:eastAsia="Arial" w:cs="Arial"/>
                <w:snapToGrid w:val="0"/>
                <w:color w:val="auto"/>
                <w:kern w:val="0"/>
                <w:szCs w:val="21"/>
                <w:highlight w:val="none"/>
              </w:rPr>
            </w:pPr>
          </w:p>
        </w:tc>
        <w:tc>
          <w:tcPr>
            <w:tcW w:w="1047" w:type="dxa"/>
            <w:gridSpan w:val="2"/>
            <w:vMerge w:val="continue"/>
            <w:vAlign w:val="center"/>
          </w:tcPr>
          <w:p w14:paraId="46C532FF">
            <w:pPr>
              <w:rPr>
                <w:rFonts w:hint="eastAsia" w:ascii="宋体" w:hAnsi="宋体" w:cs="宋体"/>
                <w:bCs/>
                <w:color w:val="auto"/>
                <w:szCs w:val="21"/>
                <w:highlight w:val="none"/>
              </w:rPr>
            </w:pPr>
          </w:p>
        </w:tc>
        <w:tc>
          <w:tcPr>
            <w:tcW w:w="963" w:type="dxa"/>
            <w:vAlign w:val="center"/>
          </w:tcPr>
          <w:p w14:paraId="4E223BE3">
            <w:pPr>
              <w:rPr>
                <w:rFonts w:hint="eastAsia" w:ascii="宋体" w:hAnsi="宋体" w:cs="宋体"/>
                <w:bCs/>
                <w:color w:val="auto"/>
                <w:szCs w:val="21"/>
                <w:highlight w:val="none"/>
                <w:lang w:eastAsia="en-US"/>
              </w:rPr>
            </w:pPr>
            <w:r>
              <w:rPr>
                <w:rFonts w:hint="eastAsia" w:ascii="宋体" w:hAnsi="宋体" w:cs="宋体"/>
                <w:bCs/>
                <w:color w:val="auto"/>
                <w:szCs w:val="21"/>
                <w:highlight w:val="none"/>
              </w:rPr>
              <w:t>合同价格形式</w:t>
            </w:r>
          </w:p>
        </w:tc>
        <w:tc>
          <w:tcPr>
            <w:tcW w:w="6462" w:type="dxa"/>
            <w:vAlign w:val="center"/>
          </w:tcPr>
          <w:p w14:paraId="2477AA95">
            <w:pPr>
              <w:jc w:val="left"/>
              <w:rPr>
                <w:rFonts w:hint="eastAsia" w:ascii="宋体" w:hAnsi="宋体" w:cs="宋体"/>
                <w:bCs/>
                <w:color w:val="auto"/>
                <w:szCs w:val="21"/>
                <w:highlight w:val="none"/>
              </w:rPr>
            </w:pPr>
            <w:r>
              <w:rPr>
                <w:rFonts w:hint="eastAsia" w:ascii="宋体" w:hAnsi="宋体" w:cs="宋体"/>
                <w:bCs/>
                <w:color w:val="auto"/>
                <w:szCs w:val="21"/>
                <w:highlight w:val="none"/>
              </w:rPr>
              <w:t>□总价合同</w:t>
            </w:r>
          </w:p>
          <w:p w14:paraId="4DDC254C">
            <w:pPr>
              <w:jc w:val="left"/>
              <w:rPr>
                <w:rFonts w:hint="eastAsia" w:ascii="宋体" w:hAnsi="宋体" w:cs="宋体"/>
                <w:bCs/>
                <w:color w:val="auto"/>
                <w:szCs w:val="21"/>
                <w:highlight w:val="none"/>
              </w:rPr>
            </w:pPr>
            <w:r>
              <w:rPr>
                <w:rFonts w:hint="eastAsia" w:ascii="宋体" w:hAnsi="宋体" w:cs="宋体"/>
                <w:bCs/>
                <w:color w:val="auto"/>
                <w:szCs w:val="21"/>
                <w:highlight w:val="none"/>
              </w:rPr>
              <w:t>□单价合同</w:t>
            </w:r>
          </w:p>
          <w:p w14:paraId="49BA0FDF">
            <w:pPr>
              <w:jc w:val="left"/>
              <w:rPr>
                <w:rFonts w:hint="eastAsia" w:ascii="宋体" w:hAnsi="宋体" w:cs="宋体"/>
                <w:bCs/>
                <w:color w:val="auto"/>
                <w:szCs w:val="21"/>
                <w:highlight w:val="none"/>
              </w:rPr>
            </w:pPr>
            <w:r>
              <w:rPr>
                <w:rFonts w:hint="eastAsia" w:ascii="宋体" w:hAnsi="宋体" w:cs="宋体"/>
                <w:bCs/>
                <w:color w:val="auto"/>
                <w:szCs w:val="21"/>
                <w:highlight w:val="none"/>
              </w:rPr>
              <w:t>□其他价格形式：</w:t>
            </w:r>
            <w:r>
              <w:rPr>
                <w:rFonts w:hint="eastAsia" w:ascii="宋体" w:hAnsi="宋体" w:cs="宋体"/>
                <w:bCs/>
                <w:color w:val="auto"/>
                <w:szCs w:val="21"/>
                <w:highlight w:val="none"/>
                <w:u w:val="single"/>
              </w:rPr>
              <w:t xml:space="preserve"> （如成本加酬金合同）  </w:t>
            </w:r>
          </w:p>
        </w:tc>
      </w:tr>
      <w:tr w14:paraId="757C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26" w:type="dxa"/>
            <w:vMerge w:val="continue"/>
            <w:vAlign w:val="center"/>
          </w:tcPr>
          <w:p w14:paraId="7305A011">
            <w:pPr>
              <w:widowControl/>
              <w:kinsoku w:val="0"/>
              <w:autoSpaceDE w:val="0"/>
              <w:autoSpaceDN w:val="0"/>
              <w:spacing w:line="360" w:lineRule="auto"/>
              <w:ind w:firstLine="210" w:firstLineChars="100"/>
              <w:jc w:val="left"/>
              <w:textAlignment w:val="baseline"/>
              <w:rPr>
                <w:rFonts w:ascii="宋体" w:hAnsi="宋体" w:eastAsia="Arial" w:cs="Arial"/>
                <w:snapToGrid w:val="0"/>
                <w:color w:val="auto"/>
                <w:kern w:val="0"/>
                <w:szCs w:val="21"/>
                <w:highlight w:val="none"/>
              </w:rPr>
            </w:pPr>
          </w:p>
        </w:tc>
        <w:tc>
          <w:tcPr>
            <w:tcW w:w="1047" w:type="dxa"/>
            <w:gridSpan w:val="2"/>
            <w:vMerge w:val="continue"/>
            <w:vAlign w:val="center"/>
          </w:tcPr>
          <w:p w14:paraId="195438D5">
            <w:pPr>
              <w:rPr>
                <w:rFonts w:hint="eastAsia" w:ascii="宋体" w:hAnsi="宋体" w:cs="宋体"/>
                <w:bCs/>
                <w:color w:val="auto"/>
                <w:szCs w:val="21"/>
                <w:highlight w:val="none"/>
              </w:rPr>
            </w:pPr>
          </w:p>
        </w:tc>
        <w:tc>
          <w:tcPr>
            <w:tcW w:w="963" w:type="dxa"/>
            <w:vAlign w:val="center"/>
          </w:tcPr>
          <w:p w14:paraId="753D57B6">
            <w:pPr>
              <w:rPr>
                <w:rFonts w:hint="eastAsia" w:ascii="宋体" w:hAnsi="宋体" w:cs="宋体"/>
                <w:bCs/>
                <w:color w:val="auto"/>
                <w:szCs w:val="21"/>
                <w:highlight w:val="none"/>
              </w:rPr>
            </w:pPr>
            <w:r>
              <w:rPr>
                <w:rFonts w:hint="eastAsia" w:ascii="宋体" w:hAnsi="宋体" w:cs="宋体"/>
                <w:bCs/>
                <w:color w:val="auto"/>
                <w:szCs w:val="21"/>
                <w:highlight w:val="none"/>
              </w:rPr>
              <w:t>计量与计价的风险内容及其范围</w:t>
            </w:r>
          </w:p>
        </w:tc>
        <w:tc>
          <w:tcPr>
            <w:tcW w:w="6462" w:type="dxa"/>
            <w:vAlign w:val="center"/>
          </w:tcPr>
          <w:p w14:paraId="4939FC9E">
            <w:pPr>
              <w:jc w:val="left"/>
              <w:rPr>
                <w:rFonts w:hint="eastAsia" w:ascii="宋体" w:hAnsi="宋体" w:cs="宋体"/>
                <w:bCs/>
                <w:color w:val="auto"/>
                <w:szCs w:val="21"/>
                <w:highlight w:val="none"/>
              </w:rPr>
            </w:pPr>
            <w:r>
              <w:rPr>
                <w:rFonts w:hint="eastAsia" w:ascii="宋体" w:hAnsi="宋体" w:cs="宋体"/>
                <w:bCs/>
                <w:color w:val="auto"/>
                <w:szCs w:val="21"/>
                <w:highlight w:val="none"/>
              </w:rPr>
              <w:t>注：招标人根据招标项目特点和实际需要，及“24清单标准”相关规定编写。</w:t>
            </w:r>
          </w:p>
        </w:tc>
      </w:tr>
      <w:tr w14:paraId="2E09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926" w:type="dxa"/>
            <w:vAlign w:val="center"/>
          </w:tcPr>
          <w:p w14:paraId="76278181">
            <w:pPr>
              <w:ind w:firstLine="210" w:firstLineChars="100"/>
              <w:rPr>
                <w:rFonts w:ascii="宋体" w:hAnsi="宋体" w:eastAsia="Arial" w:cs="Arial"/>
                <w:snapToGrid w:val="0"/>
                <w:color w:val="auto"/>
                <w:kern w:val="0"/>
                <w:szCs w:val="21"/>
                <w:highlight w:val="none"/>
                <w:lang w:eastAsia="en-US"/>
              </w:rPr>
            </w:pPr>
            <w:r>
              <w:rPr>
                <w:rFonts w:hint="eastAsia" w:ascii="Calibri" w:hAnsi="Calibri" w:cs="Calibri"/>
                <w:color w:val="auto"/>
                <w:szCs w:val="21"/>
                <w:highlight w:val="none"/>
              </w:rPr>
              <w:t>10.2</w:t>
            </w:r>
          </w:p>
        </w:tc>
        <w:tc>
          <w:tcPr>
            <w:tcW w:w="2010" w:type="dxa"/>
            <w:gridSpan w:val="3"/>
            <w:vAlign w:val="center"/>
          </w:tcPr>
          <w:p w14:paraId="54B0719A">
            <w:pPr>
              <w:jc w:val="center"/>
              <w:rPr>
                <w:rFonts w:ascii="宋体" w:hAnsi="宋体" w:eastAsia="Arial" w:cs="Arial"/>
                <w:snapToGrid w:val="0"/>
                <w:color w:val="auto"/>
                <w:kern w:val="0"/>
                <w:szCs w:val="21"/>
                <w:highlight w:val="none"/>
                <w:lang w:eastAsia="en-US"/>
              </w:rPr>
            </w:pPr>
            <w:r>
              <w:rPr>
                <w:rFonts w:hint="eastAsia" w:ascii="Calibri" w:hAnsi="Calibri" w:cs="Calibri"/>
                <w:color w:val="auto"/>
                <w:szCs w:val="21"/>
                <w:highlight w:val="none"/>
              </w:rPr>
              <w:t>投标报价计税方式</w:t>
            </w:r>
          </w:p>
        </w:tc>
        <w:tc>
          <w:tcPr>
            <w:tcW w:w="6462" w:type="dxa"/>
            <w:vAlign w:val="center"/>
          </w:tcPr>
          <w:p w14:paraId="50FFA747">
            <w:pPr>
              <w:jc w:val="left"/>
              <w:rPr>
                <w:rFonts w:ascii="Calibri" w:hAnsi="Calibri" w:cs="Calibri"/>
                <w:color w:val="auto"/>
                <w:szCs w:val="21"/>
                <w:highlight w:val="none"/>
              </w:rPr>
            </w:pPr>
            <w:r>
              <w:rPr>
                <w:rFonts w:hint="eastAsia" w:ascii="宋体" w:hAnsi="宋体" w:cs="Arial"/>
                <w:snapToGrid w:val="0"/>
                <w:color w:val="auto"/>
                <w:kern w:val="0"/>
                <w:szCs w:val="21"/>
                <w:highlight w:val="none"/>
              </w:rPr>
              <w:t>□</w:t>
            </w:r>
            <w:r>
              <w:rPr>
                <w:rFonts w:hint="eastAsia" w:ascii="Calibri" w:hAnsi="Calibri" w:cs="Calibri"/>
                <w:color w:val="auto"/>
                <w:szCs w:val="21"/>
                <w:highlight w:val="none"/>
              </w:rPr>
              <w:t>一般计税法</w:t>
            </w:r>
          </w:p>
          <w:p w14:paraId="22E2B32D">
            <w:pPr>
              <w:jc w:val="left"/>
              <w:rPr>
                <w:rFonts w:hint="eastAsia" w:ascii="宋体" w:hAnsi="宋体" w:cs="宋体"/>
                <w:bCs/>
                <w:color w:val="auto"/>
                <w:szCs w:val="21"/>
                <w:highlight w:val="none"/>
              </w:rPr>
            </w:pPr>
            <w:r>
              <w:rPr>
                <w:rFonts w:hint="eastAsia" w:ascii="宋体" w:hAnsi="宋体" w:cs="Arial"/>
                <w:snapToGrid w:val="0"/>
                <w:color w:val="auto"/>
                <w:kern w:val="0"/>
                <w:szCs w:val="21"/>
                <w:highlight w:val="none"/>
              </w:rPr>
              <w:t>□</w:t>
            </w:r>
            <w:r>
              <w:rPr>
                <w:rFonts w:hint="eastAsia" w:ascii="Calibri" w:hAnsi="Calibri" w:cs="Calibri"/>
                <w:color w:val="auto"/>
                <w:szCs w:val="21"/>
                <w:highlight w:val="none"/>
              </w:rPr>
              <w:t>简易计税法</w:t>
            </w:r>
          </w:p>
        </w:tc>
      </w:tr>
      <w:tr w14:paraId="0D4E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26" w:type="dxa"/>
            <w:vAlign w:val="center"/>
          </w:tcPr>
          <w:p w14:paraId="7DDB70B9">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eastAsia="Arial" w:cs="Arial"/>
                <w:snapToGrid w:val="0"/>
                <w:color w:val="auto"/>
                <w:kern w:val="0"/>
                <w:szCs w:val="21"/>
                <w:highlight w:val="none"/>
                <w:lang w:eastAsia="en-US"/>
              </w:rPr>
              <w:t>10.</w:t>
            </w:r>
            <w:r>
              <w:rPr>
                <w:rFonts w:hint="eastAsia" w:ascii="宋体" w:hAnsi="宋体" w:cs="Arial"/>
                <w:snapToGrid w:val="0"/>
                <w:color w:val="auto"/>
                <w:kern w:val="0"/>
                <w:szCs w:val="21"/>
                <w:highlight w:val="none"/>
              </w:rPr>
              <w:t>3</w:t>
            </w:r>
          </w:p>
        </w:tc>
        <w:tc>
          <w:tcPr>
            <w:tcW w:w="2010" w:type="dxa"/>
            <w:gridSpan w:val="3"/>
            <w:vAlign w:val="center"/>
          </w:tcPr>
          <w:p w14:paraId="6449F2FC">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是否</w:t>
            </w:r>
            <w:r>
              <w:rPr>
                <w:rFonts w:hint="eastAsia" w:ascii="宋体" w:hAnsi="宋体" w:eastAsia="Arial" w:cs="Arial"/>
                <w:snapToGrid w:val="0"/>
                <w:color w:val="auto"/>
                <w:kern w:val="0"/>
                <w:szCs w:val="21"/>
                <w:highlight w:val="none"/>
              </w:rPr>
              <w:t>属于远程异地评标项目</w:t>
            </w:r>
          </w:p>
        </w:tc>
        <w:tc>
          <w:tcPr>
            <w:tcW w:w="6462" w:type="dxa"/>
            <w:vAlign w:val="center"/>
          </w:tcPr>
          <w:p w14:paraId="1BD3EFBA">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lang w:eastAsia="en-US"/>
              </w:rPr>
            </w:pPr>
            <w:r>
              <w:rPr>
                <w:rFonts w:hint="eastAsia" w:ascii="宋体" w:hAnsi="宋体" w:cs="Arial"/>
                <w:snapToGrid w:val="0"/>
                <w:color w:val="auto"/>
                <w:kern w:val="0"/>
                <w:szCs w:val="21"/>
                <w:highlight w:val="none"/>
              </w:rPr>
              <w:t>□</w:t>
            </w:r>
            <w:r>
              <w:rPr>
                <w:rFonts w:ascii="宋体" w:hAnsi="宋体" w:eastAsia="Arial" w:cs="Arial"/>
                <w:snapToGrid w:val="0"/>
                <w:color w:val="auto"/>
                <w:kern w:val="0"/>
                <w:szCs w:val="21"/>
                <w:highlight w:val="none"/>
                <w:lang w:eastAsia="en-US"/>
              </w:rPr>
              <w:t>是</w:t>
            </w:r>
          </w:p>
          <w:p w14:paraId="0965B008">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□否</w:t>
            </w:r>
          </w:p>
        </w:tc>
      </w:tr>
      <w:tr w14:paraId="0F63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26" w:type="dxa"/>
            <w:vAlign w:val="center"/>
          </w:tcPr>
          <w:p w14:paraId="43EFA07E">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10.4</w:t>
            </w:r>
          </w:p>
        </w:tc>
        <w:tc>
          <w:tcPr>
            <w:tcW w:w="2010" w:type="dxa"/>
            <w:gridSpan w:val="3"/>
            <w:vAlign w:val="center"/>
          </w:tcPr>
          <w:p w14:paraId="57075F18">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异常低价警戒线</w:t>
            </w:r>
          </w:p>
        </w:tc>
        <w:tc>
          <w:tcPr>
            <w:tcW w:w="6462" w:type="dxa"/>
            <w:vAlign w:val="center"/>
          </w:tcPr>
          <w:p w14:paraId="34387FE2">
            <w:pPr>
              <w:pStyle w:val="35"/>
              <w:spacing w:line="360" w:lineRule="auto"/>
              <w:ind w:left="0" w:leftChars="0"/>
              <w:rPr>
                <w:color w:val="auto"/>
                <w:szCs w:val="21"/>
                <w:highlight w:val="none"/>
              </w:rPr>
            </w:pPr>
            <w:r>
              <w:rPr>
                <w:rFonts w:hint="eastAsia"/>
                <w:color w:val="auto"/>
                <w:szCs w:val="21"/>
                <w:highlight w:val="none"/>
              </w:rPr>
              <w:t>采用</w:t>
            </w:r>
            <w:r>
              <w:rPr>
                <w:color w:val="auto"/>
                <w:szCs w:val="21"/>
                <w:highlight w:val="none"/>
              </w:rPr>
              <w:t>经评审的最低投标价法</w:t>
            </w:r>
            <w:r>
              <w:rPr>
                <w:rFonts w:hint="eastAsia"/>
                <w:color w:val="auto"/>
                <w:szCs w:val="21"/>
                <w:highlight w:val="none"/>
              </w:rPr>
              <w:t>、技术评分最低标价法的项目：</w:t>
            </w:r>
          </w:p>
          <w:p w14:paraId="56E37859">
            <w:pPr>
              <w:pStyle w:val="35"/>
              <w:spacing w:line="360" w:lineRule="auto"/>
              <w:ind w:left="0" w:leftChars="0"/>
              <w:rPr>
                <w:color w:val="auto"/>
                <w:highlight w:val="none"/>
              </w:rPr>
            </w:pPr>
            <w:r>
              <w:rPr>
                <w:rFonts w:hint="eastAsia"/>
                <w:color w:val="auto"/>
                <w:highlight w:val="none"/>
              </w:rPr>
              <w:sym w:font="Wingdings" w:char="00A8"/>
            </w:r>
            <w:r>
              <w:rPr>
                <w:rFonts w:hint="eastAsia"/>
                <w:color w:val="auto"/>
                <w:highlight w:val="none"/>
              </w:rPr>
              <w:t>不设置</w:t>
            </w:r>
            <w:r>
              <w:rPr>
                <w:rFonts w:hint="eastAsia"/>
                <w:color w:val="auto"/>
                <w:szCs w:val="21"/>
                <w:highlight w:val="none"/>
              </w:rPr>
              <w:t>异常低价警戒线评审</w:t>
            </w:r>
          </w:p>
          <w:p w14:paraId="0180F17F">
            <w:pPr>
              <w:pStyle w:val="35"/>
              <w:spacing w:line="360" w:lineRule="auto"/>
              <w:ind w:left="0" w:leftChars="0"/>
              <w:rPr>
                <w:color w:val="auto"/>
                <w:highlight w:val="none"/>
              </w:rPr>
            </w:pPr>
            <w:r>
              <w:rPr>
                <w:rFonts w:hint="eastAsia"/>
                <w:color w:val="auto"/>
                <w:highlight w:val="none"/>
              </w:rPr>
              <w:sym w:font="Wingdings" w:char="00A8"/>
            </w:r>
            <w:r>
              <w:rPr>
                <w:rFonts w:hint="eastAsia"/>
                <w:color w:val="auto"/>
                <w:highlight w:val="none"/>
              </w:rPr>
              <w:t>设置</w:t>
            </w:r>
            <w:r>
              <w:rPr>
                <w:rFonts w:hint="eastAsia"/>
                <w:color w:val="auto"/>
                <w:szCs w:val="21"/>
                <w:highlight w:val="none"/>
              </w:rPr>
              <w:t>异常低价警戒线评审，投标报价低于异常低价警戒线（不含本数）的，视为以低于成本报价竞争，该投标人报价为无效报价，由交易平台自动密闭性筛选后提交评标委员会确认否决其投标。异常低价警戒线为：有效报价的</w:t>
            </w:r>
            <w:r>
              <w:rPr>
                <w:color w:val="auto"/>
                <w:highlight w:val="none"/>
              </w:rPr>
              <w:t>综合平均数（算术平均数、中位数、四分位数的算</w:t>
            </w:r>
            <w:r>
              <w:rPr>
                <w:rFonts w:hint="eastAsia"/>
                <w:color w:val="auto"/>
                <w:highlight w:val="none"/>
              </w:rPr>
              <w:t>术</w:t>
            </w:r>
            <w:r>
              <w:rPr>
                <w:color w:val="auto"/>
                <w:highlight w:val="none"/>
              </w:rPr>
              <w:t>平均值）下浮</w:t>
            </w:r>
            <w:r>
              <w:rPr>
                <w:rFonts w:hint="eastAsia"/>
                <w:color w:val="auto"/>
                <w:highlight w:val="none"/>
                <w:u w:val="single"/>
              </w:rPr>
              <w:t xml:space="preserve">        </w:t>
            </w:r>
            <w:r>
              <w:rPr>
                <w:rFonts w:hint="eastAsia"/>
                <w:color w:val="auto"/>
                <w:highlight w:val="none"/>
              </w:rPr>
              <w:t>（具体下浮数值由招标人在</w:t>
            </w:r>
            <w:r>
              <w:rPr>
                <w:color w:val="auto"/>
                <w:highlight w:val="none"/>
              </w:rPr>
              <w:t>5%-10%</w:t>
            </w:r>
            <w:r>
              <w:rPr>
                <w:rFonts w:hint="eastAsia"/>
                <w:color w:val="auto"/>
                <w:highlight w:val="none"/>
              </w:rPr>
              <w:t>区间范围内选择确定，市州政府对于设置异常低价警戒线的管理要求与权限另有规定的，从其规定。</w:t>
            </w:r>
            <w:r>
              <w:rPr>
                <w:rFonts w:hint="eastAsia" w:ascii="宋体" w:hAnsi="宋体" w:cs="宋体"/>
                <w:bCs/>
                <w:color w:val="auto"/>
                <w:szCs w:val="21"/>
                <w:highlight w:val="none"/>
              </w:rPr>
              <w:t>异常低价警戒线在评标委员会进行初步评审前由交易系统自动计算，并在评标过程中保持不变</w:t>
            </w:r>
            <w:r>
              <w:rPr>
                <w:rFonts w:hint="eastAsia"/>
                <w:color w:val="auto"/>
                <w:highlight w:val="none"/>
              </w:rPr>
              <w:t>）。</w:t>
            </w:r>
          </w:p>
        </w:tc>
      </w:tr>
      <w:tr w14:paraId="649E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26" w:type="dxa"/>
            <w:vAlign w:val="center"/>
          </w:tcPr>
          <w:p w14:paraId="22DB71D6">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eastAsia="Arial" w:cs="Arial"/>
                <w:snapToGrid w:val="0"/>
                <w:color w:val="auto"/>
                <w:kern w:val="0"/>
                <w:szCs w:val="21"/>
                <w:highlight w:val="none"/>
                <w:lang w:eastAsia="en-US"/>
              </w:rPr>
              <w:t>10.</w:t>
            </w:r>
            <w:r>
              <w:rPr>
                <w:rFonts w:hint="eastAsia" w:ascii="宋体" w:hAnsi="宋体" w:cs="Arial"/>
                <w:snapToGrid w:val="0"/>
                <w:color w:val="auto"/>
                <w:kern w:val="0"/>
                <w:szCs w:val="21"/>
                <w:highlight w:val="none"/>
              </w:rPr>
              <w:t>5</w:t>
            </w:r>
          </w:p>
        </w:tc>
        <w:tc>
          <w:tcPr>
            <w:tcW w:w="2010" w:type="dxa"/>
            <w:gridSpan w:val="3"/>
            <w:vAlign w:val="center"/>
          </w:tcPr>
          <w:p w14:paraId="6F08FA3E">
            <w:pPr>
              <w:widowControl/>
              <w:kinsoku w:val="0"/>
              <w:autoSpaceDE w:val="0"/>
              <w:autoSpaceDN w:val="0"/>
              <w:spacing w:line="360" w:lineRule="auto"/>
              <w:jc w:val="left"/>
              <w:textAlignment w:val="baseline"/>
              <w:rPr>
                <w:rFonts w:ascii="Calibri" w:hAnsi="Calibri" w:cs="Calibri"/>
                <w:color w:val="auto"/>
                <w:szCs w:val="21"/>
                <w:highlight w:val="none"/>
              </w:rPr>
            </w:pPr>
            <w:r>
              <w:rPr>
                <w:rFonts w:hint="eastAsia" w:ascii="Calibri" w:hAnsi="Calibri" w:eastAsia="Arial" w:cs="Calibri"/>
                <w:snapToGrid w:val="0"/>
                <w:color w:val="auto"/>
                <w:kern w:val="0"/>
                <w:szCs w:val="21"/>
                <w:highlight w:val="none"/>
              </w:rPr>
              <w:t>进入投标报价评审阶段投标人数量的确定方式</w:t>
            </w:r>
          </w:p>
        </w:tc>
        <w:tc>
          <w:tcPr>
            <w:tcW w:w="6462" w:type="dxa"/>
            <w:vAlign w:val="center"/>
          </w:tcPr>
          <w:p w14:paraId="705F2F5E">
            <w:pPr>
              <w:spacing w:line="360" w:lineRule="auto"/>
              <w:ind w:left="-103" w:leftChars="-49" w:firstLine="422" w:firstLineChars="201"/>
              <w:rPr>
                <w:rFonts w:hint="eastAsia" w:ascii="宋体" w:hAnsi="宋体" w:cs="宋体"/>
                <w:bCs/>
                <w:color w:val="auto"/>
                <w:szCs w:val="21"/>
                <w:highlight w:val="none"/>
              </w:rPr>
            </w:pPr>
            <w:r>
              <w:rPr>
                <w:rFonts w:hint="eastAsia" w:ascii="Calibri" w:hAnsi="Calibri" w:cs="Calibri"/>
                <w:color w:val="auto"/>
                <w:szCs w:val="21"/>
                <w:highlight w:val="none"/>
              </w:rPr>
              <w:t>1.采</w:t>
            </w:r>
            <w:r>
              <w:rPr>
                <w:rFonts w:hint="eastAsia" w:ascii="宋体" w:hAnsi="宋体" w:cs="宋体"/>
                <w:bCs/>
                <w:color w:val="auto"/>
                <w:szCs w:val="21"/>
                <w:highlight w:val="none"/>
              </w:rPr>
              <w:t>用经评审的最低投标价法评标的：</w:t>
            </w:r>
          </w:p>
          <w:p w14:paraId="143E343B">
            <w:pPr>
              <w:spacing w:line="360" w:lineRule="auto"/>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交易系统按照投标报价未低于异常低价警戒线的投标价格由低至高的顺序确定一定数量的投标人进入阶段性初步评审，报价相同无法确定时，其末位投标人报价相同的全部进入阶段性初步评审。交易系统对通过初步评审的投标人，将评审的投标价格由低到高的顺序推荐中标候选人。</w:t>
            </w:r>
          </w:p>
          <w:p w14:paraId="67A4C720">
            <w:pPr>
              <w:spacing w:line="360" w:lineRule="auto"/>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投标价格相同不能确定中标候选人高低排序的，由交易系统随机确定不能高低排序的中标候选人。 投标报价以“元”为单位，小数点后保留保留2位，按四舍五入原则进行排序。</w:t>
            </w:r>
          </w:p>
          <w:p w14:paraId="5906065F">
            <w:pPr>
              <w:spacing w:line="360" w:lineRule="auto"/>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2.采用合理低价法评标的：</w:t>
            </w:r>
          </w:p>
          <w:p w14:paraId="1481889A">
            <w:pPr>
              <w:spacing w:line="360" w:lineRule="auto"/>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对所有通过初步评审的投标人进行投标报价和信用综合评审。</w:t>
            </w:r>
          </w:p>
          <w:p w14:paraId="0DE219DF">
            <w:pPr>
              <w:spacing w:line="360" w:lineRule="auto"/>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3.采用技术评分最低标价法评标的：</w:t>
            </w:r>
          </w:p>
          <w:p w14:paraId="113F94E7">
            <w:pPr>
              <w:spacing w:line="360" w:lineRule="auto"/>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未低于异常低价警戒线的投标人第一阶段技术评审后进入第二阶</w:t>
            </w:r>
          </w:p>
          <w:p w14:paraId="2A0258A9">
            <w:pPr>
              <w:spacing w:line="360" w:lineRule="auto"/>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段报价评审的投标人占合格投标人数量的70%（按向上取整原则），末位得分相同的合格投标人全部进入第二阶段评审。</w:t>
            </w:r>
          </w:p>
          <w:p w14:paraId="64CEA457">
            <w:pPr>
              <w:widowControl/>
              <w:kinsoku/>
              <w:autoSpaceDE/>
              <w:autoSpaceDN/>
              <w:spacing w:line="360" w:lineRule="auto"/>
              <w:ind w:left="-103" w:leftChars="-49" w:firstLine="422" w:firstLineChars="201"/>
              <w:jc w:val="left"/>
              <w:textAlignment w:val="auto"/>
              <w:rPr>
                <w:rFonts w:ascii="Calibri" w:hAnsi="Calibri" w:cs="Calibri"/>
                <w:color w:val="auto"/>
                <w:szCs w:val="21"/>
                <w:highlight w:val="none"/>
              </w:rPr>
            </w:pPr>
            <w:r>
              <w:rPr>
                <w:rFonts w:hint="eastAsia" w:ascii="宋体" w:hAnsi="宋体" w:cs="宋体"/>
                <w:bCs/>
                <w:color w:val="auto"/>
                <w:szCs w:val="21"/>
                <w:highlight w:val="none"/>
              </w:rPr>
              <w:t>4.采用综合评估法1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综合评估法2评标的：对所有通过初步评审的合格投标人进入投标报价评审。</w:t>
            </w:r>
          </w:p>
        </w:tc>
      </w:tr>
      <w:tr w14:paraId="6E6A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26" w:type="dxa"/>
            <w:vAlign w:val="center"/>
          </w:tcPr>
          <w:p w14:paraId="6BABDBEE">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eastAsia="Arial" w:cs="Arial"/>
                <w:snapToGrid w:val="0"/>
                <w:color w:val="auto"/>
                <w:kern w:val="0"/>
                <w:szCs w:val="21"/>
                <w:highlight w:val="none"/>
                <w:lang w:eastAsia="en-US"/>
              </w:rPr>
              <w:t>10.</w:t>
            </w:r>
            <w:r>
              <w:rPr>
                <w:rFonts w:hint="eastAsia" w:ascii="宋体" w:hAnsi="宋体" w:cs="Arial"/>
                <w:snapToGrid w:val="0"/>
                <w:color w:val="auto"/>
                <w:kern w:val="0"/>
                <w:szCs w:val="21"/>
                <w:highlight w:val="none"/>
              </w:rPr>
              <w:t>6</w:t>
            </w:r>
          </w:p>
        </w:tc>
        <w:tc>
          <w:tcPr>
            <w:tcW w:w="2010" w:type="dxa"/>
            <w:gridSpan w:val="3"/>
            <w:vAlign w:val="center"/>
          </w:tcPr>
          <w:p w14:paraId="77608E85">
            <w:pPr>
              <w:widowControl/>
              <w:kinsoku w:val="0"/>
              <w:autoSpaceDE w:val="0"/>
              <w:autoSpaceDN w:val="0"/>
              <w:spacing w:line="360" w:lineRule="auto"/>
              <w:jc w:val="left"/>
              <w:textAlignment w:val="baseline"/>
              <w:rPr>
                <w:rFonts w:ascii="Calibri" w:hAnsi="Calibri" w:eastAsia="Arial" w:cs="Calibri"/>
                <w:snapToGrid w:val="0"/>
                <w:color w:val="auto"/>
                <w:kern w:val="0"/>
                <w:szCs w:val="21"/>
                <w:highlight w:val="none"/>
              </w:rPr>
            </w:pPr>
            <w:r>
              <w:rPr>
                <w:rFonts w:hint="eastAsia" w:ascii="Calibri" w:hAnsi="Calibri" w:eastAsia="Arial" w:cs="Calibri"/>
                <w:snapToGrid w:val="0"/>
                <w:color w:val="auto"/>
                <w:kern w:val="0"/>
                <w:szCs w:val="21"/>
                <w:highlight w:val="none"/>
              </w:rPr>
              <w:t>拟任项目经理</w:t>
            </w:r>
            <w:r>
              <w:rPr>
                <w:rFonts w:hint="eastAsia" w:ascii="宋体" w:hAnsi="宋体" w:cs="宋体"/>
                <w:snapToGrid w:val="0"/>
                <w:color w:val="auto"/>
                <w:kern w:val="0"/>
                <w:szCs w:val="21"/>
                <w:highlight w:val="none"/>
              </w:rPr>
              <w:t>在其他项目任关键岗位人员（简称：</w:t>
            </w:r>
            <w:r>
              <w:rPr>
                <w:rFonts w:hint="eastAsia" w:ascii="Calibri" w:hAnsi="Calibri" w:eastAsia="Arial" w:cs="Calibri"/>
                <w:snapToGrid w:val="0"/>
                <w:color w:val="auto"/>
                <w:kern w:val="0"/>
                <w:szCs w:val="21"/>
                <w:highlight w:val="none"/>
              </w:rPr>
              <w:t>在建</w:t>
            </w:r>
            <w:r>
              <w:rPr>
                <w:rFonts w:hint="eastAsia" w:ascii="宋体" w:hAnsi="宋体" w:cs="宋体"/>
                <w:snapToGrid w:val="0"/>
                <w:color w:val="auto"/>
                <w:kern w:val="0"/>
                <w:szCs w:val="21"/>
                <w:highlight w:val="none"/>
              </w:rPr>
              <w:t>）</w:t>
            </w:r>
            <w:r>
              <w:rPr>
                <w:rFonts w:hint="eastAsia" w:ascii="Calibri" w:hAnsi="Calibri" w:eastAsia="Arial" w:cs="Calibri"/>
                <w:snapToGrid w:val="0"/>
                <w:color w:val="auto"/>
                <w:kern w:val="0"/>
                <w:szCs w:val="21"/>
                <w:highlight w:val="none"/>
              </w:rPr>
              <w:t>情况</w:t>
            </w:r>
          </w:p>
        </w:tc>
        <w:tc>
          <w:tcPr>
            <w:tcW w:w="6462" w:type="dxa"/>
            <w:vAlign w:val="center"/>
          </w:tcPr>
          <w:p w14:paraId="0A54F7D1">
            <w:pPr>
              <w:snapToGrid w:val="0"/>
              <w:spacing w:line="360" w:lineRule="auto"/>
              <w:ind w:firstLine="420" w:firstLineChars="200"/>
              <w:rPr>
                <w:rFonts w:hint="eastAsia" w:ascii="宋体" w:hAnsi="宋体" w:cs="仿宋_GB2312"/>
                <w:color w:val="auto"/>
                <w:highlight w:val="none"/>
              </w:rPr>
            </w:pPr>
            <w:bookmarkStart w:id="129" w:name="_Hlk193103485"/>
            <w:r>
              <w:rPr>
                <w:rFonts w:hint="eastAsia" w:ascii="宋体" w:hAnsi="宋体" w:cs="仿宋_GB2312"/>
                <w:color w:val="auto"/>
                <w:highlight w:val="none"/>
              </w:rPr>
              <w:t>投标人应当在投标文件中如实填写投标截止时项目经理在建情况，并承诺本招标项目中标候选人公示中明确的公示期满之前，项目经理能按时到岗履职。评标期间，投标文件中没有承诺能够按时到岗履职的，评标委员会应当否决其投标。</w:t>
            </w:r>
          </w:p>
          <w:p w14:paraId="2D04F9FF">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仿宋_GB2312"/>
                <w:color w:val="auto"/>
                <w:highlight w:val="none"/>
              </w:rPr>
              <w:t>本招标项目中标候选人公示中明确的公示期满之前，项目经理不能按时到岗履职（含不能从其他项目按期撤离）的，招标人应提请相关部门依法认定为失信行为,并依规进行处罚，对于取得中标候选人或中标人资格的，还应取消其中标候选人或中标人资格。</w:t>
            </w:r>
            <w:bookmarkEnd w:id="129"/>
          </w:p>
        </w:tc>
      </w:tr>
      <w:tr w14:paraId="6DEE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Align w:val="center"/>
          </w:tcPr>
          <w:p w14:paraId="3C8605A5">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10.7</w:t>
            </w:r>
          </w:p>
        </w:tc>
        <w:tc>
          <w:tcPr>
            <w:tcW w:w="2010" w:type="dxa"/>
            <w:gridSpan w:val="3"/>
            <w:vAlign w:val="center"/>
          </w:tcPr>
          <w:p w14:paraId="79F3599F">
            <w:pPr>
              <w:widowControl/>
              <w:kinsoku w:val="0"/>
              <w:autoSpaceDE w:val="0"/>
              <w:autoSpaceDN w:val="0"/>
              <w:spacing w:line="360" w:lineRule="auto"/>
              <w:jc w:val="left"/>
              <w:textAlignment w:val="baseline"/>
              <w:rPr>
                <w:rFonts w:ascii="Calibri" w:hAnsi="Calibri" w:eastAsia="Arial" w:cs="Calibri"/>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异议</w:t>
            </w:r>
          </w:p>
        </w:tc>
        <w:tc>
          <w:tcPr>
            <w:tcW w:w="6462" w:type="dxa"/>
            <w:vAlign w:val="center"/>
          </w:tcPr>
          <w:p w14:paraId="553C5CE2">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1、招标文件的异议：</w:t>
            </w:r>
            <w:r>
              <w:rPr>
                <w:rFonts w:ascii="宋体" w:hAnsi="宋体" w:eastAsia="Arial" w:cs="Arial"/>
                <w:snapToGrid w:val="0"/>
                <w:color w:val="auto"/>
                <w:kern w:val="0"/>
                <w:szCs w:val="21"/>
                <w:highlight w:val="none"/>
              </w:rPr>
              <w:t>投标人或者其他利害关系人对招标文件有异议的，应当在投标截止时间10日前以书面形式</w:t>
            </w:r>
            <w:r>
              <w:rPr>
                <w:rFonts w:hint="eastAsia" w:ascii="Arial" w:hAnsi="Arial" w:eastAsia="Arial" w:cs="Arial"/>
                <w:snapToGrid w:val="0"/>
                <w:color w:val="auto"/>
                <w:kern w:val="0"/>
                <w:szCs w:val="21"/>
                <w:highlight w:val="none"/>
              </w:rPr>
              <w:t>或通过电子招标投标交易平台</w:t>
            </w:r>
            <w:r>
              <w:rPr>
                <w:rFonts w:ascii="宋体" w:hAnsi="宋体" w:eastAsia="Arial" w:cs="Arial"/>
                <w:snapToGrid w:val="0"/>
                <w:color w:val="auto"/>
                <w:kern w:val="0"/>
                <w:szCs w:val="21"/>
                <w:highlight w:val="none"/>
              </w:rPr>
              <w:t>提出。招标人将在收到异议之日起3日内作出</w:t>
            </w:r>
            <w:r>
              <w:rPr>
                <w:rFonts w:hint="eastAsia" w:ascii="宋体" w:hAnsi="宋体" w:eastAsia="Arial" w:cs="Arial"/>
                <w:snapToGrid w:val="0"/>
                <w:color w:val="auto"/>
                <w:kern w:val="0"/>
                <w:szCs w:val="21"/>
                <w:highlight w:val="none"/>
              </w:rPr>
              <w:t>实质性</w:t>
            </w:r>
            <w:r>
              <w:rPr>
                <w:rFonts w:ascii="宋体" w:hAnsi="宋体" w:eastAsia="Arial" w:cs="Arial"/>
                <w:snapToGrid w:val="0"/>
                <w:color w:val="auto"/>
                <w:kern w:val="0"/>
                <w:szCs w:val="21"/>
                <w:highlight w:val="none"/>
              </w:rPr>
              <w:t>答复；作出答复前，将暂停招标投标活动。</w:t>
            </w:r>
          </w:p>
          <w:p w14:paraId="652E759F">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2、开标异议：</w:t>
            </w:r>
            <w:r>
              <w:rPr>
                <w:rFonts w:ascii="宋体" w:hAnsi="宋体" w:eastAsia="Arial" w:cs="Arial"/>
                <w:snapToGrid w:val="0"/>
                <w:color w:val="auto"/>
                <w:kern w:val="0"/>
                <w:szCs w:val="21"/>
                <w:highlight w:val="none"/>
              </w:rPr>
              <w:t>投标人对开标有异议的，应当在开标现场</w:t>
            </w:r>
            <w:r>
              <w:rPr>
                <w:rFonts w:hint="eastAsia" w:ascii="Arial" w:hAnsi="Arial" w:eastAsia="Arial" w:cs="Arial"/>
                <w:snapToGrid w:val="0"/>
                <w:color w:val="auto"/>
                <w:kern w:val="0"/>
                <w:szCs w:val="21"/>
                <w:highlight w:val="none"/>
              </w:rPr>
              <w:t>或通过电子招标投标交易平台</w:t>
            </w:r>
            <w:r>
              <w:rPr>
                <w:rFonts w:ascii="宋体" w:hAnsi="宋体" w:eastAsia="Arial" w:cs="Arial"/>
                <w:snapToGrid w:val="0"/>
                <w:color w:val="auto"/>
                <w:kern w:val="0"/>
                <w:szCs w:val="21"/>
                <w:highlight w:val="none"/>
              </w:rPr>
              <w:t>提出，招标人当场作出答复，并制作记录。</w:t>
            </w:r>
          </w:p>
          <w:p w14:paraId="51E5C088">
            <w:pPr>
              <w:widowControl/>
              <w:kinsoku w:val="0"/>
              <w:autoSpaceDE w:val="0"/>
              <w:autoSpaceDN w:val="0"/>
              <w:spacing w:line="360" w:lineRule="auto"/>
              <w:jc w:val="left"/>
              <w:textAlignment w:val="baseline"/>
              <w:rPr>
                <w:rFonts w:hint="eastAsia" w:ascii="宋体" w:hAnsi="宋体" w:cs="仿宋_GB2312"/>
                <w:color w:val="auto"/>
                <w:highlight w:val="none"/>
              </w:rPr>
            </w:pPr>
            <w:r>
              <w:rPr>
                <w:rFonts w:hint="eastAsia" w:ascii="宋体" w:hAnsi="宋体" w:eastAsia="Arial" w:cs="Arial"/>
                <w:snapToGrid w:val="0"/>
                <w:color w:val="auto"/>
                <w:kern w:val="0"/>
                <w:szCs w:val="21"/>
                <w:highlight w:val="none"/>
              </w:rPr>
              <w:t>3、评标结果异议：</w:t>
            </w:r>
            <w:r>
              <w:rPr>
                <w:rFonts w:ascii="宋体" w:hAnsi="宋体" w:eastAsia="Arial" w:cs="Arial"/>
                <w:snapToGrid w:val="0"/>
                <w:color w:val="auto"/>
                <w:kern w:val="0"/>
                <w:szCs w:val="21"/>
                <w:highlight w:val="none"/>
              </w:rPr>
              <w:t>投标人或者其他利害关系人对评标结果有异议的，应当在中标候选人公示期间</w:t>
            </w:r>
            <w:r>
              <w:rPr>
                <w:rFonts w:hint="eastAsia" w:ascii="Arial" w:hAnsi="Arial" w:eastAsia="Arial" w:cs="Arial"/>
                <w:snapToGrid w:val="0"/>
                <w:color w:val="auto"/>
                <w:kern w:val="0"/>
                <w:szCs w:val="21"/>
                <w:highlight w:val="none"/>
              </w:rPr>
              <w:t>以书面形式或通过电子招标投标交易平台</w:t>
            </w:r>
            <w:r>
              <w:rPr>
                <w:rFonts w:ascii="宋体" w:hAnsi="宋体" w:eastAsia="Arial" w:cs="Arial"/>
                <w:snapToGrid w:val="0"/>
                <w:color w:val="auto"/>
                <w:kern w:val="0"/>
                <w:szCs w:val="21"/>
                <w:highlight w:val="none"/>
              </w:rPr>
              <w:t>提出。招标人将在收到异议之日起3日内作出</w:t>
            </w:r>
            <w:r>
              <w:rPr>
                <w:rFonts w:hint="eastAsia" w:ascii="宋体" w:hAnsi="宋体" w:eastAsia="Arial" w:cs="Arial"/>
                <w:snapToGrid w:val="0"/>
                <w:color w:val="auto"/>
                <w:kern w:val="0"/>
                <w:szCs w:val="21"/>
                <w:highlight w:val="none"/>
              </w:rPr>
              <w:t>实质性</w:t>
            </w:r>
            <w:r>
              <w:rPr>
                <w:rFonts w:ascii="宋体" w:hAnsi="宋体" w:eastAsia="Arial" w:cs="Arial"/>
                <w:snapToGrid w:val="0"/>
                <w:color w:val="auto"/>
                <w:kern w:val="0"/>
                <w:szCs w:val="21"/>
                <w:highlight w:val="none"/>
              </w:rPr>
              <w:t>答复；</w:t>
            </w:r>
            <w:r>
              <w:rPr>
                <w:rFonts w:hint="eastAsia" w:ascii="宋体" w:hAnsi="宋体" w:eastAsia="Arial" w:cs="Arial"/>
                <w:snapToGrid w:val="0"/>
                <w:color w:val="auto"/>
                <w:kern w:val="0"/>
                <w:szCs w:val="21"/>
                <w:highlight w:val="none"/>
              </w:rPr>
              <w:t>异议事项情况复杂、涉及面广，招标人不能在3日内作出答复的，可以适当延期，但不超过7日，且应告知异议人并说明理由。</w:t>
            </w:r>
            <w:r>
              <w:rPr>
                <w:rFonts w:ascii="宋体" w:hAnsi="宋体" w:eastAsia="Arial" w:cs="Arial"/>
                <w:snapToGrid w:val="0"/>
                <w:color w:val="auto"/>
                <w:kern w:val="0"/>
                <w:szCs w:val="21"/>
                <w:highlight w:val="none"/>
                <w:lang w:eastAsia="en-US"/>
              </w:rPr>
              <w:t>作出</w:t>
            </w:r>
            <w:r>
              <w:rPr>
                <w:rFonts w:hint="eastAsia" w:ascii="宋体" w:hAnsi="宋体" w:eastAsia="Arial" w:cs="Arial"/>
                <w:snapToGrid w:val="0"/>
                <w:color w:val="auto"/>
                <w:kern w:val="0"/>
                <w:szCs w:val="21"/>
                <w:highlight w:val="none"/>
                <w:lang w:eastAsia="en-US"/>
              </w:rPr>
              <w:t>实质性</w:t>
            </w:r>
            <w:r>
              <w:rPr>
                <w:rFonts w:ascii="宋体" w:hAnsi="宋体" w:eastAsia="Arial" w:cs="Arial"/>
                <w:snapToGrid w:val="0"/>
                <w:color w:val="auto"/>
                <w:kern w:val="0"/>
                <w:szCs w:val="21"/>
                <w:highlight w:val="none"/>
                <w:lang w:eastAsia="en-US"/>
              </w:rPr>
              <w:t>答复前，将暂停招标投标活动。</w:t>
            </w:r>
          </w:p>
        </w:tc>
      </w:tr>
      <w:tr w14:paraId="3DBB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926" w:type="dxa"/>
            <w:vAlign w:val="center"/>
          </w:tcPr>
          <w:p w14:paraId="1A263697">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10.8</w:t>
            </w:r>
          </w:p>
        </w:tc>
        <w:tc>
          <w:tcPr>
            <w:tcW w:w="2010" w:type="dxa"/>
            <w:gridSpan w:val="3"/>
            <w:vAlign w:val="center"/>
          </w:tcPr>
          <w:p w14:paraId="1E3E5FD5">
            <w:pPr>
              <w:widowControl/>
              <w:kinsoku w:val="0"/>
              <w:autoSpaceDE w:val="0"/>
              <w:autoSpaceDN w:val="0"/>
              <w:spacing w:line="360" w:lineRule="auto"/>
              <w:jc w:val="left"/>
              <w:textAlignment w:val="baseline"/>
              <w:rPr>
                <w:rFonts w:ascii="Calibri" w:hAnsi="Calibri" w:eastAsia="Arial" w:cs="Calibri"/>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解释权</w:t>
            </w:r>
          </w:p>
        </w:tc>
        <w:tc>
          <w:tcPr>
            <w:tcW w:w="6462" w:type="dxa"/>
            <w:vAlign w:val="center"/>
          </w:tcPr>
          <w:p w14:paraId="60A2371C">
            <w:pPr>
              <w:widowControl/>
              <w:kinsoku w:val="0"/>
              <w:autoSpaceDE w:val="0"/>
              <w:autoSpaceDN w:val="0"/>
              <w:spacing w:line="360" w:lineRule="auto"/>
              <w:jc w:val="left"/>
              <w:textAlignment w:val="baseline"/>
              <w:rPr>
                <w:rFonts w:ascii="Calibri" w:hAnsi="Calibri" w:cs="Calibri"/>
                <w:snapToGrid w:val="0"/>
                <w:color w:val="auto"/>
                <w:kern w:val="0"/>
                <w:szCs w:val="21"/>
                <w:highlight w:val="none"/>
              </w:rPr>
            </w:pPr>
            <w:r>
              <w:rPr>
                <w:rFonts w:ascii="宋体" w:hAnsi="宋体" w:eastAsia="Arial" w:cs="Arial"/>
                <w:snapToGrid w:val="0"/>
                <w:color w:val="auto"/>
                <w:kern w:val="0"/>
                <w:szCs w:val="21"/>
                <w:highlight w:val="none"/>
              </w:rPr>
              <w:t>构成本招标文件的各个组成文件（章，下同）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涉及《导则》的问题，由《导则》发文部门负责解释。</w:t>
            </w:r>
          </w:p>
        </w:tc>
      </w:tr>
      <w:tr w14:paraId="124C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26" w:type="dxa"/>
            <w:vAlign w:val="center"/>
          </w:tcPr>
          <w:p w14:paraId="59426571">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10.9</w:t>
            </w:r>
          </w:p>
        </w:tc>
        <w:tc>
          <w:tcPr>
            <w:tcW w:w="2010" w:type="dxa"/>
            <w:gridSpan w:val="3"/>
            <w:vAlign w:val="center"/>
          </w:tcPr>
          <w:p w14:paraId="32888B2B">
            <w:pPr>
              <w:widowControl/>
              <w:kinsoku w:val="0"/>
              <w:autoSpaceDE w:val="0"/>
              <w:autoSpaceDN w:val="0"/>
              <w:spacing w:line="360" w:lineRule="auto"/>
              <w:jc w:val="left"/>
              <w:textAlignment w:val="baseline"/>
              <w:rPr>
                <w:rFonts w:ascii="Calibri" w:hAnsi="Calibri" w:cs="Calibri"/>
                <w:snapToGrid w:val="0"/>
                <w:color w:val="auto"/>
                <w:kern w:val="0"/>
                <w:szCs w:val="21"/>
                <w:highlight w:val="none"/>
              </w:rPr>
            </w:pPr>
            <w:r>
              <w:rPr>
                <w:rFonts w:ascii="Calibri" w:hAnsi="Calibri" w:cs="Calibri"/>
                <w:snapToGrid w:val="0"/>
                <w:color w:val="auto"/>
                <w:kern w:val="0"/>
                <w:szCs w:val="21"/>
                <w:highlight w:val="none"/>
              </w:rPr>
              <w:t>评标委员会复核</w:t>
            </w:r>
          </w:p>
        </w:tc>
        <w:tc>
          <w:tcPr>
            <w:tcW w:w="6462" w:type="dxa"/>
            <w:vAlign w:val="center"/>
          </w:tcPr>
          <w:p w14:paraId="1922ED41">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cs="宋体"/>
                <w:snapToGrid w:val="0"/>
                <w:color w:val="auto"/>
                <w:kern w:val="0"/>
                <w:szCs w:val="21"/>
                <w:highlight w:val="none"/>
              </w:rPr>
              <w:t>本项目采用机器评审，由评标委员会对评审结果进行复核确认。</w:t>
            </w:r>
          </w:p>
        </w:tc>
      </w:tr>
      <w:tr w14:paraId="6905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26" w:type="dxa"/>
            <w:vAlign w:val="center"/>
          </w:tcPr>
          <w:p w14:paraId="60149CF3">
            <w:pPr>
              <w:jc w:val="center"/>
              <w:rPr>
                <w:rFonts w:ascii="Calibri" w:hAnsi="Calibri" w:cs="Calibri"/>
                <w:color w:val="auto"/>
                <w:szCs w:val="21"/>
                <w:highlight w:val="none"/>
              </w:rPr>
            </w:pPr>
            <w:r>
              <w:rPr>
                <w:rFonts w:hint="eastAsia" w:ascii="Calibri" w:hAnsi="Calibri" w:cs="Calibri"/>
                <w:color w:val="auto"/>
                <w:szCs w:val="21"/>
                <w:highlight w:val="none"/>
              </w:rPr>
              <w:t>10.10</w:t>
            </w:r>
          </w:p>
        </w:tc>
        <w:tc>
          <w:tcPr>
            <w:tcW w:w="2010" w:type="dxa"/>
            <w:gridSpan w:val="3"/>
            <w:vAlign w:val="center"/>
          </w:tcPr>
          <w:p w14:paraId="5846C8A6">
            <w:pPr>
              <w:jc w:val="center"/>
              <w:rPr>
                <w:rFonts w:ascii="Calibri" w:hAnsi="Calibri" w:cs="Calibri"/>
                <w:color w:val="auto"/>
                <w:szCs w:val="21"/>
                <w:highlight w:val="none"/>
              </w:rPr>
            </w:pPr>
            <w:r>
              <w:rPr>
                <w:rFonts w:hint="eastAsia" w:ascii="Calibri" w:hAnsi="Calibri" w:cs="Calibri"/>
                <w:color w:val="auto"/>
                <w:szCs w:val="21"/>
                <w:highlight w:val="none"/>
              </w:rPr>
              <w:t>信用评价</w:t>
            </w:r>
          </w:p>
        </w:tc>
        <w:tc>
          <w:tcPr>
            <w:tcW w:w="6462" w:type="dxa"/>
            <w:vAlign w:val="center"/>
          </w:tcPr>
          <w:p w14:paraId="366A8F28">
            <w:pPr>
              <w:numPr>
                <w:ilvl w:val="255"/>
                <w:numId w:val="0"/>
              </w:numPr>
              <w:spacing w:after="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全省统一的招标投标信用评价体系建立后，根据《湖南省工程建设项目招标投标信用评价管理办法》规定，投标人信用评价分由湖南省公共资源交易服务平台-交易系统从信用评价系统获取其最新信用评价分，自动匹配至各投标人，作为评标的形式审查及计分依据。首次入湘投标或在湘未承包过工程项目的企业，暂不开展信用评价，以本省信用评价平均分作为基准分，如存在《湖南省工程建设项目招标投标信用评价管理办法》中规定的不良行为，投标人应如实填报，按照指标权重减去其不良行为扣分后，作为其投标信用评价得分。</w:t>
            </w:r>
          </w:p>
          <w:p w14:paraId="3CB7E1D3">
            <w:pPr>
              <w:spacing w:line="360" w:lineRule="auto"/>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2、全省统一的招标投标信用评价体系建立前，信用加（扣）分按下述原则评审：</w:t>
            </w:r>
          </w:p>
          <w:p w14:paraId="327EFA72">
            <w:pPr>
              <w:spacing w:line="360" w:lineRule="auto"/>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信用得分由信用评价加分和信用处罚扣分两类组成，信用加分占该部分权重的30%；信用扣分占该部分权重的70%。</w:t>
            </w:r>
          </w:p>
          <w:p w14:paraId="345926E2">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（1）信用加分：</w:t>
            </w:r>
            <w:r>
              <w:rPr>
                <w:rFonts w:hint="eastAsia" w:ascii="宋体" w:hAnsi="宋体" w:cs="宋体"/>
                <w:color w:val="auto"/>
                <w:szCs w:val="21"/>
                <w:highlight w:val="none"/>
              </w:rPr>
              <w:t>信用评价加分以“湖南省数字城建档案馆|智慧住建云”最新公布的信息为准；无信用评价结果的，按照投标人信用评价得分处于末位的合格投标人的分值计取，省外企业无信用评价查询结果的，可以提供企业注册地省级住房和城乡建设部门公布的信用评价结果（非百分制的按照《导则》规定的原则，按照百分制自行折算后填写）作为评审依据。</w:t>
            </w:r>
          </w:p>
          <w:p w14:paraId="766E436E">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（2）信用扣分：</w:t>
            </w:r>
            <w:r>
              <w:rPr>
                <w:rFonts w:hint="eastAsia" w:ascii="宋体" w:hAnsi="宋体" w:cs="宋体"/>
                <w:color w:val="auto"/>
                <w:szCs w:val="21"/>
                <w:highlight w:val="none"/>
              </w:rPr>
              <w:t>信用处罚扣分是指在规定的期限内受到省本级行政监督部门或综合监管部门所作出的行政处罚的情况，</w:t>
            </w:r>
            <w:bookmarkStart w:id="130" w:name="_Hlk193114687"/>
            <w:r>
              <w:rPr>
                <w:rFonts w:hint="eastAsia" w:ascii="宋体" w:hAnsi="宋体" w:cs="宋体"/>
                <w:color w:val="auto"/>
                <w:szCs w:val="21"/>
                <w:highlight w:val="none"/>
              </w:rPr>
              <w:t>包括警告、通报批评、罚款、限制开展生产经营活动等</w:t>
            </w:r>
            <w:bookmarkEnd w:id="130"/>
            <w:r>
              <w:rPr>
                <w:rFonts w:hint="eastAsia" w:ascii="宋体" w:hAnsi="宋体" w:cs="宋体"/>
                <w:color w:val="auto"/>
                <w:szCs w:val="21"/>
                <w:highlight w:val="none"/>
              </w:rPr>
              <w:t>，由投标人如实填写。</w:t>
            </w:r>
            <w:bookmarkStart w:id="131" w:name="_Hlk193467022"/>
            <w:r>
              <w:rPr>
                <w:rFonts w:hint="eastAsia" w:ascii="宋体" w:hAnsi="宋体" w:cs="宋体"/>
                <w:color w:val="auto"/>
                <w:szCs w:val="21"/>
                <w:highlight w:val="none"/>
              </w:rPr>
              <w:t>使用我省省本级信用评价结果或我省企业无信用评价结果的，对应信用处罚扣分依据为我省省本级信用处罚情况；使用外省省本级信用评价结果或外省企业无信用评价结果的，对应信用处罚扣分依据为该企业注册地省本级信用处罚情况</w:t>
            </w:r>
            <w:bookmarkEnd w:id="131"/>
            <w:r>
              <w:rPr>
                <w:rFonts w:hint="eastAsia" w:ascii="宋体" w:hAnsi="宋体" w:cs="宋体"/>
                <w:color w:val="auto"/>
                <w:szCs w:val="21"/>
                <w:highlight w:val="none"/>
              </w:rPr>
              <w:t>。行政处罚类型为罚款的，是指 10万元及以上的罚款 ，行政处罚扣分年限以行政处罚决定书规定的有效期为准；行政处罚决定书未明确的，按1年计算。</w:t>
            </w:r>
          </w:p>
          <w:p w14:paraId="027510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信用处罚扣分权重：第一项行政处罚扣分权重10%、第二项扣15%、第三项扣20%、第四项扣25%、第五项扣30%的原则累加扣分，扣完为止。</w:t>
            </w:r>
          </w:p>
          <w:p w14:paraId="0CB39B67">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（3）因未如实填写造成异议、投诉，经调查属实且对其有利的，将取消其中标候选人资格或中标资格，并依法认定为失信行为。</w:t>
            </w:r>
          </w:p>
        </w:tc>
      </w:tr>
      <w:tr w14:paraId="4DD4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26" w:type="dxa"/>
            <w:vAlign w:val="center"/>
          </w:tcPr>
          <w:p w14:paraId="72B9E234">
            <w:pPr>
              <w:jc w:val="center"/>
              <w:rPr>
                <w:rFonts w:ascii="Calibri" w:hAnsi="Calibri" w:cs="Calibri"/>
                <w:color w:val="auto"/>
                <w:szCs w:val="21"/>
                <w:highlight w:val="none"/>
                <w:shd w:val="pct10" w:color="auto" w:fill="FFFFFF"/>
              </w:rPr>
            </w:pPr>
            <w:r>
              <w:rPr>
                <w:rFonts w:hint="eastAsia" w:ascii="Calibri" w:hAnsi="Calibri" w:cs="Calibri"/>
                <w:color w:val="auto"/>
                <w:szCs w:val="21"/>
                <w:highlight w:val="none"/>
              </w:rPr>
              <w:t>10.11</w:t>
            </w:r>
          </w:p>
        </w:tc>
        <w:tc>
          <w:tcPr>
            <w:tcW w:w="2010" w:type="dxa"/>
            <w:gridSpan w:val="3"/>
            <w:vAlign w:val="center"/>
          </w:tcPr>
          <w:p w14:paraId="60B6AA09">
            <w:pPr>
              <w:jc w:val="center"/>
              <w:rPr>
                <w:rFonts w:ascii="Calibri" w:hAnsi="Calibri" w:cs="Calibri"/>
                <w:color w:val="auto"/>
                <w:szCs w:val="21"/>
                <w:highlight w:val="none"/>
              </w:rPr>
            </w:pPr>
            <w:r>
              <w:rPr>
                <w:rFonts w:hint="eastAsia" w:ascii="Calibri" w:hAnsi="Calibri" w:cs="Calibri"/>
                <w:color w:val="auto"/>
                <w:szCs w:val="21"/>
                <w:highlight w:val="none"/>
              </w:rPr>
              <w:t>联合体</w:t>
            </w:r>
            <w:r>
              <w:rPr>
                <w:rFonts w:hint="eastAsia" w:ascii="Calibri" w:hAnsi="Calibri" w:cs="Calibri"/>
                <w:color w:val="auto"/>
                <w:highlight w:val="none"/>
              </w:rPr>
              <w:t>奖项、加分业绩、信用得分</w:t>
            </w:r>
            <w:r>
              <w:rPr>
                <w:rFonts w:hint="eastAsia" w:ascii="Calibri" w:hAnsi="Calibri" w:cs="Calibri"/>
                <w:color w:val="auto"/>
                <w:szCs w:val="21"/>
                <w:highlight w:val="none"/>
              </w:rPr>
              <w:t>的计分方式</w:t>
            </w:r>
          </w:p>
        </w:tc>
        <w:tc>
          <w:tcPr>
            <w:tcW w:w="6462" w:type="dxa"/>
            <w:vAlign w:val="center"/>
          </w:tcPr>
          <w:p w14:paraId="24BB95D0">
            <w:pPr>
              <w:widowControl w:val="0"/>
              <w:numPr>
                <w:ilvl w:val="0"/>
                <w:numId w:val="0"/>
              </w:numPr>
              <w:jc w:val="both"/>
              <w:rPr>
                <w:rFonts w:hint="eastAsia" w:ascii="仿宋_GB2312" w:hAnsi="仿宋_GB2312" w:cs="仿宋_GB2312"/>
                <w:b/>
                <w:bCs/>
                <w:color w:val="auto"/>
                <w:highlight w:val="none"/>
              </w:rPr>
            </w:pPr>
            <w:r>
              <w:rPr>
                <w:rFonts w:hint="eastAsia" w:ascii="仿宋_GB2312" w:hAnsi="仿宋_GB2312" w:cs="仿宋_GB2312"/>
                <w:b/>
                <w:bCs/>
                <w:color w:val="auto"/>
                <w:highlight w:val="none"/>
              </w:rPr>
              <w:t>1.加分类似业绩：</w:t>
            </w:r>
          </w:p>
          <w:p w14:paraId="043491D8">
            <w:pPr>
              <w:widowControl w:val="0"/>
              <w:numPr>
                <w:ilvl w:val="0"/>
                <w:numId w:val="0"/>
              </w:numPr>
              <w:jc w:val="both"/>
              <w:rPr>
                <w:rFonts w:hint="eastAsia" w:ascii="仿宋_GB2312" w:hAnsi="仿宋_GB2312" w:cs="仿宋_GB2312"/>
                <w:color w:val="auto"/>
                <w:highlight w:val="none"/>
                <w:u w:val="single"/>
              </w:rPr>
            </w:pPr>
            <w:r>
              <w:rPr>
                <w:rFonts w:hint="eastAsia" w:ascii="仿宋_GB2312" w:hAnsi="仿宋_GB2312" w:cs="仿宋_GB2312"/>
                <w:b/>
                <w:bCs/>
                <w:color w:val="auto"/>
                <w:highlight w:val="none"/>
              </w:rPr>
              <w:t>（1）</w:t>
            </w:r>
            <w:r>
              <w:rPr>
                <w:rFonts w:hint="eastAsia" w:ascii="仿宋_GB2312" w:hAnsi="仿宋_GB2312" w:cs="仿宋_GB2312"/>
                <w:color w:val="auto"/>
                <w:highlight w:val="none"/>
              </w:rPr>
              <w:t>招标项目存在不同类型（专业）工程内容的,招标人应根据项目实际情况在招标文件中明确主要类型（专业），加分业绩的认定须以主要类型（专业）为准。</w:t>
            </w:r>
            <w:r>
              <w:rPr>
                <w:rFonts w:hint="eastAsia" w:ascii="仿宋_GB2312" w:hAnsi="仿宋_GB2312" w:cs="仿宋_GB2312"/>
                <w:b/>
                <w:bCs/>
                <w:color w:val="auto"/>
                <w:highlight w:val="none"/>
              </w:rPr>
              <w:t>本项目主要类型（专业）：</w:t>
            </w:r>
            <w:r>
              <w:rPr>
                <w:rFonts w:hint="eastAsia" w:ascii="仿宋_GB2312" w:hAnsi="仿宋_GB2312" w:cs="仿宋_GB2312"/>
                <w:color w:val="auto"/>
                <w:highlight w:val="none"/>
                <w:u w:val="single"/>
              </w:rPr>
              <w:t xml:space="preserve">          </w:t>
            </w:r>
          </w:p>
          <w:p w14:paraId="70337DA2">
            <w:pPr>
              <w:widowControl w:val="0"/>
              <w:numPr>
                <w:ilvl w:val="0"/>
                <w:numId w:val="0"/>
              </w:numPr>
              <w:jc w:val="both"/>
              <w:rPr>
                <w:rFonts w:hint="eastAsia" w:ascii="仿宋_GB2312" w:hAnsi="仿宋_GB2312" w:cs="仿宋_GB2312"/>
                <w:color w:val="auto"/>
                <w:highlight w:val="none"/>
                <w:u w:val="single"/>
              </w:rPr>
            </w:pPr>
            <w:r>
              <w:rPr>
                <w:rFonts w:hint="eastAsia" w:ascii="仿宋_GB2312" w:hAnsi="仿宋_GB2312" w:cs="仿宋_GB2312"/>
                <w:color w:val="auto"/>
                <w:highlight w:val="none"/>
              </w:rPr>
              <w:t>（2）联合体第一、第二个评审加分业绩的认定须以联合体牵头人具备的业绩为准，第三个评审加分业绩可以是联合体成员的。</w:t>
            </w:r>
          </w:p>
          <w:p w14:paraId="2524BA75">
            <w:pPr>
              <w:widowControl w:val="0"/>
              <w:numPr>
                <w:ilvl w:val="0"/>
                <w:numId w:val="0"/>
              </w:numPr>
              <w:jc w:val="both"/>
              <w:rPr>
                <w:rFonts w:hint="eastAsia" w:ascii="仿宋_GB2312" w:hAnsi="仿宋_GB2312" w:cs="仿宋_GB2312"/>
                <w:b/>
                <w:bCs/>
                <w:color w:val="auto"/>
                <w:highlight w:val="none"/>
              </w:rPr>
            </w:pPr>
            <w:r>
              <w:rPr>
                <w:rFonts w:hint="eastAsia" w:ascii="仿宋_GB2312" w:hAnsi="仿宋_GB2312" w:cs="仿宋_GB2312"/>
                <w:b/>
                <w:bCs/>
                <w:color w:val="auto"/>
                <w:highlight w:val="none"/>
              </w:rPr>
              <w:t>2.奖项加分：</w:t>
            </w:r>
          </w:p>
          <w:p w14:paraId="1B86632D">
            <w:pPr>
              <w:widowControl w:val="0"/>
              <w:numPr>
                <w:ilvl w:val="0"/>
                <w:numId w:val="0"/>
              </w:numPr>
              <w:jc w:val="both"/>
              <w:rPr>
                <w:rFonts w:hint="eastAsia" w:asciiTheme="minorEastAsia" w:hAnsiTheme="minorEastAsia" w:eastAsiaTheme="minorEastAsia"/>
                <w:color w:val="auto"/>
                <w:szCs w:val="21"/>
                <w:highlight w:val="none"/>
              </w:rPr>
            </w:pPr>
            <w:r>
              <w:rPr>
                <w:rFonts w:hint="eastAsia" w:ascii="仿宋_GB2312" w:hAnsi="仿宋_GB2312" w:cs="仿宋_GB2312"/>
                <w:color w:val="auto"/>
                <w:highlight w:val="none"/>
              </w:rPr>
              <w:t>（1）招标项目为不同类型（专业）工程内容的,</w:t>
            </w:r>
            <w:r>
              <w:rPr>
                <w:rFonts w:hint="eastAsia" w:asciiTheme="majorEastAsia" w:hAnsiTheme="majorEastAsia" w:eastAsiaTheme="majorEastAsia"/>
                <w:color w:val="auto"/>
                <w:szCs w:val="21"/>
                <w:highlight w:val="none"/>
              </w:rPr>
              <w:t xml:space="preserve"> 奖项加分</w:t>
            </w:r>
            <w:r>
              <w:rPr>
                <w:rFonts w:hint="eastAsia" w:ascii="仿宋_GB2312" w:hAnsi="仿宋_GB2312" w:cs="仿宋_GB2312"/>
                <w:color w:val="auto"/>
                <w:highlight w:val="none"/>
              </w:rPr>
              <w:t>须以主要类型（专业）为准。</w:t>
            </w:r>
            <w:r>
              <w:rPr>
                <w:rFonts w:hint="eastAsia" w:ascii="仿宋_GB2312" w:hAnsi="仿宋_GB2312" w:cs="仿宋_GB2312"/>
                <w:b/>
                <w:bCs/>
                <w:color w:val="auto"/>
                <w:highlight w:val="none"/>
              </w:rPr>
              <w:t>本项目主要类型（专业）：</w:t>
            </w:r>
            <w:r>
              <w:rPr>
                <w:rFonts w:hint="eastAsia" w:ascii="仿宋_GB2312" w:hAnsi="仿宋_GB2312" w:cs="仿宋_GB2312"/>
                <w:color w:val="auto"/>
                <w:highlight w:val="none"/>
                <w:u w:val="single"/>
              </w:rPr>
              <w:t xml:space="preserve"> 详见上述第1.（1）条</w:t>
            </w:r>
            <w:r>
              <w:rPr>
                <w:rFonts w:hint="eastAsia" w:asciiTheme="minorEastAsia" w:hAnsiTheme="minorEastAsia" w:eastAsiaTheme="minorEastAsia"/>
                <w:color w:val="auto"/>
                <w:szCs w:val="21"/>
                <w:highlight w:val="none"/>
              </w:rPr>
              <w:t>。</w:t>
            </w:r>
          </w:p>
          <w:p w14:paraId="4E9693AE">
            <w:pPr>
              <w:widowControl w:val="0"/>
              <w:numPr>
                <w:ilvl w:val="0"/>
                <w:numId w:val="0"/>
              </w:numPr>
              <w:jc w:val="both"/>
              <w:rPr>
                <w:rFonts w:hint="eastAsia" w:ascii="仿宋_GB2312" w:hAnsi="仿宋_GB2312" w:cs="仿宋_GB2312"/>
                <w:color w:val="auto"/>
                <w:highlight w:val="none"/>
              </w:rPr>
            </w:pPr>
            <w:r>
              <w:rPr>
                <w:rFonts w:hint="eastAsia" w:ascii="仿宋_GB2312" w:hAnsi="仿宋_GB2312" w:cs="仿宋_GB2312"/>
                <w:color w:val="auto"/>
                <w:highlight w:val="none"/>
              </w:rPr>
              <w:t>（2）联合体第一、二个评审加分奖项的认定须以联合体牵头人具备的奖项为准，第三个评审加分奖项可以是联合体成员的。</w:t>
            </w:r>
          </w:p>
          <w:p w14:paraId="37805D8F">
            <w:pPr>
              <w:jc w:val="both"/>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3.信用得分</w:t>
            </w:r>
          </w:p>
          <w:p w14:paraId="01F7BCE6">
            <w:pPr>
              <w:widowControl w:val="0"/>
              <w:numPr>
                <w:ilvl w:val="0"/>
                <w:numId w:val="0"/>
              </w:numPr>
              <w:jc w:val="both"/>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信用得分按照联合体各方“就低不就高”的原则确定。</w:t>
            </w:r>
          </w:p>
          <w:p w14:paraId="316AD01D">
            <w:pPr>
              <w:widowControl w:val="0"/>
              <w:numPr>
                <w:ilvl w:val="0"/>
                <w:numId w:val="0"/>
              </w:numPr>
              <w:jc w:val="both"/>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装配式建筑规定</w:t>
            </w:r>
          </w:p>
          <w:p w14:paraId="2D0B0DBD">
            <w:pPr>
              <w:widowControl w:val="0"/>
              <w:spacing w:line="240" w:lineRule="auto"/>
              <w:jc w:val="both"/>
              <w:rPr>
                <w:rFonts w:ascii="Calibri" w:hAnsi="Calibri" w:cs="Calibri"/>
                <w:color w:val="auto"/>
                <w:kern w:val="0"/>
                <w:sz w:val="18"/>
                <w:highlight w:val="none"/>
                <w:u w:val="single"/>
              </w:rPr>
            </w:pPr>
            <w:r>
              <w:rPr>
                <w:rFonts w:asciiTheme="minorEastAsia" w:hAnsiTheme="minorEastAsia" w:eastAsiaTheme="minorEastAsia"/>
                <w:color w:val="auto"/>
                <w:szCs w:val="21"/>
                <w:highlight w:val="none"/>
              </w:rPr>
              <w:t>装配式建筑：根据联合体协议，仅以</w:t>
            </w:r>
            <w:r>
              <w:rPr>
                <w:rFonts w:hint="eastAsia" w:ascii="宋体" w:hAnsi="宋体" w:cs="宋体"/>
                <w:color w:val="auto"/>
                <w:szCs w:val="21"/>
                <w:highlight w:val="none"/>
              </w:rPr>
              <w:t>装配式建筑产业基地资格的生产企业</w:t>
            </w:r>
            <w:r>
              <w:rPr>
                <w:rFonts w:asciiTheme="minorEastAsia" w:hAnsiTheme="minorEastAsia" w:eastAsiaTheme="minorEastAsia"/>
                <w:color w:val="auto"/>
                <w:szCs w:val="21"/>
                <w:highlight w:val="none"/>
              </w:rPr>
              <w:t>身份作为联合体成员投标的，不参与评标办法商务评审中各项评审指标的计分。</w:t>
            </w:r>
          </w:p>
        </w:tc>
      </w:tr>
      <w:tr w14:paraId="3C41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926" w:type="dxa"/>
            <w:vAlign w:val="center"/>
          </w:tcPr>
          <w:p w14:paraId="7AE35AF3">
            <w:pPr>
              <w:jc w:val="center"/>
              <w:rPr>
                <w:rFonts w:ascii="Calibri" w:hAnsi="Calibri" w:cs="Calibri"/>
                <w:strike/>
                <w:color w:val="auto"/>
                <w:szCs w:val="21"/>
                <w:highlight w:val="none"/>
              </w:rPr>
            </w:pPr>
            <w:r>
              <w:rPr>
                <w:rFonts w:hint="eastAsia" w:ascii="Calibri" w:hAnsi="Calibri" w:cs="Calibri"/>
                <w:color w:val="auto"/>
                <w:szCs w:val="21"/>
                <w:highlight w:val="none"/>
              </w:rPr>
              <w:t>10.12</w:t>
            </w:r>
          </w:p>
        </w:tc>
        <w:tc>
          <w:tcPr>
            <w:tcW w:w="2010" w:type="dxa"/>
            <w:gridSpan w:val="3"/>
            <w:vAlign w:val="center"/>
          </w:tcPr>
          <w:p w14:paraId="61F06424">
            <w:pPr>
              <w:jc w:val="center"/>
              <w:rPr>
                <w:rFonts w:ascii="Calibri" w:hAnsi="Calibri" w:cs="Calibri"/>
                <w:color w:val="auto"/>
                <w:szCs w:val="21"/>
                <w:highlight w:val="none"/>
              </w:rPr>
            </w:pPr>
          </w:p>
          <w:p w14:paraId="45DA9DFA">
            <w:pPr>
              <w:jc w:val="center"/>
              <w:rPr>
                <w:rFonts w:ascii="Calibri" w:hAnsi="Calibri" w:cs="Calibri"/>
                <w:color w:val="auto"/>
                <w:szCs w:val="21"/>
                <w:highlight w:val="none"/>
              </w:rPr>
            </w:pPr>
            <w:r>
              <w:rPr>
                <w:rFonts w:ascii="Calibri" w:hAnsi="Calibri" w:cs="Calibri"/>
                <w:color w:val="auto"/>
                <w:szCs w:val="21"/>
                <w:highlight w:val="none"/>
              </w:rPr>
              <w:t>施工组织设计</w:t>
            </w:r>
            <w:r>
              <w:rPr>
                <w:rFonts w:hint="eastAsia" w:ascii="Calibri" w:hAnsi="Calibri" w:cs="Calibri"/>
                <w:color w:val="auto"/>
                <w:szCs w:val="21"/>
                <w:highlight w:val="none"/>
              </w:rPr>
              <w:t>编制要求</w:t>
            </w:r>
            <w:r>
              <w:rPr>
                <w:rFonts w:ascii="Calibri" w:hAnsi="Calibri" w:cs="Calibri"/>
                <w:color w:val="auto"/>
                <w:szCs w:val="21"/>
                <w:highlight w:val="none"/>
              </w:rPr>
              <w:t xml:space="preserve">  </w:t>
            </w:r>
          </w:p>
          <w:p w14:paraId="5EAFFB90">
            <w:pPr>
              <w:rPr>
                <w:rFonts w:ascii="Calibri" w:hAnsi="Calibri" w:cs="Calibri"/>
                <w:color w:val="auto"/>
                <w:szCs w:val="21"/>
                <w:highlight w:val="none"/>
              </w:rPr>
            </w:pPr>
          </w:p>
        </w:tc>
        <w:tc>
          <w:tcPr>
            <w:tcW w:w="6462" w:type="dxa"/>
            <w:vAlign w:val="center"/>
          </w:tcPr>
          <w:p w14:paraId="004D074D">
            <w:pPr>
              <w:spacing w:line="240" w:lineRule="auto"/>
              <w:ind w:left="-103" w:leftChars="-49" w:firstLine="422" w:firstLineChars="201"/>
              <w:rPr>
                <w:rFonts w:hint="eastAsia" w:ascii="宋体" w:hAnsi="宋体" w:cs="宋体"/>
                <w:color w:val="auto"/>
                <w:szCs w:val="21"/>
                <w:highlight w:val="none"/>
              </w:rPr>
            </w:pPr>
            <w:bookmarkStart w:id="132" w:name="_Hlk193207506"/>
            <w:r>
              <w:rPr>
                <w:rFonts w:hint="eastAsia" w:ascii="宋体" w:hAnsi="宋体" w:cs="宋体"/>
                <w:color w:val="auto"/>
                <w:szCs w:val="21"/>
                <w:highlight w:val="none"/>
              </w:rPr>
              <w:t>采用合理低价法、经评审的最低投标价法的，不要求编制施工组织设计。</w:t>
            </w:r>
          </w:p>
          <w:p w14:paraId="484971DE">
            <w:pPr>
              <w:spacing w:line="240" w:lineRule="auto"/>
              <w:ind w:left="-103" w:leftChars="-49" w:firstLine="422" w:firstLineChars="201"/>
              <w:rPr>
                <w:rFonts w:hint="eastAsia" w:ascii="宋体" w:hAnsi="宋体" w:cs="宋体"/>
                <w:color w:val="auto"/>
                <w:szCs w:val="21"/>
                <w:highlight w:val="none"/>
              </w:rPr>
            </w:pPr>
            <w:r>
              <w:rPr>
                <w:rFonts w:hint="eastAsia" w:ascii="宋体" w:hAnsi="宋体" w:cs="宋体"/>
                <w:color w:val="auto"/>
                <w:szCs w:val="21"/>
                <w:highlight w:val="none"/>
              </w:rPr>
              <w:t>采用技术评分最低价法、综合评估法1的，要求编制施工组织设计（暗标），采用合格性评审方式。</w:t>
            </w:r>
          </w:p>
          <w:p w14:paraId="7E321F59">
            <w:pPr>
              <w:spacing w:line="240" w:lineRule="auto"/>
              <w:ind w:left="-103" w:leftChars="-49" w:firstLine="422" w:firstLineChars="201"/>
              <w:rPr>
                <w:rFonts w:ascii="Calibri" w:hAnsi="Calibri" w:cs="Calibri"/>
                <w:color w:val="auto"/>
                <w:szCs w:val="21"/>
                <w:highlight w:val="none"/>
              </w:rPr>
            </w:pPr>
            <w:r>
              <w:rPr>
                <w:rFonts w:hint="eastAsia" w:ascii="宋体" w:hAnsi="宋体" w:cs="宋体"/>
                <w:color w:val="auto"/>
                <w:szCs w:val="21"/>
                <w:highlight w:val="none"/>
              </w:rPr>
              <w:t>采用综和评估法2的，要求编制施工组织设计（暗标）</w:t>
            </w:r>
            <w:r>
              <w:rPr>
                <w:rFonts w:hint="eastAsia" w:ascii="Calibri" w:hAnsi="Calibri" w:cs="Calibri"/>
                <w:color w:val="auto"/>
                <w:szCs w:val="21"/>
                <w:highlight w:val="none"/>
              </w:rPr>
              <w:t>，采用计分制评审方式</w:t>
            </w:r>
            <w:bookmarkEnd w:id="132"/>
            <w:r>
              <w:rPr>
                <w:rFonts w:hint="eastAsia" w:ascii="Calibri" w:hAnsi="Calibri" w:cs="Calibri"/>
                <w:color w:val="auto"/>
                <w:szCs w:val="21"/>
                <w:highlight w:val="none"/>
              </w:rPr>
              <w:t>。</w:t>
            </w:r>
          </w:p>
          <w:p w14:paraId="655EA38B">
            <w:pPr>
              <w:spacing w:line="240" w:lineRule="auto"/>
              <w:ind w:firstLine="420" w:firstLineChars="200"/>
              <w:rPr>
                <w:rFonts w:ascii="Calibri" w:hAnsi="Calibri" w:cs="Calibri"/>
                <w:color w:val="auto"/>
                <w:szCs w:val="21"/>
                <w:highlight w:val="none"/>
              </w:rPr>
            </w:pPr>
            <w:r>
              <w:rPr>
                <w:rFonts w:ascii="Calibri" w:hAnsi="Calibri" w:cs="Calibri"/>
                <w:color w:val="auto"/>
                <w:szCs w:val="21"/>
                <w:highlight w:val="none"/>
              </w:rPr>
              <w:t>投标人应按照第八章投标文件格式</w:t>
            </w:r>
            <w:r>
              <w:rPr>
                <w:rFonts w:hint="eastAsia" w:ascii="Calibri" w:hAnsi="Calibri" w:cs="Calibri"/>
                <w:color w:val="auto"/>
                <w:szCs w:val="21"/>
                <w:highlight w:val="none"/>
              </w:rPr>
              <w:t>第三节“</w:t>
            </w:r>
            <w:r>
              <w:rPr>
                <w:rFonts w:ascii="Calibri" w:hAnsi="Calibri" w:cs="Calibri"/>
                <w:color w:val="auto"/>
                <w:szCs w:val="21"/>
                <w:highlight w:val="none"/>
              </w:rPr>
              <w:t>施工组织设计</w:t>
            </w:r>
            <w:r>
              <w:rPr>
                <w:rFonts w:hint="eastAsia" w:ascii="Calibri" w:hAnsi="Calibri" w:cs="Calibri"/>
                <w:color w:val="auto"/>
                <w:szCs w:val="21"/>
                <w:highlight w:val="none"/>
              </w:rPr>
              <w:t>格式的</w:t>
            </w:r>
            <w:r>
              <w:rPr>
                <w:rFonts w:ascii="Calibri" w:hAnsi="Calibri" w:cs="Calibri"/>
                <w:color w:val="auto"/>
                <w:szCs w:val="21"/>
                <w:highlight w:val="none"/>
              </w:rPr>
              <w:t>编制要求</w:t>
            </w:r>
            <w:r>
              <w:rPr>
                <w:rFonts w:hint="eastAsia" w:ascii="Calibri" w:hAnsi="Calibri" w:cs="Calibri"/>
                <w:color w:val="auto"/>
                <w:szCs w:val="21"/>
                <w:highlight w:val="none"/>
              </w:rPr>
              <w:t>”进行</w:t>
            </w:r>
            <w:r>
              <w:rPr>
                <w:rFonts w:ascii="Calibri" w:hAnsi="Calibri" w:cs="Calibri"/>
                <w:color w:val="auto"/>
                <w:szCs w:val="21"/>
                <w:highlight w:val="none"/>
              </w:rPr>
              <w:t>编</w:t>
            </w:r>
            <w:r>
              <w:rPr>
                <w:rFonts w:hint="eastAsia" w:ascii="Calibri" w:hAnsi="Calibri" w:cs="Calibri"/>
                <w:color w:val="auto"/>
                <w:szCs w:val="21"/>
                <w:highlight w:val="none"/>
              </w:rPr>
              <w:t>制。</w:t>
            </w:r>
          </w:p>
        </w:tc>
      </w:tr>
      <w:tr w14:paraId="5352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Align w:val="center"/>
          </w:tcPr>
          <w:p w14:paraId="34390F2E">
            <w:pPr>
              <w:jc w:val="center"/>
              <w:rPr>
                <w:rFonts w:ascii="Calibri" w:hAnsi="Calibri" w:cs="Calibri"/>
                <w:color w:val="auto"/>
                <w:szCs w:val="21"/>
                <w:highlight w:val="none"/>
              </w:rPr>
            </w:pPr>
            <w:r>
              <w:rPr>
                <w:rFonts w:hint="eastAsia" w:ascii="Calibri" w:hAnsi="Calibri" w:cs="Calibri"/>
                <w:color w:val="auto"/>
                <w:szCs w:val="21"/>
                <w:highlight w:val="none"/>
              </w:rPr>
              <w:t>10.13</w:t>
            </w:r>
          </w:p>
        </w:tc>
        <w:tc>
          <w:tcPr>
            <w:tcW w:w="2010" w:type="dxa"/>
            <w:gridSpan w:val="3"/>
            <w:vAlign w:val="center"/>
          </w:tcPr>
          <w:p w14:paraId="5FA0F973">
            <w:pPr>
              <w:widowControl/>
              <w:jc w:val="center"/>
              <w:rPr>
                <w:rFonts w:ascii="Calibri" w:hAnsi="Calibri" w:cs="Calibri"/>
                <w:color w:val="auto"/>
                <w:szCs w:val="21"/>
                <w:highlight w:val="none"/>
              </w:rPr>
            </w:pPr>
            <w:r>
              <w:rPr>
                <w:rFonts w:ascii="Calibri" w:hAnsi="Calibri" w:cs="Calibri"/>
                <w:color w:val="auto"/>
                <w:szCs w:val="21"/>
                <w:highlight w:val="none"/>
              </w:rPr>
              <w:t>是否要求投标人</w:t>
            </w:r>
            <w:r>
              <w:rPr>
                <w:rFonts w:hint="eastAsia" w:ascii="Calibri" w:hAnsi="Calibri" w:cs="Calibri"/>
                <w:color w:val="auto"/>
                <w:szCs w:val="21"/>
                <w:highlight w:val="none"/>
              </w:rPr>
              <w:t>代表</w:t>
            </w:r>
            <w:r>
              <w:rPr>
                <w:rFonts w:ascii="Calibri" w:hAnsi="Calibri" w:cs="Calibri"/>
                <w:color w:val="auto"/>
                <w:szCs w:val="21"/>
                <w:highlight w:val="none"/>
              </w:rPr>
              <w:t>出席开标会</w:t>
            </w:r>
          </w:p>
        </w:tc>
        <w:tc>
          <w:tcPr>
            <w:tcW w:w="6462" w:type="dxa"/>
            <w:vAlign w:val="center"/>
          </w:tcPr>
          <w:p w14:paraId="0DBA428D">
            <w:pPr>
              <w:rPr>
                <w:rFonts w:ascii="Calibri" w:hAnsi="Calibri" w:cs="Calibri"/>
                <w:color w:val="auto"/>
                <w:szCs w:val="21"/>
                <w:highlight w:val="none"/>
              </w:rPr>
            </w:pPr>
            <w:r>
              <w:rPr>
                <w:rFonts w:ascii="Calibri" w:hAnsi="Calibri" w:cs="Calibri"/>
                <w:color w:val="auto"/>
                <w:szCs w:val="21"/>
                <w:highlight w:val="none"/>
              </w:rPr>
              <w:t>不要求</w:t>
            </w:r>
          </w:p>
        </w:tc>
      </w:tr>
      <w:tr w14:paraId="46B3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26" w:type="dxa"/>
            <w:vAlign w:val="center"/>
          </w:tcPr>
          <w:p w14:paraId="21F68EC8">
            <w:pPr>
              <w:jc w:val="center"/>
              <w:rPr>
                <w:rFonts w:ascii="Calibri" w:hAnsi="Calibri" w:cs="Calibri"/>
                <w:color w:val="auto"/>
                <w:szCs w:val="21"/>
                <w:highlight w:val="none"/>
              </w:rPr>
            </w:pPr>
            <w:r>
              <w:rPr>
                <w:rFonts w:hint="eastAsia" w:ascii="Calibri" w:hAnsi="Calibri" w:cs="Calibri"/>
                <w:color w:val="auto"/>
                <w:szCs w:val="21"/>
                <w:highlight w:val="none"/>
              </w:rPr>
              <w:t>10.14</w:t>
            </w:r>
          </w:p>
        </w:tc>
        <w:tc>
          <w:tcPr>
            <w:tcW w:w="2010" w:type="dxa"/>
            <w:gridSpan w:val="3"/>
            <w:vAlign w:val="center"/>
          </w:tcPr>
          <w:p w14:paraId="6DB8D897">
            <w:pPr>
              <w:widowControl/>
              <w:jc w:val="left"/>
              <w:rPr>
                <w:rFonts w:ascii="Calibri" w:hAnsi="Calibri" w:cs="Calibri"/>
                <w:color w:val="auto"/>
                <w:szCs w:val="21"/>
                <w:highlight w:val="none"/>
              </w:rPr>
            </w:pPr>
            <w:r>
              <w:rPr>
                <w:rFonts w:ascii="Calibri" w:hAnsi="Calibri" w:cs="Calibri"/>
                <w:color w:val="auto"/>
                <w:szCs w:val="21"/>
                <w:highlight w:val="none"/>
              </w:rPr>
              <w:t>中标</w:t>
            </w:r>
            <w:r>
              <w:rPr>
                <w:rFonts w:hint="eastAsia" w:ascii="Calibri" w:hAnsi="Calibri" w:cs="Calibri"/>
                <w:color w:val="auto"/>
                <w:szCs w:val="21"/>
                <w:highlight w:val="none"/>
              </w:rPr>
              <w:t>候选人</w:t>
            </w:r>
            <w:r>
              <w:rPr>
                <w:rFonts w:ascii="Calibri" w:hAnsi="Calibri" w:cs="Calibri"/>
                <w:color w:val="auto"/>
                <w:szCs w:val="21"/>
                <w:highlight w:val="none"/>
              </w:rPr>
              <w:t>公示</w:t>
            </w:r>
          </w:p>
        </w:tc>
        <w:tc>
          <w:tcPr>
            <w:tcW w:w="6462" w:type="dxa"/>
            <w:vAlign w:val="center"/>
          </w:tcPr>
          <w:p w14:paraId="701D2C38">
            <w:pPr>
              <w:widowControl/>
              <w:ind w:firstLine="420" w:firstLineChars="200"/>
              <w:jc w:val="left"/>
              <w:rPr>
                <w:rFonts w:ascii="Calibri" w:hAnsi="Calibri" w:cs="Calibri"/>
                <w:color w:val="auto"/>
                <w:szCs w:val="21"/>
                <w:highlight w:val="none"/>
              </w:rPr>
            </w:pPr>
            <w:r>
              <w:rPr>
                <w:rFonts w:hint="eastAsia" w:ascii="Calibri" w:hAnsi="Calibri" w:cs="Calibri"/>
                <w:color w:val="auto"/>
                <w:szCs w:val="21"/>
                <w:highlight w:val="none"/>
              </w:rPr>
              <w:t>招标人收到评标报告之日起3日内，</w:t>
            </w:r>
            <w:r>
              <w:rPr>
                <w:rFonts w:ascii="Calibri" w:hAnsi="Calibri" w:cs="Calibri"/>
                <w:color w:val="auto"/>
                <w:szCs w:val="21"/>
                <w:highlight w:val="none"/>
              </w:rPr>
              <w:t>将中标候选人的情况在本招标项目招标公告发布的同一媒介予以公示，公示期不少于3个工作日。</w:t>
            </w:r>
          </w:p>
        </w:tc>
      </w:tr>
      <w:tr w14:paraId="4E22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Align w:val="center"/>
          </w:tcPr>
          <w:p w14:paraId="79E06592">
            <w:pPr>
              <w:jc w:val="center"/>
              <w:rPr>
                <w:rFonts w:ascii="Calibri" w:hAnsi="Calibri" w:cs="Calibri"/>
                <w:color w:val="auto"/>
                <w:szCs w:val="21"/>
                <w:highlight w:val="none"/>
              </w:rPr>
            </w:pPr>
            <w:r>
              <w:rPr>
                <w:rFonts w:hint="eastAsia" w:ascii="Calibri" w:hAnsi="Calibri" w:cs="Calibri"/>
                <w:color w:val="auto"/>
                <w:szCs w:val="21"/>
                <w:highlight w:val="none"/>
              </w:rPr>
              <w:t>10.15</w:t>
            </w:r>
          </w:p>
        </w:tc>
        <w:tc>
          <w:tcPr>
            <w:tcW w:w="2010" w:type="dxa"/>
            <w:gridSpan w:val="3"/>
            <w:vAlign w:val="center"/>
          </w:tcPr>
          <w:p w14:paraId="5844AC12">
            <w:pPr>
              <w:spacing w:line="300" w:lineRule="exact"/>
              <w:jc w:val="center"/>
              <w:rPr>
                <w:rFonts w:ascii="Calibri" w:hAnsi="Calibri" w:cs="Calibri"/>
                <w:color w:val="auto"/>
                <w:szCs w:val="21"/>
                <w:highlight w:val="none"/>
              </w:rPr>
            </w:pPr>
            <w:r>
              <w:rPr>
                <w:rFonts w:hint="eastAsia" w:ascii="Calibri" w:hAnsi="Calibri" w:cs="Calibri"/>
                <w:color w:val="auto"/>
                <w:highlight w:val="none"/>
              </w:rPr>
              <w:t>省外入湘</w:t>
            </w:r>
            <w:r>
              <w:rPr>
                <w:rFonts w:hint="eastAsia" w:cs="Calibri"/>
                <w:color w:val="auto"/>
                <w:highlight w:val="none"/>
              </w:rPr>
              <w:t>信息报送要求</w:t>
            </w:r>
          </w:p>
        </w:tc>
        <w:tc>
          <w:tcPr>
            <w:tcW w:w="6462" w:type="dxa"/>
            <w:vAlign w:val="center"/>
          </w:tcPr>
          <w:p w14:paraId="44B5936F">
            <w:pPr>
              <w:spacing w:line="300" w:lineRule="exact"/>
              <w:ind w:firstLine="420" w:firstLineChars="200"/>
              <w:jc w:val="left"/>
              <w:rPr>
                <w:rFonts w:ascii="Calibri" w:hAnsi="Calibri" w:cs="Calibri"/>
                <w:color w:val="auto"/>
                <w:szCs w:val="21"/>
                <w:highlight w:val="none"/>
              </w:rPr>
            </w:pPr>
            <w:r>
              <w:rPr>
                <w:rFonts w:hint="eastAsia" w:ascii="Calibri" w:hAnsi="Calibri" w:cs="Calibri"/>
                <w:color w:val="auto"/>
                <w:highlight w:val="none"/>
              </w:rPr>
              <w:t>省外施工入湘企业在“湖南省建筑市场监管公共服务平台”进行基本信息报送，由交易系统匹对主体库内的入湘报送信息进行比对。</w:t>
            </w:r>
          </w:p>
        </w:tc>
      </w:tr>
      <w:tr w14:paraId="37EF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26" w:type="dxa"/>
            <w:vAlign w:val="center"/>
          </w:tcPr>
          <w:p w14:paraId="151716D6">
            <w:pPr>
              <w:jc w:val="center"/>
              <w:rPr>
                <w:rFonts w:ascii="Calibri" w:hAnsi="Calibri" w:cs="Calibri"/>
                <w:color w:val="auto"/>
                <w:szCs w:val="21"/>
                <w:highlight w:val="none"/>
              </w:rPr>
            </w:pPr>
            <w:r>
              <w:rPr>
                <w:rFonts w:hint="eastAsia" w:ascii="Calibri" w:hAnsi="Calibri" w:cs="Calibri"/>
                <w:color w:val="auto"/>
                <w:szCs w:val="21"/>
                <w:highlight w:val="none"/>
              </w:rPr>
              <w:t>10.16</w:t>
            </w:r>
          </w:p>
        </w:tc>
        <w:tc>
          <w:tcPr>
            <w:tcW w:w="2010" w:type="dxa"/>
            <w:gridSpan w:val="3"/>
            <w:vAlign w:val="center"/>
          </w:tcPr>
          <w:p w14:paraId="1B71DB08">
            <w:pPr>
              <w:widowControl/>
              <w:jc w:val="center"/>
              <w:rPr>
                <w:rFonts w:ascii="Calibri" w:hAnsi="Calibri" w:cs="Calibri"/>
                <w:color w:val="auto"/>
                <w:szCs w:val="21"/>
                <w:highlight w:val="none"/>
              </w:rPr>
            </w:pPr>
            <w:r>
              <w:rPr>
                <w:rFonts w:ascii="Calibri" w:hAnsi="Calibri" w:cs="Calibri"/>
                <w:color w:val="auto"/>
                <w:szCs w:val="21"/>
                <w:highlight w:val="none"/>
              </w:rPr>
              <w:t>知识产权</w:t>
            </w:r>
          </w:p>
        </w:tc>
        <w:tc>
          <w:tcPr>
            <w:tcW w:w="6462" w:type="dxa"/>
            <w:vAlign w:val="center"/>
          </w:tcPr>
          <w:p w14:paraId="739C42D9">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招标人全部或者部分使用未中标人投标文件中的</w:t>
            </w:r>
            <w:r>
              <w:rPr>
                <w:rFonts w:ascii="Calibri" w:hAnsi="Calibri" w:cs="Calibri"/>
                <w:bCs/>
                <w:color w:val="auto"/>
                <w:szCs w:val="21"/>
                <w:highlight w:val="none"/>
              </w:rPr>
              <w:t>技术</w:t>
            </w:r>
            <w:r>
              <w:rPr>
                <w:rFonts w:ascii="Calibri" w:hAnsi="Calibri" w:cs="Calibri"/>
                <w:color w:val="auto"/>
                <w:szCs w:val="21"/>
                <w:highlight w:val="none"/>
              </w:rPr>
              <w:t>成果或技术方案时，需征得其书面同意，并不得擅自复印或提供给第三人。</w:t>
            </w:r>
          </w:p>
        </w:tc>
      </w:tr>
      <w:tr w14:paraId="2C24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26" w:type="dxa"/>
            <w:vAlign w:val="center"/>
          </w:tcPr>
          <w:p w14:paraId="39530528">
            <w:pPr>
              <w:jc w:val="center"/>
              <w:rPr>
                <w:rFonts w:ascii="Calibri" w:hAnsi="Calibri" w:cs="Calibri"/>
                <w:color w:val="auto"/>
                <w:szCs w:val="21"/>
                <w:highlight w:val="none"/>
              </w:rPr>
            </w:pPr>
            <w:r>
              <w:rPr>
                <w:rFonts w:hint="eastAsia" w:ascii="Calibri" w:hAnsi="Calibri" w:cs="Calibri"/>
                <w:color w:val="auto"/>
                <w:szCs w:val="21"/>
                <w:highlight w:val="none"/>
              </w:rPr>
              <w:t>10.17</w:t>
            </w:r>
          </w:p>
        </w:tc>
        <w:tc>
          <w:tcPr>
            <w:tcW w:w="2010" w:type="dxa"/>
            <w:gridSpan w:val="3"/>
            <w:vAlign w:val="center"/>
          </w:tcPr>
          <w:p w14:paraId="3158AD3C">
            <w:pPr>
              <w:widowControl/>
              <w:jc w:val="center"/>
              <w:rPr>
                <w:rFonts w:ascii="Calibri" w:hAnsi="Calibri" w:cs="Calibri"/>
                <w:color w:val="auto"/>
                <w:szCs w:val="21"/>
                <w:highlight w:val="none"/>
              </w:rPr>
            </w:pPr>
            <w:r>
              <w:rPr>
                <w:rFonts w:ascii="Calibri" w:hAnsi="Calibri" w:cs="Calibri"/>
                <w:color w:val="auto"/>
                <w:szCs w:val="21"/>
                <w:highlight w:val="none"/>
              </w:rPr>
              <w:t>同义词语</w:t>
            </w:r>
          </w:p>
        </w:tc>
        <w:tc>
          <w:tcPr>
            <w:tcW w:w="6462" w:type="dxa"/>
            <w:vAlign w:val="center"/>
          </w:tcPr>
          <w:p w14:paraId="392DEDE6">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构成招标文件组成部分的“通用合同条款”、“专用合同条款”、“技术标准和要求”和“工程量清单”等章节中出现的措辞“发包人”和“承包人”，在招标投标阶段应当分别按“招标人”和“投标人”进行理解。</w:t>
            </w:r>
          </w:p>
        </w:tc>
      </w:tr>
      <w:tr w14:paraId="44D4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Align w:val="center"/>
          </w:tcPr>
          <w:p w14:paraId="10DA0004">
            <w:pPr>
              <w:jc w:val="center"/>
              <w:rPr>
                <w:rFonts w:ascii="Calibri" w:hAnsi="Calibri" w:cs="Calibri"/>
                <w:color w:val="auto"/>
                <w:szCs w:val="21"/>
                <w:highlight w:val="none"/>
              </w:rPr>
            </w:pPr>
            <w:r>
              <w:rPr>
                <w:rFonts w:hint="eastAsia" w:ascii="Calibri" w:hAnsi="Calibri" w:cs="Calibri"/>
                <w:color w:val="auto"/>
                <w:szCs w:val="21"/>
                <w:highlight w:val="none"/>
              </w:rPr>
              <w:t>10.18</w:t>
            </w:r>
          </w:p>
        </w:tc>
        <w:tc>
          <w:tcPr>
            <w:tcW w:w="2010" w:type="dxa"/>
            <w:gridSpan w:val="3"/>
            <w:vAlign w:val="center"/>
          </w:tcPr>
          <w:p w14:paraId="4BF9AF33">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监  督</w:t>
            </w:r>
          </w:p>
        </w:tc>
        <w:tc>
          <w:tcPr>
            <w:tcW w:w="6462" w:type="dxa"/>
            <w:vAlign w:val="center"/>
          </w:tcPr>
          <w:p w14:paraId="695B2D40">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本项目的</w:t>
            </w:r>
            <w:r>
              <w:rPr>
                <w:rFonts w:ascii="Calibri" w:hAnsi="Calibri" w:cs="Calibri"/>
                <w:bCs/>
                <w:color w:val="auto"/>
                <w:szCs w:val="21"/>
                <w:highlight w:val="none"/>
              </w:rPr>
              <w:t>招标</w:t>
            </w:r>
            <w:r>
              <w:rPr>
                <w:rFonts w:ascii="Calibri" w:hAnsi="Calibri" w:cs="Calibri"/>
                <w:color w:val="auto"/>
                <w:szCs w:val="21"/>
                <w:highlight w:val="none"/>
              </w:rPr>
              <w:t>投标活动及其相关当事人应当接受有管辖权的建设工程招标投标行政监督部门依法实施的监督。</w:t>
            </w:r>
          </w:p>
        </w:tc>
      </w:tr>
      <w:tr w14:paraId="63D1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98" w:type="dxa"/>
            <w:gridSpan w:val="5"/>
            <w:vAlign w:val="center"/>
          </w:tcPr>
          <w:p w14:paraId="0F6CE2B7">
            <w:pPr>
              <w:rPr>
                <w:rFonts w:ascii="Calibri" w:hAnsi="Calibri" w:cs="Calibri"/>
                <w:color w:val="auto"/>
                <w:szCs w:val="21"/>
                <w:highlight w:val="none"/>
              </w:rPr>
            </w:pPr>
            <w:r>
              <w:rPr>
                <w:rFonts w:hint="eastAsia" w:ascii="Calibri" w:hAnsi="Calibri" w:cs="Calibri"/>
                <w:color w:val="auto"/>
                <w:szCs w:val="21"/>
                <w:highlight w:val="none"/>
              </w:rPr>
              <w:t>10.19</w:t>
            </w:r>
            <w:r>
              <w:rPr>
                <w:rFonts w:ascii="Calibri" w:hAnsi="Calibri" w:cs="Calibri"/>
                <w:color w:val="auto"/>
                <w:szCs w:val="21"/>
                <w:highlight w:val="none"/>
              </w:rPr>
              <w:t>其他补充内容</w:t>
            </w:r>
          </w:p>
        </w:tc>
      </w:tr>
      <w:tr w14:paraId="2B16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vAlign w:val="center"/>
          </w:tcPr>
          <w:p w14:paraId="780FAF6C">
            <w:pPr>
              <w:spacing w:line="240" w:lineRule="auto"/>
              <w:rPr>
                <w:rFonts w:ascii="Calibri" w:hAnsi="Calibri" w:cs="Calibri"/>
                <w:color w:val="auto"/>
                <w:szCs w:val="21"/>
                <w:highlight w:val="none"/>
              </w:rPr>
            </w:pPr>
            <w:r>
              <w:rPr>
                <w:rFonts w:hint="eastAsia" w:ascii="Calibri" w:hAnsi="Calibri" w:cs="Calibri"/>
                <w:color w:val="auto"/>
                <w:szCs w:val="21"/>
                <w:highlight w:val="none"/>
              </w:rPr>
              <w:t>10.19.1</w:t>
            </w:r>
          </w:p>
        </w:tc>
        <w:tc>
          <w:tcPr>
            <w:tcW w:w="8472" w:type="dxa"/>
            <w:gridSpan w:val="4"/>
            <w:vAlign w:val="center"/>
          </w:tcPr>
          <w:p w14:paraId="76B404D0">
            <w:pPr>
              <w:spacing w:line="240" w:lineRule="auto"/>
              <w:ind w:firstLine="420" w:firstLineChars="200"/>
              <w:rPr>
                <w:rFonts w:ascii="Calibri" w:hAnsi="Calibri" w:cs="Calibri"/>
                <w:bCs/>
                <w:color w:val="auto"/>
                <w:szCs w:val="21"/>
                <w:highlight w:val="none"/>
              </w:rPr>
            </w:pPr>
            <w:r>
              <w:rPr>
                <w:rFonts w:ascii="Calibri" w:hAnsi="Calibri" w:cs="Calibri"/>
                <w:bCs/>
                <w:color w:val="auto"/>
                <w:szCs w:val="21"/>
                <w:highlight w:val="none"/>
              </w:rPr>
              <w:t>以暂估价形式包括在总承包范围内的工程、货物、服务属于依法必须进行招标的项目范围且达到国家规定规模标准的，应当依法进行招标。</w:t>
            </w:r>
          </w:p>
        </w:tc>
      </w:tr>
      <w:tr w14:paraId="6027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6" w:type="dxa"/>
            <w:vAlign w:val="center"/>
          </w:tcPr>
          <w:p w14:paraId="28AACC8D">
            <w:pPr>
              <w:spacing w:line="240" w:lineRule="auto"/>
              <w:rPr>
                <w:rFonts w:ascii="Calibri" w:hAnsi="Calibri" w:cs="Calibri"/>
                <w:color w:val="auto"/>
                <w:szCs w:val="21"/>
                <w:highlight w:val="none"/>
              </w:rPr>
            </w:pPr>
            <w:r>
              <w:rPr>
                <w:rFonts w:hint="eastAsia" w:ascii="Calibri" w:hAnsi="Calibri" w:cs="Calibri"/>
                <w:color w:val="auto"/>
                <w:szCs w:val="21"/>
                <w:highlight w:val="none"/>
              </w:rPr>
              <w:t>10.19.2</w:t>
            </w:r>
          </w:p>
        </w:tc>
        <w:tc>
          <w:tcPr>
            <w:tcW w:w="8472" w:type="dxa"/>
            <w:gridSpan w:val="4"/>
            <w:vAlign w:val="center"/>
          </w:tcPr>
          <w:p w14:paraId="1F7159F7">
            <w:pPr>
              <w:spacing w:line="240" w:lineRule="auto"/>
              <w:rPr>
                <w:rFonts w:ascii="Calibri" w:hAnsi="Calibri" w:cs="Calibri"/>
                <w:color w:val="auto"/>
                <w:szCs w:val="21"/>
                <w:highlight w:val="none"/>
              </w:rPr>
            </w:pPr>
            <w:r>
              <w:rPr>
                <w:rFonts w:ascii="Calibri" w:hAnsi="Calibri" w:cs="Calibri"/>
                <w:color w:val="auto"/>
                <w:szCs w:val="21"/>
                <w:highlight w:val="none"/>
              </w:rPr>
              <w:t>1.招标文件中所设置的内容、条款及未尽事宜，以国家</w:t>
            </w:r>
            <w:r>
              <w:rPr>
                <w:rFonts w:hint="eastAsia" w:ascii="Calibri" w:hAnsi="Calibri" w:cs="Calibri"/>
                <w:color w:val="auto"/>
                <w:szCs w:val="21"/>
                <w:highlight w:val="none"/>
              </w:rPr>
              <w:t>或</w:t>
            </w:r>
            <w:r>
              <w:rPr>
                <w:rFonts w:ascii="Calibri" w:hAnsi="Calibri" w:cs="Calibri"/>
                <w:color w:val="auto"/>
                <w:szCs w:val="21"/>
                <w:highlight w:val="none"/>
              </w:rPr>
              <w:t>省有关规定为准；</w:t>
            </w:r>
          </w:p>
          <w:p w14:paraId="462E480C">
            <w:pPr>
              <w:spacing w:line="240" w:lineRule="auto"/>
              <w:rPr>
                <w:rFonts w:ascii="Calibri" w:hAnsi="Calibri" w:cs="Calibri"/>
                <w:color w:val="auto"/>
                <w:szCs w:val="21"/>
                <w:highlight w:val="none"/>
              </w:rPr>
            </w:pPr>
            <w:r>
              <w:rPr>
                <w:rFonts w:ascii="Calibri" w:hAnsi="Calibri" w:cs="Calibri"/>
                <w:color w:val="auto"/>
                <w:szCs w:val="21"/>
                <w:highlight w:val="none"/>
              </w:rPr>
              <w:t>2.其它：</w:t>
            </w:r>
            <w:r>
              <w:rPr>
                <w:rFonts w:ascii="Calibri" w:hAnsi="Calibri" w:cs="Calibri"/>
                <w:color w:val="auto"/>
                <w:szCs w:val="21"/>
                <w:highlight w:val="none"/>
                <w:u w:val="single"/>
              </w:rPr>
              <w:t xml:space="preserve">            </w:t>
            </w:r>
          </w:p>
        </w:tc>
      </w:tr>
      <w:tr w14:paraId="13D2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26" w:type="dxa"/>
            <w:vAlign w:val="center"/>
          </w:tcPr>
          <w:p w14:paraId="472B3E6F">
            <w:pPr>
              <w:snapToGrid w:val="0"/>
              <w:spacing w:line="240" w:lineRule="auto"/>
              <w:rPr>
                <w:rFonts w:ascii="Calibri" w:hAnsi="Calibri" w:cs="Calibri"/>
                <w:color w:val="auto"/>
                <w:szCs w:val="21"/>
                <w:highlight w:val="none"/>
              </w:rPr>
            </w:pPr>
            <w:r>
              <w:rPr>
                <w:rFonts w:hint="eastAsia" w:ascii="Calibri" w:hAnsi="Calibri" w:cs="Calibri"/>
                <w:color w:val="auto"/>
                <w:szCs w:val="21"/>
                <w:highlight w:val="none"/>
              </w:rPr>
              <w:t>10.19.3</w:t>
            </w:r>
          </w:p>
        </w:tc>
        <w:tc>
          <w:tcPr>
            <w:tcW w:w="8472" w:type="dxa"/>
            <w:gridSpan w:val="4"/>
            <w:vAlign w:val="center"/>
          </w:tcPr>
          <w:p w14:paraId="380035A9">
            <w:pPr>
              <w:pStyle w:val="76"/>
              <w:spacing w:line="240" w:lineRule="auto"/>
              <w:rPr>
                <w:rFonts w:ascii="Calibri" w:hAnsi="Calibri" w:cs="Calibri"/>
                <w:color w:val="auto"/>
                <w:highlight w:val="none"/>
              </w:rPr>
            </w:pPr>
            <w:r>
              <w:rPr>
                <w:rFonts w:ascii="Calibri" w:hAnsi="Calibri" w:cs="Calibri"/>
                <w:color w:val="auto"/>
                <w:highlight w:val="none"/>
              </w:rPr>
              <w:t>本招标文件要求的复印件是指复印件或扫描件或影印件。</w:t>
            </w:r>
          </w:p>
        </w:tc>
      </w:tr>
      <w:tr w14:paraId="3AB1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26" w:type="dxa"/>
            <w:vAlign w:val="center"/>
          </w:tcPr>
          <w:p w14:paraId="75C285AE">
            <w:pPr>
              <w:snapToGrid w:val="0"/>
              <w:spacing w:line="240" w:lineRule="auto"/>
              <w:rPr>
                <w:rFonts w:ascii="Calibri" w:hAnsi="Calibri" w:cs="Calibri"/>
                <w:color w:val="auto"/>
                <w:szCs w:val="21"/>
                <w:highlight w:val="none"/>
              </w:rPr>
            </w:pPr>
            <w:r>
              <w:rPr>
                <w:rFonts w:hint="eastAsia" w:ascii="Calibri" w:hAnsi="Calibri" w:cs="Calibri"/>
                <w:color w:val="auto"/>
                <w:szCs w:val="21"/>
                <w:highlight w:val="none"/>
              </w:rPr>
              <w:t>10.19.4</w:t>
            </w:r>
          </w:p>
        </w:tc>
        <w:tc>
          <w:tcPr>
            <w:tcW w:w="8472" w:type="dxa"/>
            <w:gridSpan w:val="4"/>
            <w:vAlign w:val="center"/>
          </w:tcPr>
          <w:p w14:paraId="50273E32">
            <w:pPr>
              <w:pStyle w:val="76"/>
              <w:spacing w:line="240" w:lineRule="auto"/>
              <w:rPr>
                <w:rFonts w:ascii="Calibri" w:hAnsi="Calibri" w:cs="Calibri"/>
                <w:color w:val="auto"/>
                <w:highlight w:val="none"/>
              </w:rPr>
            </w:pPr>
            <w:r>
              <w:rPr>
                <w:rFonts w:ascii="Calibri" w:hAnsi="Calibri" w:cs="Calibri"/>
                <w:color w:val="auto"/>
                <w:highlight w:val="none"/>
              </w:rPr>
              <w:t>招标代理服务费</w:t>
            </w:r>
            <w:r>
              <w:rPr>
                <w:rFonts w:hint="eastAsia" w:ascii="Calibri" w:hAnsi="Calibri" w:cs="Calibri"/>
                <w:color w:val="auto"/>
                <w:highlight w:val="none"/>
              </w:rPr>
              <w:t>：</w:t>
            </w:r>
            <w:r>
              <w:rPr>
                <w:rFonts w:ascii="Calibri" w:hAnsi="Calibri" w:cs="Calibri"/>
                <w:color w:val="auto"/>
                <w:highlight w:val="none"/>
                <w:u w:val="single"/>
              </w:rPr>
              <w:t xml:space="preserve">            </w:t>
            </w:r>
          </w:p>
          <w:p w14:paraId="4745F5A1">
            <w:pPr>
              <w:pStyle w:val="76"/>
              <w:spacing w:line="240" w:lineRule="auto"/>
              <w:rPr>
                <w:rFonts w:ascii="Calibri" w:hAnsi="Calibri" w:cs="Calibri"/>
                <w:color w:val="auto"/>
                <w:highlight w:val="none"/>
              </w:rPr>
            </w:pPr>
            <w:r>
              <w:rPr>
                <w:rFonts w:hint="eastAsia" w:ascii="Calibri" w:hAnsi="Calibri" w:cs="Calibri"/>
                <w:color w:val="auto"/>
                <w:highlight w:val="none"/>
              </w:rPr>
              <w:t>交易服务费：</w:t>
            </w:r>
            <w:r>
              <w:rPr>
                <w:rFonts w:ascii="Calibri" w:hAnsi="Calibri" w:cs="Calibri"/>
                <w:color w:val="auto"/>
                <w:highlight w:val="none"/>
                <w:u w:val="single"/>
              </w:rPr>
              <w:t xml:space="preserve">            </w:t>
            </w:r>
          </w:p>
        </w:tc>
      </w:tr>
      <w:tr w14:paraId="3989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26" w:type="dxa"/>
            <w:vAlign w:val="center"/>
          </w:tcPr>
          <w:p w14:paraId="34120799">
            <w:pPr>
              <w:snapToGrid w:val="0"/>
              <w:spacing w:line="240" w:lineRule="auto"/>
              <w:rPr>
                <w:rFonts w:ascii="Calibri" w:hAnsi="Calibri" w:cs="Calibri"/>
                <w:color w:val="auto"/>
                <w:szCs w:val="21"/>
                <w:highlight w:val="none"/>
              </w:rPr>
            </w:pPr>
            <w:r>
              <w:rPr>
                <w:rFonts w:hint="eastAsia" w:ascii="Calibri" w:hAnsi="Calibri" w:cs="Calibri"/>
                <w:color w:val="auto"/>
                <w:szCs w:val="21"/>
                <w:highlight w:val="none"/>
              </w:rPr>
              <w:t>10.19.5</w:t>
            </w:r>
          </w:p>
        </w:tc>
        <w:tc>
          <w:tcPr>
            <w:tcW w:w="8472" w:type="dxa"/>
            <w:gridSpan w:val="4"/>
            <w:vAlign w:val="center"/>
          </w:tcPr>
          <w:p w14:paraId="76F97BB4">
            <w:pPr>
              <w:pStyle w:val="76"/>
              <w:spacing w:line="240" w:lineRule="auto"/>
              <w:rPr>
                <w:rFonts w:ascii="Calibri" w:hAnsi="Calibri" w:cs="Calibri"/>
                <w:color w:val="auto"/>
                <w:highlight w:val="none"/>
              </w:rPr>
            </w:pPr>
            <w:r>
              <w:rPr>
                <w:rFonts w:hint="eastAsia" w:ascii="Calibri" w:hAnsi="Calibri" w:cs="Calibri"/>
                <w:color w:val="auto"/>
                <w:highlight w:val="none"/>
              </w:rPr>
              <w:t>党建工作要求：</w:t>
            </w:r>
          </w:p>
          <w:p w14:paraId="0BA86CE2">
            <w:pPr>
              <w:pStyle w:val="76"/>
              <w:spacing w:line="240" w:lineRule="auto"/>
              <w:rPr>
                <w:rFonts w:ascii="Calibri" w:hAnsi="Calibri" w:cs="Calibri"/>
                <w:color w:val="auto"/>
                <w:highlight w:val="none"/>
              </w:rPr>
            </w:pPr>
            <w:r>
              <w:rPr>
                <w:rFonts w:hint="eastAsia" w:ascii="Calibri" w:hAnsi="Calibri" w:cs="Calibri"/>
                <w:color w:val="auto"/>
                <w:highlight w:val="none"/>
              </w:rPr>
              <w:t>（1）投标人须在投标文件中提供《廉政建设和作风建设承诺书》；</w:t>
            </w:r>
          </w:p>
          <w:p w14:paraId="61ED7715">
            <w:pPr>
              <w:pStyle w:val="76"/>
              <w:spacing w:line="240" w:lineRule="auto"/>
              <w:rPr>
                <w:rFonts w:ascii="Calibri" w:hAnsi="Calibri" w:cs="Calibri"/>
                <w:color w:val="auto"/>
                <w:highlight w:val="none"/>
              </w:rPr>
            </w:pPr>
            <w:r>
              <w:rPr>
                <w:rFonts w:hint="eastAsia" w:ascii="Calibri" w:hAnsi="Calibri" w:cs="Calibri"/>
                <w:color w:val="auto"/>
                <w:highlight w:val="none"/>
              </w:rPr>
              <w:t>（2）</w:t>
            </w:r>
            <w:r>
              <w:rPr>
                <w:rFonts w:hint="eastAsia" w:ascii="Calibri" w:hAnsi="Calibri" w:cs="Calibri"/>
                <w:color w:val="auto"/>
                <w:highlight w:val="none"/>
              </w:rPr>
              <w:sym w:font="Wingdings 2" w:char="00A3"/>
            </w:r>
            <w:r>
              <w:rPr>
                <w:rFonts w:hint="eastAsia" w:ascii="Calibri" w:hAnsi="Calibri" w:cs="Calibri"/>
                <w:color w:val="auto"/>
                <w:highlight w:val="none"/>
              </w:rPr>
              <w:t>投标人须在投标文件中提供《关于党建工作的预案》或《关于支持开展党建工作的承诺书》（适用于招标工期≥</w:t>
            </w:r>
            <w:r>
              <w:rPr>
                <w:rFonts w:ascii="Calibri" w:hAnsi="Calibri" w:cs="Calibri"/>
                <w:color w:val="auto"/>
                <w:highlight w:val="none"/>
              </w:rPr>
              <w:t>6</w:t>
            </w:r>
            <w:r>
              <w:rPr>
                <w:rFonts w:hint="eastAsia" w:ascii="Calibri" w:hAnsi="Calibri" w:cs="Calibri"/>
                <w:color w:val="auto"/>
                <w:highlight w:val="none"/>
              </w:rPr>
              <w:t>个月的项目）。</w:t>
            </w:r>
          </w:p>
        </w:tc>
      </w:tr>
      <w:tr w14:paraId="3120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926" w:type="dxa"/>
            <w:vMerge w:val="restart"/>
            <w:vAlign w:val="center"/>
          </w:tcPr>
          <w:p w14:paraId="4156335C">
            <w:pPr>
              <w:snapToGrid w:val="0"/>
              <w:spacing w:line="240" w:lineRule="auto"/>
              <w:rPr>
                <w:rFonts w:ascii="Calibri" w:hAnsi="Calibri" w:cs="Calibri"/>
                <w:color w:val="auto"/>
                <w:szCs w:val="21"/>
                <w:highlight w:val="none"/>
              </w:rPr>
            </w:pPr>
            <w:r>
              <w:rPr>
                <w:rFonts w:hint="eastAsia" w:ascii="Calibri" w:hAnsi="Calibri" w:cs="Calibri"/>
                <w:color w:val="auto"/>
                <w:szCs w:val="21"/>
                <w:highlight w:val="none"/>
              </w:rPr>
              <w:t>10.19.6</w:t>
            </w:r>
          </w:p>
        </w:tc>
        <w:tc>
          <w:tcPr>
            <w:tcW w:w="960" w:type="dxa"/>
            <w:vMerge w:val="restart"/>
            <w:vAlign w:val="center"/>
          </w:tcPr>
          <w:p w14:paraId="314C0921">
            <w:pPr>
              <w:spacing w:line="240" w:lineRule="auto"/>
              <w:rPr>
                <w:rFonts w:ascii="Calibri" w:hAnsi="Calibri" w:cs="Calibri"/>
                <w:bCs/>
                <w:color w:val="auto"/>
                <w:szCs w:val="21"/>
                <w:highlight w:val="none"/>
              </w:rPr>
            </w:pPr>
            <w:r>
              <w:rPr>
                <w:rFonts w:hint="eastAsia" w:ascii="Calibri" w:hAnsi="Calibri" w:cs="Calibri"/>
                <w:bCs/>
                <w:color w:val="auto"/>
                <w:szCs w:val="21"/>
                <w:highlight w:val="none"/>
              </w:rPr>
              <w:t>投标报价澄清或说明（</w:t>
            </w:r>
            <w:bookmarkStart w:id="133" w:name="_Hlk210057967"/>
            <w:r>
              <w:rPr>
                <w:rFonts w:hint="eastAsia" w:ascii="Calibri" w:hAnsi="Calibri" w:cs="Calibri"/>
                <w:bCs/>
                <w:color w:val="auto"/>
                <w:szCs w:val="21"/>
                <w:highlight w:val="none"/>
              </w:rPr>
              <w:t>适用于采用“24清单标准”的项目</w:t>
            </w:r>
            <w:bookmarkEnd w:id="133"/>
            <w:r>
              <w:rPr>
                <w:rFonts w:hint="eastAsia" w:ascii="Calibri" w:hAnsi="Calibri" w:cs="Calibri"/>
                <w:bCs/>
                <w:color w:val="auto"/>
                <w:szCs w:val="21"/>
                <w:highlight w:val="none"/>
              </w:rPr>
              <w:t>）</w:t>
            </w:r>
          </w:p>
        </w:tc>
        <w:tc>
          <w:tcPr>
            <w:tcW w:w="1050" w:type="dxa"/>
            <w:gridSpan w:val="2"/>
            <w:vAlign w:val="center"/>
          </w:tcPr>
          <w:p w14:paraId="218043A5">
            <w:pPr>
              <w:spacing w:line="240" w:lineRule="auto"/>
              <w:ind w:firstLine="210" w:firstLineChars="100"/>
              <w:rPr>
                <w:rFonts w:ascii="Calibri" w:hAnsi="Calibri" w:cs="Calibri"/>
                <w:bCs/>
                <w:color w:val="auto"/>
                <w:szCs w:val="21"/>
                <w:highlight w:val="none"/>
              </w:rPr>
            </w:pPr>
            <w:r>
              <w:rPr>
                <w:rFonts w:hint="eastAsia" w:ascii="Calibri" w:hAnsi="Calibri" w:cs="Calibri"/>
                <w:bCs/>
                <w:color w:val="auto"/>
                <w:szCs w:val="21"/>
                <w:highlight w:val="none"/>
              </w:rPr>
              <w:t>时间</w:t>
            </w:r>
          </w:p>
        </w:tc>
        <w:tc>
          <w:tcPr>
            <w:tcW w:w="6462" w:type="dxa"/>
            <w:vAlign w:val="center"/>
          </w:tcPr>
          <w:p w14:paraId="55CDDACF">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□评标阶段，</w:t>
            </w:r>
            <w:bookmarkStart w:id="134" w:name="_Hlk210058010"/>
            <w:r>
              <w:rPr>
                <w:rFonts w:hint="eastAsia" w:ascii="Calibri" w:hAnsi="Calibri" w:cs="Calibri"/>
                <w:bCs/>
                <w:color w:val="auto"/>
                <w:szCs w:val="21"/>
                <w:highlight w:val="none"/>
              </w:rPr>
              <w:t>交易系统检查投标人投标报价是否有算术误差、细微偏差、报价合理性、报价完整性(漏报或未报)问题，并按下列规定由评标委员会启动投标报价澄清或说明</w:t>
            </w:r>
          </w:p>
          <w:bookmarkEnd w:id="134"/>
          <w:p w14:paraId="1CDCB7E1">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□定标阶段，招标人启动投标报价澄清或说明（适用于采用评定分离法确定中标人的项目）</w:t>
            </w:r>
          </w:p>
        </w:tc>
      </w:tr>
      <w:tr w14:paraId="3C81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26" w:type="dxa"/>
            <w:vMerge w:val="continue"/>
            <w:vAlign w:val="center"/>
          </w:tcPr>
          <w:p w14:paraId="21815A03">
            <w:pPr>
              <w:snapToGrid w:val="0"/>
              <w:spacing w:line="240" w:lineRule="auto"/>
              <w:rPr>
                <w:rFonts w:ascii="Calibri" w:hAnsi="Calibri" w:cs="Calibri"/>
                <w:color w:val="auto"/>
                <w:szCs w:val="21"/>
                <w:highlight w:val="none"/>
              </w:rPr>
            </w:pPr>
          </w:p>
        </w:tc>
        <w:tc>
          <w:tcPr>
            <w:tcW w:w="960" w:type="dxa"/>
            <w:vMerge w:val="continue"/>
            <w:vAlign w:val="center"/>
          </w:tcPr>
          <w:p w14:paraId="4BC33ECF">
            <w:pPr>
              <w:spacing w:line="240" w:lineRule="auto"/>
              <w:ind w:firstLine="420" w:firstLineChars="200"/>
              <w:rPr>
                <w:rFonts w:ascii="Calibri" w:hAnsi="Calibri" w:cs="Calibri"/>
                <w:bCs/>
                <w:color w:val="auto"/>
                <w:szCs w:val="21"/>
                <w:highlight w:val="none"/>
              </w:rPr>
            </w:pPr>
          </w:p>
        </w:tc>
        <w:tc>
          <w:tcPr>
            <w:tcW w:w="1050" w:type="dxa"/>
            <w:gridSpan w:val="2"/>
            <w:vAlign w:val="center"/>
          </w:tcPr>
          <w:p w14:paraId="75506632">
            <w:pPr>
              <w:spacing w:line="240" w:lineRule="auto"/>
              <w:ind w:firstLine="210" w:firstLineChars="100"/>
              <w:rPr>
                <w:rFonts w:ascii="Calibri" w:hAnsi="Calibri" w:cs="Calibri"/>
                <w:bCs/>
                <w:color w:val="auto"/>
                <w:szCs w:val="21"/>
                <w:highlight w:val="none"/>
              </w:rPr>
            </w:pPr>
            <w:r>
              <w:rPr>
                <w:rFonts w:hint="eastAsia" w:ascii="Calibri" w:hAnsi="Calibri" w:cs="Calibri"/>
                <w:bCs/>
                <w:color w:val="auto"/>
                <w:szCs w:val="21"/>
                <w:highlight w:val="none"/>
              </w:rPr>
              <w:t>规定</w:t>
            </w:r>
          </w:p>
        </w:tc>
        <w:tc>
          <w:tcPr>
            <w:tcW w:w="6462" w:type="dxa"/>
            <w:vAlign w:val="center"/>
          </w:tcPr>
          <w:p w14:paraId="3805B0CD">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1、对响应招标文件实质性要求的投标文件，可就投标文件中的算术误差、细微偏差、报价合理性、报价完整性(漏报或未报)等要求投标人澄清或说明，但要求投标人澄清或说明的文件以及投标人的澄清或说明文件不可变更招标文件规定的工程范围、工期要求及合同条件，也不可对投标总价和投标工期进行修改。</w:t>
            </w:r>
          </w:p>
          <w:p w14:paraId="217D8298">
            <w:pPr>
              <w:spacing w:line="240" w:lineRule="auto"/>
              <w:ind w:firstLine="420" w:firstLineChars="200"/>
              <w:rPr>
                <w:rFonts w:ascii="Calibri" w:hAnsi="Calibri" w:cs="Calibri"/>
                <w:bCs/>
                <w:color w:val="auto"/>
                <w:szCs w:val="21"/>
                <w:highlight w:val="none"/>
              </w:rPr>
            </w:pPr>
            <w:bookmarkStart w:id="135" w:name="_Hlk210058413"/>
            <w:r>
              <w:rPr>
                <w:rFonts w:hint="eastAsia" w:ascii="Calibri" w:hAnsi="Calibri" w:cs="Calibri"/>
                <w:bCs/>
                <w:color w:val="auto"/>
                <w:szCs w:val="21"/>
                <w:highlight w:val="none"/>
              </w:rPr>
              <w:t>2、投标人的投标文件存在算术误差及细微偏差的，按下列规定修正，但投标总价不得做任何调整，修正报价汇总后的总价应与投标总价扉页内填报的投标总价一致：</w:t>
            </w:r>
          </w:p>
          <w:bookmarkEnd w:id="135"/>
          <w:p w14:paraId="721FC16C">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(1)投标总价扉页内填报的投标总价大写金额与小写金额不一致的，应以大写金额为准，修正相应小写金额。</w:t>
            </w:r>
          </w:p>
          <w:p w14:paraId="41582A25">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(2)投标人所报的投标总价与已标价工程量清单项目填报的价格累计总额不一致的，应以投标总价为准，修正工程量清单项目报价累计总额。</w:t>
            </w:r>
          </w:p>
          <w:p w14:paraId="251CB9EC">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(3)投标人所报的已标价工程量清单项目的合价与其清单项目数量乘以综合单价计算结果不一致的，应以清单项目综合单价为准，修正合价。但如相应清单项目的合价除以其工程数量得到的综合单价与已标价工程量清单内相同清单项目的综合单价相符，或清单项目的综合单价小数点有明显错误或明显不合理的，应以清单项目合价为准，修正其综合单价。</w:t>
            </w:r>
          </w:p>
          <w:p w14:paraId="0E00F0A0">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(4)投标人所报的单价计价的已标价工程量清单项目综合单价与其综合单价分析表中的综合单价不一致，或总价计价清单项目价格与其构成明细分析表中的清单项目价格不一致的，应以已标价工程量清单的清单项目综合单价和(或)清单项目价格为准，修正其分析表的报价。</w:t>
            </w:r>
          </w:p>
          <w:p w14:paraId="0E8FE1D6">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(5)增值税应依据修正后的分部分项工程项目清单、措施项目清单、其他项目清单(专业工程暂估价除外)的算术总价乘以税率修正其报价。</w:t>
            </w:r>
          </w:p>
          <w:p w14:paraId="6D0DED83">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(6)按本条第(2)款～第(6)款规定完成修正的算术正确投标总价与投标总价扉页内的投标总价存在误差的，应按总误差金额占分部分项工程项目清单报价总额(不含材料暂估价项目)的比率分摊到各分部分项工程清单项目的综合单价及其合价上，但分摊后综合单价内所含的材料暂估价仍应按招标工程量清单提供的材料暂估价计算。</w:t>
            </w:r>
          </w:p>
          <w:p w14:paraId="1F776950">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3、投标报价存在下列报价合理性疑问的，可要求投标人作出相应的澄清或说明：</w:t>
            </w:r>
          </w:p>
          <w:p w14:paraId="7414BBDD">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(1)材料暂估价清单项目的综合单价与类似工程量清单项目综合单价相比，非合理性偏低或偏高；</w:t>
            </w:r>
          </w:p>
          <w:p w14:paraId="0B9D71F6">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(2)承包人负责安装的由发包人提供材料的清单项目综合单价非合理性偏高或偏低；</w:t>
            </w:r>
          </w:p>
          <w:p w14:paraId="38750B71">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(3)分部分项工程清单项目的综合单价与同类工程的同期市场竞争合理价格相比非合理性偏低或偏高，可要求投标人提供证明其所报综合单价不低于成本价或报价合理的支持资料。并可要求投标人在不改变投标总价的前提下，提供用于已标价工程量清单所列清单项目数量增减的计价和工程变更计价的合理修正综合单价。</w:t>
            </w:r>
          </w:p>
          <w:p w14:paraId="1EA3EA7C">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4、投标人存在下列未按要求完整(漏报或未报)填写投标报价的，可要求投标人澄清或说明：</w:t>
            </w:r>
          </w:p>
          <w:p w14:paraId="62CCC683">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(1)未按要求填报总价合同中分部分项工程清单项目综合单价及合价的，其费用可视为已包含在其他的清单项目综合单价、合价及投标总价中，工程结算时不做重新计价及调整；</w:t>
            </w:r>
          </w:p>
          <w:p w14:paraId="53AFCB44">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(2)未按要求填报措施清单项目的价格、按项计价的分部分项工程清单项目的价格，其费用可视为已包含在其他的清单项目综合单价、合价及投标总价中，工程结算时不做重新计价及调整；</w:t>
            </w:r>
          </w:p>
          <w:p w14:paraId="0E9A17C4">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(3)未按要求填报单价合同中分部分项工程清单项目的综合单价及合价的，可要求投标人澄清或说明未填报清单项目的综合单价及合价，并确认由此增加的清单项目合价从措施项目清单的报价总额中扣减，且扣减的措施项目费用视为不影响投标人按合同要求履行措施项自责任及其费用包干的约定，如措施项目清单的报价总额不足以扣除，不足部分可按比例分摊到各分部分项工程量清单项目的综合单价和合价中。</w:t>
            </w:r>
          </w:p>
          <w:p w14:paraId="58B2F40A">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5、如响应要求澄清或说明的文件，提交回复文件的投标人中标，则中标人接收的要求澄清或说明的文件和回复文件构成合同文件的组成部分，其已标价工程量清单的综合单价及其修正综合单价可作为合同单价。</w:t>
            </w:r>
          </w:p>
          <w:p w14:paraId="4C734B87">
            <w:pPr>
              <w:spacing w:line="240" w:lineRule="auto"/>
              <w:ind w:firstLine="420" w:firstLineChars="200"/>
              <w:rPr>
                <w:rFonts w:ascii="Calibri" w:hAnsi="Calibri" w:cs="Calibri"/>
                <w:bCs/>
                <w:color w:val="auto"/>
                <w:szCs w:val="21"/>
                <w:highlight w:val="none"/>
              </w:rPr>
            </w:pPr>
            <w:r>
              <w:rPr>
                <w:rFonts w:hint="eastAsia" w:ascii="Calibri" w:hAnsi="Calibri" w:cs="Calibri"/>
                <w:bCs/>
                <w:color w:val="auto"/>
                <w:szCs w:val="21"/>
                <w:highlight w:val="none"/>
              </w:rPr>
              <w:t>6、完成投标报价澄清或说明后，评标委员会（或招标人）应出具投标报价澄清或说明报告，并载明澄清或说明工作程序、存在的主要问题、要求澄清或说明的问题、相应回复意见的简述等内容。</w:t>
            </w:r>
          </w:p>
        </w:tc>
      </w:tr>
      <w:tr w14:paraId="7049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926" w:type="dxa"/>
            <w:vAlign w:val="center"/>
          </w:tcPr>
          <w:p w14:paraId="79406CCA">
            <w:pPr>
              <w:snapToGrid w:val="0"/>
              <w:jc w:val="center"/>
              <w:rPr>
                <w:rFonts w:ascii="Calibri" w:hAnsi="Calibri" w:cs="Calibri"/>
                <w:color w:val="auto"/>
                <w:szCs w:val="21"/>
                <w:highlight w:val="none"/>
              </w:rPr>
            </w:pPr>
            <w:r>
              <w:rPr>
                <w:rFonts w:ascii="Calibri" w:hAnsi="Calibri" w:cs="Calibri"/>
                <w:color w:val="auto"/>
                <w:szCs w:val="21"/>
                <w:highlight w:val="none"/>
              </w:rPr>
              <w:t>……</w:t>
            </w:r>
          </w:p>
        </w:tc>
        <w:tc>
          <w:tcPr>
            <w:tcW w:w="8472" w:type="dxa"/>
            <w:gridSpan w:val="4"/>
            <w:vAlign w:val="center"/>
          </w:tcPr>
          <w:p w14:paraId="0CC414DD">
            <w:pPr>
              <w:pStyle w:val="76"/>
              <w:rPr>
                <w:rFonts w:ascii="Calibri" w:hAnsi="Calibri" w:cs="Calibri"/>
                <w:color w:val="auto"/>
                <w:highlight w:val="none"/>
              </w:rPr>
            </w:pPr>
            <w:r>
              <w:rPr>
                <w:rFonts w:ascii="Calibri" w:hAnsi="Calibri" w:cs="Calibri"/>
                <w:color w:val="auto"/>
                <w:highlight w:val="none"/>
              </w:rPr>
              <w:t>……</w:t>
            </w:r>
          </w:p>
        </w:tc>
      </w:tr>
    </w:tbl>
    <w:p w14:paraId="78A28C58">
      <w:pPr>
        <w:snapToGrid w:val="0"/>
        <w:jc w:val="center"/>
        <w:rPr>
          <w:rFonts w:eastAsia="黑体"/>
          <w:color w:val="auto"/>
          <w:sz w:val="28"/>
          <w:szCs w:val="28"/>
          <w:highlight w:val="none"/>
        </w:rPr>
      </w:pPr>
      <w:bookmarkStart w:id="136" w:name="_Toc300677998"/>
    </w:p>
    <w:p w14:paraId="412DC1F8">
      <w:pPr>
        <w:snapToGrid w:val="0"/>
        <w:jc w:val="center"/>
        <w:rPr>
          <w:rFonts w:eastAsia="黑体"/>
          <w:color w:val="auto"/>
          <w:sz w:val="28"/>
          <w:szCs w:val="28"/>
          <w:highlight w:val="none"/>
        </w:rPr>
      </w:pPr>
    </w:p>
    <w:p w14:paraId="66BF1902">
      <w:pPr>
        <w:snapToGrid w:val="0"/>
        <w:jc w:val="center"/>
        <w:rPr>
          <w:rFonts w:eastAsia="黑体"/>
          <w:color w:val="auto"/>
          <w:sz w:val="28"/>
          <w:szCs w:val="28"/>
          <w:highlight w:val="none"/>
        </w:rPr>
      </w:pPr>
    </w:p>
    <w:p w14:paraId="0821CA7E">
      <w:pPr>
        <w:snapToGrid w:val="0"/>
        <w:jc w:val="center"/>
        <w:rPr>
          <w:rFonts w:eastAsia="黑体"/>
          <w:color w:val="auto"/>
          <w:sz w:val="28"/>
          <w:szCs w:val="28"/>
          <w:highlight w:val="none"/>
        </w:rPr>
      </w:pPr>
    </w:p>
    <w:p w14:paraId="7D6FD607">
      <w:pPr>
        <w:snapToGrid w:val="0"/>
        <w:jc w:val="center"/>
        <w:rPr>
          <w:rFonts w:eastAsia="黑体"/>
          <w:color w:val="auto"/>
          <w:sz w:val="28"/>
          <w:szCs w:val="28"/>
          <w:highlight w:val="none"/>
        </w:rPr>
      </w:pPr>
    </w:p>
    <w:p w14:paraId="2792C7F8">
      <w:pPr>
        <w:snapToGrid w:val="0"/>
        <w:jc w:val="center"/>
        <w:rPr>
          <w:rFonts w:eastAsia="黑体"/>
          <w:color w:val="auto"/>
          <w:sz w:val="28"/>
          <w:szCs w:val="28"/>
          <w:highlight w:val="none"/>
        </w:rPr>
      </w:pPr>
    </w:p>
    <w:p w14:paraId="36D54265">
      <w:pPr>
        <w:snapToGrid w:val="0"/>
        <w:jc w:val="center"/>
        <w:rPr>
          <w:rFonts w:eastAsia="黑体"/>
          <w:color w:val="auto"/>
          <w:sz w:val="28"/>
          <w:szCs w:val="28"/>
          <w:highlight w:val="none"/>
        </w:rPr>
      </w:pPr>
    </w:p>
    <w:p w14:paraId="5C58C730">
      <w:pPr>
        <w:snapToGrid w:val="0"/>
        <w:rPr>
          <w:rFonts w:eastAsia="黑体"/>
          <w:color w:val="auto"/>
          <w:sz w:val="28"/>
          <w:szCs w:val="28"/>
          <w:highlight w:val="none"/>
        </w:rPr>
      </w:pPr>
    </w:p>
    <w:p w14:paraId="51FEF4ED">
      <w:pPr>
        <w:snapToGrid w:val="0"/>
        <w:jc w:val="center"/>
        <w:rPr>
          <w:rFonts w:eastAsia="黑体"/>
          <w:color w:val="auto"/>
          <w:sz w:val="28"/>
          <w:szCs w:val="28"/>
          <w:highlight w:val="none"/>
        </w:rPr>
      </w:pPr>
      <w:r>
        <w:rPr>
          <w:rFonts w:eastAsia="黑体"/>
          <w:color w:val="auto"/>
          <w:sz w:val="28"/>
          <w:szCs w:val="28"/>
          <w:highlight w:val="none"/>
        </w:rPr>
        <w:t>投标人须知</w:t>
      </w:r>
      <w:bookmarkEnd w:id="136"/>
    </w:p>
    <w:p w14:paraId="2B87F1E6">
      <w:pPr>
        <w:pStyle w:val="76"/>
        <w:rPr>
          <w:rFonts w:eastAsia="黑体"/>
          <w:color w:val="auto"/>
          <w:highlight w:val="none"/>
        </w:rPr>
      </w:pPr>
    </w:p>
    <w:p w14:paraId="225AA2F4">
      <w:pPr>
        <w:pStyle w:val="3"/>
        <w:spacing w:before="0" w:after="0" w:line="360" w:lineRule="auto"/>
        <w:rPr>
          <w:rFonts w:ascii="Times New Roman" w:hAnsi="Times New Roman" w:eastAsia="黑体"/>
          <w:b w:val="0"/>
          <w:bCs w:val="0"/>
          <w:color w:val="auto"/>
          <w:sz w:val="30"/>
          <w:highlight w:val="none"/>
        </w:rPr>
      </w:pPr>
      <w:bookmarkStart w:id="137" w:name="_Toc211498595"/>
      <w:bookmarkStart w:id="138" w:name="_Toc9178518"/>
      <w:bookmarkStart w:id="139" w:name="_Toc80006089"/>
      <w:bookmarkStart w:id="140" w:name="_Toc300677999"/>
      <w:r>
        <w:rPr>
          <w:rFonts w:ascii="Times New Roman" w:hAnsi="Times New Roman" w:eastAsia="黑体"/>
          <w:b w:val="0"/>
          <w:bCs w:val="0"/>
          <w:color w:val="auto"/>
          <w:sz w:val="30"/>
          <w:highlight w:val="none"/>
        </w:rPr>
        <w:t>1.总则</w:t>
      </w:r>
      <w:bookmarkEnd w:id="137"/>
      <w:bookmarkEnd w:id="138"/>
      <w:bookmarkEnd w:id="139"/>
      <w:bookmarkEnd w:id="140"/>
    </w:p>
    <w:p w14:paraId="71CBDDA7">
      <w:pPr>
        <w:pStyle w:val="5"/>
        <w:rPr>
          <w:rFonts w:ascii="Times New Roman" w:hAnsi="Times New Roman" w:eastAsia="黑体"/>
          <w:b w:val="0"/>
          <w:bCs w:val="0"/>
          <w:color w:val="auto"/>
          <w:sz w:val="24"/>
          <w:highlight w:val="none"/>
        </w:rPr>
      </w:pPr>
      <w:bookmarkStart w:id="141" w:name="_Toc300678000"/>
      <w:r>
        <w:rPr>
          <w:rFonts w:ascii="Times New Roman" w:hAnsi="Times New Roman" w:eastAsia="黑体"/>
          <w:b w:val="0"/>
          <w:bCs w:val="0"/>
          <w:color w:val="auto"/>
          <w:sz w:val="24"/>
          <w:highlight w:val="none"/>
        </w:rPr>
        <w:t>1.1 项目概况</w:t>
      </w:r>
      <w:bookmarkEnd w:id="141"/>
    </w:p>
    <w:p w14:paraId="133BD0CA">
      <w:pPr>
        <w:pStyle w:val="76"/>
        <w:spacing w:line="360" w:lineRule="auto"/>
        <w:ind w:firstLine="420" w:firstLineChars="200"/>
        <w:rPr>
          <w:color w:val="auto"/>
          <w:highlight w:val="none"/>
        </w:rPr>
      </w:pPr>
      <w:r>
        <w:rPr>
          <w:color w:val="auto"/>
          <w:highlight w:val="none"/>
        </w:rPr>
        <w:t>1.1.1  根据《 中华人民共和国招标投标法》、</w:t>
      </w:r>
      <w:r>
        <w:rPr>
          <w:color w:val="auto"/>
          <w:sz w:val="22"/>
          <w:szCs w:val="22"/>
          <w:highlight w:val="none"/>
        </w:rPr>
        <w:t>《中华人民共和国招标投标法实施条例》</w:t>
      </w:r>
      <w:r>
        <w:rPr>
          <w:color w:val="auto"/>
          <w:highlight w:val="none"/>
        </w:rPr>
        <w:t xml:space="preserve"> 等有关法律、法规和规章的规定，本招标项目已具备招标条件，现对施工进行招标。</w:t>
      </w:r>
    </w:p>
    <w:p w14:paraId="062FB8C6">
      <w:pPr>
        <w:pStyle w:val="76"/>
        <w:spacing w:line="360" w:lineRule="auto"/>
        <w:ind w:firstLine="420" w:firstLineChars="200"/>
        <w:rPr>
          <w:color w:val="auto"/>
          <w:highlight w:val="none"/>
        </w:rPr>
      </w:pPr>
      <w:r>
        <w:rPr>
          <w:color w:val="auto"/>
          <w:highlight w:val="none"/>
        </w:rPr>
        <w:t>1.1.2  招标人：见投标人须知前附表。</w:t>
      </w:r>
    </w:p>
    <w:p w14:paraId="0AA23263">
      <w:pPr>
        <w:pStyle w:val="76"/>
        <w:spacing w:line="360" w:lineRule="auto"/>
        <w:ind w:firstLine="420" w:firstLineChars="200"/>
        <w:rPr>
          <w:color w:val="auto"/>
          <w:highlight w:val="none"/>
        </w:rPr>
      </w:pPr>
      <w:r>
        <w:rPr>
          <w:color w:val="auto"/>
          <w:highlight w:val="none"/>
        </w:rPr>
        <w:t>1.1.3  招标代理机构：见投标人须知前附表。</w:t>
      </w:r>
    </w:p>
    <w:p w14:paraId="6D7421A9">
      <w:pPr>
        <w:pStyle w:val="76"/>
        <w:spacing w:line="360" w:lineRule="auto"/>
        <w:ind w:firstLine="420" w:firstLineChars="200"/>
        <w:rPr>
          <w:color w:val="auto"/>
          <w:highlight w:val="none"/>
        </w:rPr>
      </w:pPr>
      <w:r>
        <w:rPr>
          <w:color w:val="auto"/>
          <w:highlight w:val="none"/>
        </w:rPr>
        <w:t xml:space="preserve">1.1.4  </w:t>
      </w:r>
      <w:r>
        <w:rPr>
          <w:rFonts w:hint="eastAsia"/>
          <w:color w:val="auto"/>
          <w:highlight w:val="none"/>
        </w:rPr>
        <w:t>招标</w:t>
      </w:r>
      <w:r>
        <w:rPr>
          <w:color w:val="auto"/>
          <w:highlight w:val="none"/>
        </w:rPr>
        <w:t>项目名称：见投标人须知前附表。</w:t>
      </w:r>
    </w:p>
    <w:p w14:paraId="4715C409">
      <w:pPr>
        <w:pStyle w:val="76"/>
        <w:spacing w:line="360" w:lineRule="auto"/>
        <w:ind w:firstLine="420" w:firstLineChars="200"/>
        <w:rPr>
          <w:color w:val="auto"/>
          <w:highlight w:val="none"/>
        </w:rPr>
      </w:pPr>
      <w:r>
        <w:rPr>
          <w:color w:val="auto"/>
          <w:highlight w:val="none"/>
        </w:rPr>
        <w:t>1.1.5  建设地点：见投标人须知前附表。</w:t>
      </w:r>
    </w:p>
    <w:p w14:paraId="3842A046">
      <w:pPr>
        <w:pStyle w:val="5"/>
        <w:rPr>
          <w:rFonts w:ascii="Times New Roman" w:hAnsi="Times New Roman" w:eastAsia="黑体"/>
          <w:b w:val="0"/>
          <w:bCs w:val="0"/>
          <w:color w:val="auto"/>
          <w:sz w:val="24"/>
          <w:highlight w:val="none"/>
        </w:rPr>
      </w:pPr>
      <w:bookmarkStart w:id="142" w:name="_Toc300678001"/>
      <w:r>
        <w:rPr>
          <w:rFonts w:ascii="Times New Roman" w:hAnsi="Times New Roman" w:eastAsia="黑体"/>
          <w:b w:val="0"/>
          <w:bCs w:val="0"/>
          <w:color w:val="auto"/>
          <w:sz w:val="24"/>
          <w:highlight w:val="none"/>
        </w:rPr>
        <w:t>1.2 资金来源和落实情况</w:t>
      </w:r>
      <w:bookmarkEnd w:id="142"/>
    </w:p>
    <w:p w14:paraId="29B5B608">
      <w:pPr>
        <w:pStyle w:val="76"/>
        <w:spacing w:line="360" w:lineRule="auto"/>
        <w:ind w:firstLine="420" w:firstLineChars="200"/>
        <w:rPr>
          <w:color w:val="auto"/>
          <w:highlight w:val="none"/>
        </w:rPr>
      </w:pPr>
      <w:r>
        <w:rPr>
          <w:color w:val="auto"/>
          <w:highlight w:val="none"/>
        </w:rPr>
        <w:t>详见招标公告或投标邀请书 。</w:t>
      </w:r>
    </w:p>
    <w:p w14:paraId="2609B1B9">
      <w:pPr>
        <w:pStyle w:val="5"/>
        <w:rPr>
          <w:rFonts w:ascii="Times New Roman" w:hAnsi="Times New Roman" w:eastAsia="黑体"/>
          <w:b w:val="0"/>
          <w:bCs w:val="0"/>
          <w:color w:val="auto"/>
          <w:sz w:val="24"/>
          <w:highlight w:val="none"/>
        </w:rPr>
      </w:pPr>
      <w:bookmarkStart w:id="143" w:name="_Toc300678002"/>
      <w:r>
        <w:rPr>
          <w:rFonts w:ascii="Times New Roman" w:hAnsi="Times New Roman" w:eastAsia="黑体"/>
          <w:b w:val="0"/>
          <w:bCs w:val="0"/>
          <w:color w:val="auto"/>
          <w:sz w:val="24"/>
          <w:highlight w:val="none"/>
        </w:rPr>
        <w:t>1.3 招标范围、计划工期和质量要求</w:t>
      </w:r>
      <w:bookmarkEnd w:id="143"/>
    </w:p>
    <w:p w14:paraId="5D56F812">
      <w:pPr>
        <w:pStyle w:val="76"/>
        <w:spacing w:line="360" w:lineRule="auto"/>
        <w:ind w:firstLine="420" w:firstLineChars="200"/>
        <w:rPr>
          <w:color w:val="auto"/>
          <w:highlight w:val="none"/>
        </w:rPr>
      </w:pPr>
      <w:r>
        <w:rPr>
          <w:color w:val="auto"/>
          <w:highlight w:val="none"/>
        </w:rPr>
        <w:t>1.3.1  招标范围：见投标人须知前附表。</w:t>
      </w:r>
    </w:p>
    <w:p w14:paraId="1866CF0C">
      <w:pPr>
        <w:pStyle w:val="76"/>
        <w:spacing w:line="360" w:lineRule="auto"/>
        <w:ind w:firstLine="420" w:firstLineChars="200"/>
        <w:rPr>
          <w:color w:val="auto"/>
          <w:highlight w:val="none"/>
        </w:rPr>
      </w:pPr>
      <w:r>
        <w:rPr>
          <w:color w:val="auto"/>
          <w:highlight w:val="none"/>
        </w:rPr>
        <w:t>1.3.2  计划工期：见投标人须知前附表。</w:t>
      </w:r>
    </w:p>
    <w:p w14:paraId="62B72CA6">
      <w:pPr>
        <w:pStyle w:val="76"/>
        <w:spacing w:line="360" w:lineRule="auto"/>
        <w:ind w:firstLine="420" w:firstLineChars="200"/>
        <w:rPr>
          <w:color w:val="auto"/>
          <w:highlight w:val="none"/>
        </w:rPr>
      </w:pPr>
      <w:r>
        <w:rPr>
          <w:color w:val="auto"/>
          <w:highlight w:val="none"/>
        </w:rPr>
        <w:t>1.3.3  质量标准和保修要求：见投标人须知前附表。</w:t>
      </w:r>
    </w:p>
    <w:p w14:paraId="5AAF60DF">
      <w:pPr>
        <w:pStyle w:val="5"/>
        <w:rPr>
          <w:rFonts w:ascii="Times New Roman" w:hAnsi="Times New Roman" w:eastAsia="黑体"/>
          <w:b w:val="0"/>
          <w:bCs w:val="0"/>
          <w:color w:val="auto"/>
          <w:sz w:val="24"/>
          <w:highlight w:val="none"/>
        </w:rPr>
      </w:pPr>
      <w:bookmarkStart w:id="144" w:name="_Toc300678003"/>
      <w:r>
        <w:rPr>
          <w:rFonts w:ascii="Times New Roman" w:hAnsi="Times New Roman" w:eastAsia="黑体"/>
          <w:b w:val="0"/>
          <w:bCs w:val="0"/>
          <w:color w:val="auto"/>
          <w:sz w:val="24"/>
          <w:highlight w:val="none"/>
        </w:rPr>
        <w:t>1.4 投标人资格要求</w:t>
      </w:r>
    </w:p>
    <w:p w14:paraId="28EB3533">
      <w:pPr>
        <w:pStyle w:val="76"/>
        <w:spacing w:line="360" w:lineRule="auto"/>
        <w:ind w:firstLine="420" w:firstLineChars="200"/>
        <w:rPr>
          <w:strike/>
          <w:color w:val="auto"/>
          <w:highlight w:val="none"/>
        </w:rPr>
      </w:pPr>
      <w:bookmarkStart w:id="145" w:name="_Toc300678004"/>
      <w:r>
        <w:rPr>
          <w:color w:val="auto"/>
          <w:highlight w:val="none"/>
        </w:rPr>
        <w:t>采用资格预审方式，</w:t>
      </w:r>
      <w:r>
        <w:rPr>
          <w:rFonts w:hint="eastAsia" w:ascii="宋体" w:hAnsi="宋体"/>
          <w:color w:val="auto"/>
          <w:highlight w:val="none"/>
        </w:rPr>
        <w:t>投标人应是收到招标人发出投标邀请书的单位。</w:t>
      </w:r>
      <w:bookmarkEnd w:id="145"/>
    </w:p>
    <w:p w14:paraId="63FF96D9">
      <w:pPr>
        <w:pStyle w:val="5"/>
        <w:ind w:firstLine="420" w:firstLineChars="200"/>
        <w:rPr>
          <w:rFonts w:hint="eastAsia" w:ascii="宋体" w:hAnsi="宋体" w:cs="宋体"/>
          <w:b w:val="0"/>
          <w:bCs w:val="0"/>
          <w:color w:val="auto"/>
          <w:szCs w:val="21"/>
          <w:highlight w:val="none"/>
        </w:rPr>
      </w:pPr>
      <w:r>
        <w:rPr>
          <w:rFonts w:ascii="Times New Roman" w:hAnsi="Times New Roman"/>
          <w:b w:val="0"/>
          <w:color w:val="auto"/>
          <w:szCs w:val="21"/>
          <w:highlight w:val="none"/>
        </w:rPr>
        <w:t>采用资格后审方式，</w:t>
      </w:r>
      <w:r>
        <w:rPr>
          <w:rFonts w:hint="eastAsia" w:ascii="宋体" w:hAnsi="宋体" w:cs="宋体"/>
          <w:b w:val="0"/>
          <w:bCs w:val="0"/>
          <w:color w:val="auto"/>
          <w:szCs w:val="21"/>
          <w:highlight w:val="none"/>
        </w:rPr>
        <w:t>投标人资格要求</w:t>
      </w:r>
      <w:bookmarkEnd w:id="144"/>
      <w:r>
        <w:rPr>
          <w:rFonts w:hint="eastAsia" w:ascii="宋体" w:hAnsi="宋体" w:cs="宋体"/>
          <w:b w:val="0"/>
          <w:bCs w:val="0"/>
          <w:color w:val="auto"/>
          <w:szCs w:val="21"/>
          <w:highlight w:val="none"/>
        </w:rPr>
        <w:t>：</w:t>
      </w:r>
    </w:p>
    <w:p w14:paraId="13E3C330">
      <w:pPr>
        <w:pStyle w:val="76"/>
        <w:spacing w:line="360" w:lineRule="auto"/>
        <w:ind w:firstLine="420" w:firstLineChars="200"/>
        <w:rPr>
          <w:color w:val="auto"/>
          <w:highlight w:val="none"/>
        </w:rPr>
      </w:pPr>
      <w:r>
        <w:rPr>
          <w:color w:val="auto"/>
          <w:highlight w:val="none"/>
        </w:rPr>
        <w:t>1.4.1  投标人应具备承担本</w:t>
      </w:r>
      <w:r>
        <w:rPr>
          <w:rFonts w:hint="eastAsia"/>
          <w:color w:val="auto"/>
          <w:highlight w:val="none"/>
        </w:rPr>
        <w:t>项目</w:t>
      </w:r>
      <w:r>
        <w:rPr>
          <w:color w:val="auto"/>
          <w:highlight w:val="none"/>
        </w:rPr>
        <w:t>施工的资质条件：见投标人须知前附表；</w:t>
      </w:r>
    </w:p>
    <w:p w14:paraId="1BB1D9EA">
      <w:pPr>
        <w:pStyle w:val="76"/>
        <w:spacing w:line="360" w:lineRule="auto"/>
        <w:ind w:firstLine="420" w:firstLineChars="200"/>
        <w:rPr>
          <w:color w:val="auto"/>
          <w:highlight w:val="none"/>
        </w:rPr>
      </w:pPr>
      <w:r>
        <w:rPr>
          <w:color w:val="auto"/>
          <w:highlight w:val="none"/>
        </w:rPr>
        <w:t>1.4.2  投标人须知前附表规定接受联合体投标的，除应符合本</w:t>
      </w:r>
      <w:r>
        <w:rPr>
          <w:rFonts w:hint="eastAsia"/>
          <w:color w:val="auto"/>
          <w:highlight w:val="none"/>
        </w:rPr>
        <w:t>须知</w:t>
      </w:r>
      <w:r>
        <w:rPr>
          <w:color w:val="auto"/>
          <w:highlight w:val="none"/>
        </w:rPr>
        <w:t>第1.4.1项和投标人须知前附表的要求外，还应遵守以下规定：</w:t>
      </w:r>
    </w:p>
    <w:p w14:paraId="315D7B50">
      <w:pPr>
        <w:pStyle w:val="76"/>
        <w:spacing w:line="360" w:lineRule="auto"/>
        <w:ind w:firstLine="420" w:firstLineChars="200"/>
        <w:rPr>
          <w:bCs/>
          <w:color w:val="auto"/>
          <w:highlight w:val="none"/>
        </w:rPr>
      </w:pPr>
      <w:r>
        <w:rPr>
          <w:bCs/>
          <w:color w:val="auto"/>
          <w:highlight w:val="none"/>
        </w:rPr>
        <w:t>（1）联合体各方应按招标文件提供的格式签订</w:t>
      </w:r>
      <w:r>
        <w:rPr>
          <w:rFonts w:hint="eastAsia"/>
          <w:bCs/>
          <w:color w:val="auto"/>
          <w:highlight w:val="none"/>
        </w:rPr>
        <w:t>联合体协议书，</w:t>
      </w:r>
      <w:r>
        <w:rPr>
          <w:bCs/>
          <w:color w:val="auto"/>
          <w:highlight w:val="none"/>
        </w:rPr>
        <w:t>明确联合体牵头人和各方权利义务；</w:t>
      </w:r>
    </w:p>
    <w:p w14:paraId="1710B1B0">
      <w:pPr>
        <w:pStyle w:val="76"/>
        <w:spacing w:line="360" w:lineRule="auto"/>
        <w:ind w:firstLine="420" w:firstLineChars="200"/>
        <w:rPr>
          <w:bCs/>
          <w:color w:val="auto"/>
          <w:highlight w:val="none"/>
        </w:rPr>
      </w:pPr>
      <w:r>
        <w:rPr>
          <w:bCs/>
          <w:color w:val="auto"/>
          <w:highlight w:val="none"/>
        </w:rPr>
        <w:t>（2）</w:t>
      </w:r>
      <w:bookmarkStart w:id="146" w:name="_Hlk211438299"/>
      <w:r>
        <w:rPr>
          <w:bCs/>
          <w:color w:val="auto"/>
          <w:highlight w:val="none"/>
        </w:rPr>
        <w:t>由同一专业的单位组成的联合体，按照资质等级较低的单位确定资质等级；</w:t>
      </w:r>
      <w:bookmarkEnd w:id="146"/>
    </w:p>
    <w:p w14:paraId="684EF3FD">
      <w:pPr>
        <w:pStyle w:val="76"/>
        <w:spacing w:line="360" w:lineRule="auto"/>
        <w:ind w:firstLine="420" w:firstLineChars="200"/>
        <w:rPr>
          <w:bCs/>
          <w:color w:val="auto"/>
          <w:highlight w:val="none"/>
        </w:rPr>
      </w:pPr>
      <w:bookmarkStart w:id="147" w:name="_Hlk210289815"/>
      <w:r>
        <w:rPr>
          <w:bCs/>
          <w:color w:val="auto"/>
          <w:highlight w:val="none"/>
        </w:rPr>
        <w:t>（3）</w:t>
      </w:r>
      <w:r>
        <w:rPr>
          <w:rFonts w:hint="eastAsia"/>
          <w:bCs/>
          <w:color w:val="auto"/>
          <w:highlight w:val="none"/>
        </w:rPr>
        <w:t>通过资格预审的联合体，其各方组成结构或职责，以及资格条件不得改变；</w:t>
      </w:r>
    </w:p>
    <w:bookmarkEnd w:id="147"/>
    <w:p w14:paraId="1EE80C50">
      <w:pPr>
        <w:pStyle w:val="76"/>
        <w:spacing w:line="360" w:lineRule="auto"/>
        <w:ind w:firstLine="420" w:firstLineChars="200"/>
        <w:rPr>
          <w:bCs/>
          <w:color w:val="auto"/>
          <w:highlight w:val="none"/>
        </w:rPr>
      </w:pPr>
      <w:r>
        <w:rPr>
          <w:bCs/>
          <w:color w:val="auto"/>
          <w:highlight w:val="none"/>
        </w:rPr>
        <w:t>（</w:t>
      </w:r>
      <w:r>
        <w:rPr>
          <w:rFonts w:hint="eastAsia"/>
          <w:bCs/>
          <w:color w:val="auto"/>
          <w:highlight w:val="none"/>
        </w:rPr>
        <w:t>4</w:t>
      </w:r>
      <w:r>
        <w:rPr>
          <w:bCs/>
          <w:color w:val="auto"/>
          <w:highlight w:val="none"/>
        </w:rPr>
        <w:t>）联合体各方不得再以自己名义单独或参加其他联合体在同一标段中投标。</w:t>
      </w:r>
    </w:p>
    <w:p w14:paraId="42C71375">
      <w:pPr>
        <w:pStyle w:val="76"/>
        <w:spacing w:line="360" w:lineRule="auto"/>
        <w:ind w:firstLine="420" w:firstLineChars="200"/>
        <w:rPr>
          <w:bCs/>
          <w:color w:val="auto"/>
          <w:highlight w:val="none"/>
        </w:rPr>
      </w:pPr>
      <w:r>
        <w:rPr>
          <w:bCs/>
          <w:color w:val="auto"/>
          <w:highlight w:val="none"/>
        </w:rPr>
        <w:t>1.4.3 投标人不得存在下列情形之一：</w:t>
      </w:r>
    </w:p>
    <w:p w14:paraId="048059E2">
      <w:pPr>
        <w:pStyle w:val="76"/>
        <w:spacing w:line="360" w:lineRule="auto"/>
        <w:ind w:firstLine="420" w:firstLineChars="200"/>
        <w:rPr>
          <w:bCs/>
          <w:color w:val="auto"/>
          <w:highlight w:val="none"/>
        </w:rPr>
      </w:pPr>
      <w:r>
        <w:rPr>
          <w:bCs/>
          <w:color w:val="auto"/>
          <w:highlight w:val="none"/>
        </w:rPr>
        <w:t>（l）为招标人的不具有独立法人资格的附属机构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14:paraId="094D5433">
      <w:pPr>
        <w:pStyle w:val="76"/>
        <w:spacing w:line="360" w:lineRule="auto"/>
        <w:ind w:firstLine="420" w:firstLineChars="200"/>
        <w:rPr>
          <w:bCs/>
          <w:color w:val="auto"/>
          <w:highlight w:val="none"/>
        </w:rPr>
      </w:pPr>
      <w:r>
        <w:rPr>
          <w:bCs/>
          <w:color w:val="auto"/>
          <w:highlight w:val="none"/>
        </w:rPr>
        <w:t>（2）为本招标项目前期准备提供设计</w:t>
      </w:r>
      <w:r>
        <w:rPr>
          <w:rFonts w:hint="eastAsia"/>
          <w:bCs/>
          <w:color w:val="auto"/>
          <w:highlight w:val="none"/>
        </w:rPr>
        <w:t>或</w:t>
      </w:r>
      <w:r>
        <w:rPr>
          <w:bCs/>
          <w:color w:val="auto"/>
          <w:highlight w:val="none"/>
        </w:rPr>
        <w:t>咨询服务的；</w:t>
      </w:r>
    </w:p>
    <w:p w14:paraId="3AB56F82">
      <w:pPr>
        <w:pStyle w:val="76"/>
        <w:spacing w:line="360" w:lineRule="auto"/>
        <w:ind w:firstLine="420" w:firstLineChars="200"/>
        <w:rPr>
          <w:bCs/>
          <w:color w:val="auto"/>
          <w:highlight w:val="none"/>
        </w:rPr>
      </w:pPr>
      <w:r>
        <w:rPr>
          <w:bCs/>
          <w:color w:val="auto"/>
          <w:highlight w:val="none"/>
        </w:rPr>
        <w:t>（3）为本招标项目的监理人；</w:t>
      </w:r>
    </w:p>
    <w:p w14:paraId="5B77FE87">
      <w:pPr>
        <w:pStyle w:val="76"/>
        <w:spacing w:line="360" w:lineRule="auto"/>
        <w:ind w:firstLine="420" w:firstLineChars="200"/>
        <w:rPr>
          <w:bCs/>
          <w:color w:val="auto"/>
          <w:highlight w:val="none"/>
        </w:rPr>
      </w:pPr>
      <w:r>
        <w:rPr>
          <w:bCs/>
          <w:color w:val="auto"/>
          <w:highlight w:val="none"/>
        </w:rPr>
        <w:t>（4）为本招标项目的代建人；</w:t>
      </w:r>
    </w:p>
    <w:p w14:paraId="22F36A55">
      <w:pPr>
        <w:pStyle w:val="76"/>
        <w:spacing w:line="360" w:lineRule="auto"/>
        <w:ind w:firstLine="420" w:firstLineChars="200"/>
        <w:rPr>
          <w:bCs/>
          <w:color w:val="auto"/>
          <w:highlight w:val="none"/>
        </w:rPr>
      </w:pPr>
      <w:r>
        <w:rPr>
          <w:bCs/>
          <w:color w:val="auto"/>
          <w:highlight w:val="none"/>
        </w:rPr>
        <w:t>（5）为本招标项目的招标代理机构；</w:t>
      </w:r>
    </w:p>
    <w:p w14:paraId="6B925339">
      <w:pPr>
        <w:pStyle w:val="76"/>
        <w:spacing w:line="360" w:lineRule="auto"/>
        <w:ind w:firstLine="420" w:firstLineChars="200"/>
        <w:rPr>
          <w:bCs/>
          <w:color w:val="auto"/>
          <w:highlight w:val="none"/>
        </w:rPr>
      </w:pPr>
      <w:r>
        <w:rPr>
          <w:bCs/>
          <w:color w:val="auto"/>
          <w:highlight w:val="none"/>
        </w:rPr>
        <w:t>（6）与本招标项目的监理人或代建人或招标代理机构同为一个法定代表人的；</w:t>
      </w:r>
    </w:p>
    <w:p w14:paraId="05A4AE1D">
      <w:pPr>
        <w:pStyle w:val="76"/>
        <w:spacing w:line="360" w:lineRule="auto"/>
        <w:ind w:firstLine="420" w:firstLineChars="200"/>
        <w:rPr>
          <w:bCs/>
          <w:color w:val="auto"/>
          <w:highlight w:val="none"/>
        </w:rPr>
      </w:pPr>
      <w:r>
        <w:rPr>
          <w:bCs/>
          <w:color w:val="auto"/>
          <w:highlight w:val="none"/>
        </w:rPr>
        <w:t>（7）与本招标项目的监理人或代建人或招标代理机构相互控股或参股的；</w:t>
      </w:r>
    </w:p>
    <w:p w14:paraId="5D07F781">
      <w:pPr>
        <w:pStyle w:val="76"/>
        <w:spacing w:line="360" w:lineRule="auto"/>
        <w:ind w:firstLine="420" w:firstLineChars="200"/>
        <w:rPr>
          <w:bCs/>
          <w:color w:val="auto"/>
          <w:highlight w:val="none"/>
        </w:rPr>
      </w:pPr>
      <w:r>
        <w:rPr>
          <w:bCs/>
          <w:color w:val="auto"/>
          <w:highlight w:val="none"/>
        </w:rPr>
        <w:t>（8）与本招标项目的监理人或代建人或招标代理机构相互任职或工作的；</w:t>
      </w:r>
    </w:p>
    <w:p w14:paraId="0DDDD00D">
      <w:pPr>
        <w:pStyle w:val="76"/>
        <w:spacing w:line="360" w:lineRule="auto"/>
        <w:ind w:firstLine="420" w:firstLineChars="200"/>
        <w:rPr>
          <w:bCs/>
          <w:color w:val="auto"/>
          <w:highlight w:val="none"/>
        </w:rPr>
      </w:pPr>
      <w:r>
        <w:rPr>
          <w:bCs/>
          <w:color w:val="auto"/>
          <w:highlight w:val="none"/>
        </w:rPr>
        <w:t>（9）被责令停业的；</w:t>
      </w:r>
    </w:p>
    <w:p w14:paraId="6982826B">
      <w:pPr>
        <w:pStyle w:val="76"/>
        <w:spacing w:line="360" w:lineRule="auto"/>
        <w:ind w:firstLine="420" w:firstLineChars="200"/>
        <w:rPr>
          <w:bCs/>
          <w:color w:val="auto"/>
          <w:highlight w:val="none"/>
        </w:rPr>
      </w:pPr>
      <w:r>
        <w:rPr>
          <w:rFonts w:hint="eastAsia"/>
          <w:bCs/>
          <w:color w:val="auto"/>
          <w:highlight w:val="none"/>
        </w:rPr>
        <w:t>（10）被招标项目所在地住房城乡建设主管部门取消参加本地区依法必须招标项目投标资格的；</w:t>
      </w:r>
    </w:p>
    <w:p w14:paraId="746F7BF8">
      <w:pPr>
        <w:spacing w:line="360" w:lineRule="auto"/>
        <w:ind w:firstLine="420" w:firstLineChars="200"/>
        <w:rPr>
          <w:bCs/>
          <w:color w:val="auto"/>
          <w:highlight w:val="none"/>
        </w:rPr>
      </w:pPr>
      <w:r>
        <w:rPr>
          <w:rFonts w:hint="eastAsia"/>
          <w:bCs/>
          <w:color w:val="auto"/>
          <w:highlight w:val="none"/>
        </w:rPr>
        <w:t>（11）与招标人存在利害关系可能影响招标公正性的法人、其他组织或者个人；</w:t>
      </w:r>
    </w:p>
    <w:p w14:paraId="2E47B71F">
      <w:pPr>
        <w:spacing w:line="360" w:lineRule="auto"/>
        <w:ind w:firstLine="420" w:firstLineChars="200"/>
        <w:rPr>
          <w:bCs/>
          <w:color w:val="auto"/>
          <w:highlight w:val="none"/>
        </w:rPr>
      </w:pPr>
      <w:r>
        <w:rPr>
          <w:rFonts w:hint="eastAsia"/>
          <w:bCs/>
          <w:color w:val="auto"/>
          <w:highlight w:val="none"/>
        </w:rPr>
        <w:t>（12）单位负责人为同一人或者存在控股、管理关系的不同单位参加同一标段或者未划分标段的同一招标项目投标的；</w:t>
      </w:r>
    </w:p>
    <w:p w14:paraId="06F50B0C">
      <w:pPr>
        <w:spacing w:line="360" w:lineRule="auto"/>
        <w:ind w:firstLine="420" w:firstLineChars="200"/>
        <w:rPr>
          <w:bCs/>
          <w:color w:val="auto"/>
          <w:highlight w:val="none"/>
        </w:rPr>
      </w:pPr>
      <w:r>
        <w:rPr>
          <w:rFonts w:hint="eastAsia"/>
          <w:bCs/>
          <w:color w:val="auto"/>
          <w:highlight w:val="none"/>
        </w:rPr>
        <w:t>（13）经评审的最低投标价法的项目，不接受在国家企业信用信息公示系统中被列入严重违法失信企业名单、在“信用中国”网站中被列入失信被执行人名单以及省级行政监督部门根据有关信用管理规定不接受其参与投标的投标；</w:t>
      </w:r>
    </w:p>
    <w:p w14:paraId="1646896F">
      <w:pPr>
        <w:spacing w:line="360" w:lineRule="auto"/>
        <w:ind w:firstLine="420" w:firstLineChars="200"/>
        <w:rPr>
          <w:bCs/>
          <w:color w:val="auto"/>
          <w:highlight w:val="none"/>
        </w:rPr>
      </w:pPr>
      <w:r>
        <w:rPr>
          <w:rFonts w:hint="eastAsia"/>
          <w:bCs/>
          <w:color w:val="auto"/>
          <w:highlight w:val="none"/>
        </w:rPr>
        <w:t>（14）企业资质不符合相应建筑业企业资质标准要求条件，被县级以上地方人民政府住房城乡建设主管部门、其他有关部门责令其限期改正处于企业整改期间</w:t>
      </w:r>
      <w:r>
        <w:rPr>
          <w:rFonts w:hint="eastAsia"/>
          <w:bCs/>
          <w:color w:val="auto"/>
          <w:highlight w:val="none"/>
          <w:lang w:val="en-US" w:eastAsia="zh-CN"/>
        </w:rPr>
        <w:t>的；或者</w:t>
      </w:r>
      <w:r>
        <w:rPr>
          <w:rFonts w:hint="eastAsia"/>
          <w:bCs/>
          <w:color w:val="auto"/>
          <w:highlight w:val="none"/>
        </w:rPr>
        <w:t>逾期仍未达到建筑业企业资质标准要求条件，被资质许可机关撤回其建筑业企业资质证书的；</w:t>
      </w:r>
    </w:p>
    <w:p w14:paraId="6AFC6E8B">
      <w:pPr>
        <w:spacing w:line="360" w:lineRule="auto"/>
        <w:ind w:firstLine="420" w:firstLineChars="200"/>
        <w:rPr>
          <w:bCs/>
          <w:color w:val="auto"/>
          <w:highlight w:val="none"/>
        </w:rPr>
      </w:pPr>
      <w:r>
        <w:rPr>
          <w:bCs/>
          <w:color w:val="auto"/>
          <w:szCs w:val="21"/>
          <w:highlight w:val="none"/>
        </w:rPr>
        <w:t>（1</w:t>
      </w:r>
      <w:r>
        <w:rPr>
          <w:rFonts w:hint="eastAsia"/>
          <w:bCs/>
          <w:color w:val="auto"/>
          <w:szCs w:val="21"/>
          <w:highlight w:val="none"/>
        </w:rPr>
        <w:t>5</w:t>
      </w:r>
      <w:r>
        <w:rPr>
          <w:bCs/>
          <w:color w:val="auto"/>
          <w:szCs w:val="21"/>
          <w:highlight w:val="none"/>
        </w:rPr>
        <w:t>）</w:t>
      </w:r>
      <w:r>
        <w:rPr>
          <w:bCs/>
          <w:color w:val="auto"/>
          <w:highlight w:val="none"/>
        </w:rPr>
        <w:t>法律、法规规定的其他情形。</w:t>
      </w:r>
    </w:p>
    <w:p w14:paraId="1F4F5392">
      <w:pPr>
        <w:pStyle w:val="5"/>
        <w:rPr>
          <w:rFonts w:ascii="Times New Roman" w:hAnsi="Times New Roman" w:eastAsia="黑体"/>
          <w:b w:val="0"/>
          <w:bCs w:val="0"/>
          <w:color w:val="auto"/>
          <w:sz w:val="24"/>
          <w:highlight w:val="none"/>
        </w:rPr>
      </w:pPr>
      <w:bookmarkStart w:id="148" w:name="_Toc300678005"/>
      <w:r>
        <w:rPr>
          <w:rFonts w:ascii="Times New Roman" w:hAnsi="Times New Roman" w:eastAsia="黑体"/>
          <w:b w:val="0"/>
          <w:bCs w:val="0"/>
          <w:color w:val="auto"/>
          <w:sz w:val="24"/>
          <w:highlight w:val="none"/>
        </w:rPr>
        <w:t>1.5 费用承担</w:t>
      </w:r>
      <w:bookmarkEnd w:id="148"/>
    </w:p>
    <w:p w14:paraId="03373CFF">
      <w:pPr>
        <w:pStyle w:val="76"/>
        <w:spacing w:line="360" w:lineRule="auto"/>
        <w:ind w:firstLine="420" w:firstLineChars="200"/>
        <w:rPr>
          <w:color w:val="auto"/>
          <w:highlight w:val="none"/>
        </w:rPr>
      </w:pPr>
      <w:r>
        <w:rPr>
          <w:color w:val="auto"/>
          <w:highlight w:val="none"/>
        </w:rPr>
        <w:t>投标人准备和参加投标活动发生的费用自理。</w:t>
      </w:r>
    </w:p>
    <w:p w14:paraId="5A950DC2">
      <w:pPr>
        <w:pStyle w:val="5"/>
        <w:rPr>
          <w:rFonts w:ascii="Times New Roman" w:hAnsi="Times New Roman" w:eastAsia="黑体"/>
          <w:b w:val="0"/>
          <w:bCs w:val="0"/>
          <w:color w:val="auto"/>
          <w:sz w:val="24"/>
          <w:highlight w:val="none"/>
        </w:rPr>
      </w:pPr>
      <w:bookmarkStart w:id="149" w:name="_Toc300678006"/>
      <w:r>
        <w:rPr>
          <w:rFonts w:ascii="Times New Roman" w:hAnsi="Times New Roman" w:eastAsia="黑体"/>
          <w:b w:val="0"/>
          <w:bCs w:val="0"/>
          <w:color w:val="auto"/>
          <w:sz w:val="24"/>
          <w:highlight w:val="none"/>
        </w:rPr>
        <w:t>1.6 保密</w:t>
      </w:r>
      <w:bookmarkEnd w:id="149"/>
    </w:p>
    <w:p w14:paraId="67237933">
      <w:pPr>
        <w:pStyle w:val="76"/>
        <w:spacing w:line="360" w:lineRule="auto"/>
        <w:ind w:firstLine="420" w:firstLineChars="200"/>
        <w:rPr>
          <w:color w:val="auto"/>
          <w:highlight w:val="none"/>
        </w:rPr>
      </w:pPr>
      <w:r>
        <w:rPr>
          <w:color w:val="auto"/>
          <w:highlight w:val="none"/>
        </w:rPr>
        <w:t>参与招标投标活动的各方应对招标文件和投标文件中的商业和技术等秘密保密，违者应对由此造成的后果承担法律责任。</w:t>
      </w:r>
    </w:p>
    <w:p w14:paraId="6A37B845">
      <w:pPr>
        <w:pStyle w:val="5"/>
        <w:rPr>
          <w:rFonts w:ascii="Times New Roman" w:hAnsi="Times New Roman" w:eastAsia="黑体"/>
          <w:b w:val="0"/>
          <w:bCs w:val="0"/>
          <w:color w:val="auto"/>
          <w:sz w:val="24"/>
          <w:highlight w:val="none"/>
        </w:rPr>
      </w:pPr>
      <w:bookmarkStart w:id="150" w:name="_Toc300678007"/>
      <w:r>
        <w:rPr>
          <w:rFonts w:ascii="Times New Roman" w:hAnsi="Times New Roman" w:eastAsia="黑体"/>
          <w:b w:val="0"/>
          <w:bCs w:val="0"/>
          <w:color w:val="auto"/>
          <w:sz w:val="24"/>
          <w:highlight w:val="none"/>
        </w:rPr>
        <w:t>1.7 语言文字</w:t>
      </w:r>
      <w:bookmarkEnd w:id="150"/>
    </w:p>
    <w:p w14:paraId="66C7179E">
      <w:pPr>
        <w:pStyle w:val="76"/>
        <w:spacing w:line="360" w:lineRule="auto"/>
        <w:ind w:firstLine="420" w:firstLineChars="200"/>
        <w:rPr>
          <w:color w:val="auto"/>
          <w:highlight w:val="none"/>
        </w:rPr>
      </w:pPr>
      <w:r>
        <w:rPr>
          <w:color w:val="auto"/>
          <w:highlight w:val="none"/>
        </w:rPr>
        <w:t>除专用术语外，与招标投标有关的语言均使用中文。必要时专用术语应附有中文注释。</w:t>
      </w:r>
    </w:p>
    <w:p w14:paraId="0E0D2964">
      <w:pPr>
        <w:pStyle w:val="5"/>
        <w:rPr>
          <w:rFonts w:ascii="Times New Roman" w:hAnsi="Times New Roman" w:eastAsia="黑体"/>
          <w:b w:val="0"/>
          <w:bCs w:val="0"/>
          <w:color w:val="auto"/>
          <w:sz w:val="24"/>
          <w:highlight w:val="none"/>
        </w:rPr>
      </w:pPr>
      <w:bookmarkStart w:id="151" w:name="_Toc300678008"/>
      <w:r>
        <w:rPr>
          <w:rFonts w:ascii="Times New Roman" w:hAnsi="Times New Roman" w:eastAsia="黑体"/>
          <w:b w:val="0"/>
          <w:bCs w:val="0"/>
          <w:color w:val="auto"/>
          <w:sz w:val="24"/>
          <w:highlight w:val="none"/>
        </w:rPr>
        <w:t>1.8 计量单位</w:t>
      </w:r>
      <w:bookmarkEnd w:id="151"/>
    </w:p>
    <w:p w14:paraId="3E1CD71A">
      <w:pPr>
        <w:pStyle w:val="76"/>
        <w:spacing w:line="360" w:lineRule="auto"/>
        <w:ind w:firstLine="420" w:firstLineChars="200"/>
        <w:rPr>
          <w:color w:val="auto"/>
          <w:highlight w:val="none"/>
        </w:rPr>
      </w:pPr>
      <w:r>
        <w:rPr>
          <w:color w:val="auto"/>
          <w:highlight w:val="none"/>
        </w:rPr>
        <w:t>所有计量均采用中华人民共和国法定计量单位。</w:t>
      </w:r>
    </w:p>
    <w:p w14:paraId="313EC546">
      <w:pPr>
        <w:pStyle w:val="5"/>
        <w:rPr>
          <w:rFonts w:ascii="Times New Roman" w:hAnsi="Times New Roman" w:eastAsia="黑体"/>
          <w:b w:val="0"/>
          <w:bCs w:val="0"/>
          <w:color w:val="auto"/>
          <w:sz w:val="24"/>
          <w:highlight w:val="none"/>
        </w:rPr>
      </w:pPr>
      <w:bookmarkStart w:id="152" w:name="_Toc300678009"/>
      <w:r>
        <w:rPr>
          <w:rFonts w:ascii="Times New Roman" w:hAnsi="Times New Roman" w:eastAsia="黑体"/>
          <w:b w:val="0"/>
          <w:bCs w:val="0"/>
          <w:color w:val="auto"/>
          <w:sz w:val="24"/>
          <w:highlight w:val="none"/>
        </w:rPr>
        <w:t>1.9 踏勘现场</w:t>
      </w:r>
      <w:bookmarkEnd w:id="152"/>
    </w:p>
    <w:p w14:paraId="1197EF12">
      <w:pPr>
        <w:pStyle w:val="76"/>
        <w:spacing w:line="360" w:lineRule="auto"/>
        <w:ind w:firstLine="420" w:firstLineChars="200"/>
        <w:rPr>
          <w:color w:val="auto"/>
          <w:highlight w:val="none"/>
        </w:rPr>
      </w:pPr>
      <w:r>
        <w:rPr>
          <w:color w:val="auto"/>
          <w:highlight w:val="none"/>
        </w:rPr>
        <w:t>1.9.1  按投标人须知前附表的规定执行。</w:t>
      </w:r>
    </w:p>
    <w:p w14:paraId="0D9A28EB">
      <w:pPr>
        <w:pStyle w:val="76"/>
        <w:spacing w:line="360" w:lineRule="auto"/>
        <w:ind w:firstLine="420" w:firstLineChars="200"/>
        <w:rPr>
          <w:color w:val="auto"/>
          <w:highlight w:val="none"/>
        </w:rPr>
      </w:pPr>
      <w:r>
        <w:rPr>
          <w:color w:val="auto"/>
          <w:highlight w:val="none"/>
        </w:rPr>
        <w:t>1.9.2  投标人踏勘现场发生的费用自理。</w:t>
      </w:r>
    </w:p>
    <w:p w14:paraId="7199777A">
      <w:pPr>
        <w:pStyle w:val="76"/>
        <w:spacing w:line="360" w:lineRule="auto"/>
        <w:ind w:firstLine="420" w:firstLineChars="200"/>
        <w:rPr>
          <w:color w:val="auto"/>
          <w:highlight w:val="none"/>
        </w:rPr>
      </w:pPr>
      <w:r>
        <w:rPr>
          <w:color w:val="auto"/>
          <w:highlight w:val="none"/>
        </w:rPr>
        <w:t>1.9.3  除招标人的原因外，投标人自行负责在踏勘现场中所发生的人员伤亡和财产损失。</w:t>
      </w:r>
    </w:p>
    <w:p w14:paraId="4B5C3FB1">
      <w:pPr>
        <w:pStyle w:val="76"/>
        <w:spacing w:line="360" w:lineRule="auto"/>
        <w:ind w:firstLine="420" w:firstLineChars="200"/>
        <w:rPr>
          <w:color w:val="auto"/>
          <w:highlight w:val="none"/>
        </w:rPr>
      </w:pPr>
      <w:r>
        <w:rPr>
          <w:color w:val="auto"/>
          <w:highlight w:val="none"/>
        </w:rPr>
        <w:t>1.9.4  招标人在踏勘现场有关工程场地和相关环境等情况的介绍，供投标人参考。投标人对自身的判断和决策负责。</w:t>
      </w:r>
    </w:p>
    <w:p w14:paraId="0B2FB435">
      <w:pPr>
        <w:pStyle w:val="76"/>
        <w:rPr>
          <w:rFonts w:eastAsia="黑体"/>
          <w:color w:val="auto"/>
          <w:sz w:val="24"/>
          <w:highlight w:val="none"/>
        </w:rPr>
      </w:pPr>
      <w:bookmarkStart w:id="153" w:name="_Toc300678011"/>
      <w:r>
        <w:rPr>
          <w:rFonts w:eastAsia="黑体"/>
          <w:color w:val="auto"/>
          <w:sz w:val="24"/>
          <w:highlight w:val="none"/>
        </w:rPr>
        <w:t xml:space="preserve">1.10 </w:t>
      </w:r>
      <w:r>
        <w:rPr>
          <w:rFonts w:hint="eastAsia" w:eastAsia="黑体"/>
          <w:color w:val="auto"/>
          <w:sz w:val="24"/>
          <w:highlight w:val="none"/>
        </w:rPr>
        <w:t>投标预备会</w:t>
      </w:r>
    </w:p>
    <w:p w14:paraId="13B524E7">
      <w:pPr>
        <w:pStyle w:val="76"/>
        <w:spacing w:line="360" w:lineRule="auto"/>
        <w:ind w:firstLine="420" w:firstLineChars="200"/>
        <w:rPr>
          <w:color w:val="auto"/>
          <w:highlight w:val="none"/>
        </w:rPr>
      </w:pPr>
      <w:r>
        <w:rPr>
          <w:color w:val="auto"/>
          <w:highlight w:val="none"/>
        </w:rPr>
        <w:t>1.10.1 投标人须知前附表规定召开投标预备会的，招标人按投标人须知前附表规定的时间和地点召开投标预备会，澄清投标人提出的问题。</w:t>
      </w:r>
    </w:p>
    <w:p w14:paraId="0A721901">
      <w:pPr>
        <w:pStyle w:val="76"/>
        <w:spacing w:line="360" w:lineRule="auto"/>
        <w:ind w:firstLine="420" w:firstLineChars="200"/>
        <w:rPr>
          <w:color w:val="auto"/>
          <w:highlight w:val="none"/>
        </w:rPr>
      </w:pPr>
      <w:r>
        <w:rPr>
          <w:color w:val="auto"/>
          <w:highlight w:val="none"/>
        </w:rPr>
        <w:t>1.10.2 投标人应按投标人须知前附表规定的时间和方式将问题提出，以便招标人在会议期间澄清。</w:t>
      </w:r>
    </w:p>
    <w:p w14:paraId="53A5017C">
      <w:pPr>
        <w:pStyle w:val="76"/>
        <w:spacing w:line="360" w:lineRule="auto"/>
        <w:ind w:firstLine="420" w:firstLineChars="200"/>
        <w:rPr>
          <w:rFonts w:eastAsia="黑体"/>
          <w:color w:val="auto"/>
          <w:sz w:val="24"/>
          <w:highlight w:val="none"/>
        </w:rPr>
      </w:pPr>
      <w:r>
        <w:rPr>
          <w:color w:val="auto"/>
          <w:highlight w:val="none"/>
        </w:rPr>
        <w:t>1.10.3 投标预备会后，招标人将对投标人所提问题的澄清，在投标人须知前附表规定的时间和媒介发布。该澄清内容为招标文件的组成部分。</w:t>
      </w:r>
    </w:p>
    <w:p w14:paraId="22CBA367">
      <w:pPr>
        <w:pStyle w:val="5"/>
        <w:rPr>
          <w:rFonts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1.11</w:t>
      </w:r>
      <w:r>
        <w:rPr>
          <w:rFonts w:ascii="Times New Roman" w:hAnsi="Times New Roman" w:eastAsia="黑体"/>
          <w:b w:val="0"/>
          <w:bCs w:val="0"/>
          <w:color w:val="auto"/>
          <w:sz w:val="24"/>
          <w:highlight w:val="none"/>
        </w:rPr>
        <w:t>分包</w:t>
      </w:r>
      <w:bookmarkEnd w:id="153"/>
    </w:p>
    <w:p w14:paraId="781EADB0">
      <w:pPr>
        <w:pStyle w:val="76"/>
        <w:spacing w:line="360" w:lineRule="auto"/>
        <w:ind w:firstLine="420" w:firstLineChars="20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14:paraId="0B9380D3">
      <w:pPr>
        <w:pStyle w:val="5"/>
        <w:rPr>
          <w:rFonts w:ascii="Times New Roman" w:hAnsi="Times New Roman" w:eastAsia="黑体"/>
          <w:b w:val="0"/>
          <w:bCs w:val="0"/>
          <w:color w:val="auto"/>
          <w:sz w:val="24"/>
          <w:highlight w:val="none"/>
        </w:rPr>
      </w:pPr>
      <w:bookmarkStart w:id="154" w:name="_Toc300678012"/>
      <w:r>
        <w:rPr>
          <w:rFonts w:ascii="Times New Roman" w:hAnsi="Times New Roman" w:eastAsia="黑体"/>
          <w:b w:val="0"/>
          <w:bCs w:val="0"/>
          <w:color w:val="auto"/>
          <w:sz w:val="24"/>
          <w:highlight w:val="none"/>
        </w:rPr>
        <w:t>1.1</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 xml:space="preserve"> 偏离</w:t>
      </w:r>
      <w:bookmarkEnd w:id="154"/>
    </w:p>
    <w:p w14:paraId="2EFC1CB2">
      <w:pPr>
        <w:pStyle w:val="76"/>
        <w:spacing w:line="360" w:lineRule="auto"/>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14:paraId="15CA4A8F">
      <w:pPr>
        <w:pStyle w:val="3"/>
        <w:spacing w:before="0" w:after="0" w:line="360" w:lineRule="auto"/>
        <w:rPr>
          <w:rFonts w:ascii="Times New Roman" w:hAnsi="Times New Roman" w:eastAsia="黑体"/>
          <w:b w:val="0"/>
          <w:bCs w:val="0"/>
          <w:color w:val="auto"/>
          <w:sz w:val="30"/>
          <w:highlight w:val="none"/>
        </w:rPr>
      </w:pPr>
      <w:bookmarkStart w:id="155" w:name="_Toc300678013"/>
      <w:bookmarkStart w:id="156" w:name="_Toc211498596"/>
      <w:bookmarkStart w:id="157" w:name="_Toc9178519"/>
      <w:bookmarkStart w:id="158" w:name="_Toc80006090"/>
      <w:r>
        <w:rPr>
          <w:rFonts w:ascii="Times New Roman" w:hAnsi="Times New Roman" w:eastAsia="黑体"/>
          <w:b w:val="0"/>
          <w:bCs w:val="0"/>
          <w:color w:val="auto"/>
          <w:sz w:val="30"/>
          <w:highlight w:val="none"/>
        </w:rPr>
        <w:t>2.招标文件</w:t>
      </w:r>
      <w:bookmarkEnd w:id="155"/>
      <w:bookmarkEnd w:id="156"/>
      <w:bookmarkEnd w:id="157"/>
      <w:bookmarkEnd w:id="158"/>
    </w:p>
    <w:p w14:paraId="7A1CF41E">
      <w:pPr>
        <w:pStyle w:val="5"/>
        <w:rPr>
          <w:rFonts w:ascii="Times New Roman" w:hAnsi="Times New Roman" w:eastAsia="黑体"/>
          <w:b w:val="0"/>
          <w:bCs w:val="0"/>
          <w:color w:val="auto"/>
          <w:sz w:val="24"/>
          <w:highlight w:val="none"/>
        </w:rPr>
      </w:pPr>
      <w:bookmarkStart w:id="159" w:name="_Toc300678014"/>
      <w:r>
        <w:rPr>
          <w:rFonts w:ascii="Times New Roman" w:hAnsi="Times New Roman" w:eastAsia="黑体"/>
          <w:b w:val="0"/>
          <w:bCs w:val="0"/>
          <w:color w:val="auto"/>
          <w:sz w:val="24"/>
          <w:highlight w:val="none"/>
        </w:rPr>
        <w:t>2.1 招标文件的组成</w:t>
      </w:r>
      <w:bookmarkEnd w:id="159"/>
    </w:p>
    <w:p w14:paraId="7A046104">
      <w:pPr>
        <w:pStyle w:val="76"/>
        <w:spacing w:line="360" w:lineRule="auto"/>
        <w:ind w:firstLine="420" w:firstLineChars="200"/>
        <w:rPr>
          <w:color w:val="auto"/>
          <w:highlight w:val="none"/>
        </w:rPr>
      </w:pPr>
      <w:r>
        <w:rPr>
          <w:color w:val="auto"/>
          <w:highlight w:val="none"/>
        </w:rPr>
        <w:t>本招标文件包括：</w:t>
      </w:r>
    </w:p>
    <w:p w14:paraId="6BFB4C3B">
      <w:pPr>
        <w:pStyle w:val="76"/>
        <w:spacing w:line="360" w:lineRule="auto"/>
        <w:ind w:firstLine="420" w:firstLineChars="200"/>
        <w:rPr>
          <w:color w:val="auto"/>
          <w:highlight w:val="none"/>
        </w:rPr>
      </w:pPr>
      <w:r>
        <w:rPr>
          <w:color w:val="auto"/>
          <w:highlight w:val="none"/>
        </w:rPr>
        <w:t xml:space="preserve">（1）招标公告（或投标邀请书）； </w:t>
      </w:r>
    </w:p>
    <w:p w14:paraId="6C88AD1E">
      <w:pPr>
        <w:pStyle w:val="76"/>
        <w:spacing w:line="360" w:lineRule="auto"/>
        <w:ind w:firstLine="420" w:firstLineChars="200"/>
        <w:rPr>
          <w:color w:val="auto"/>
          <w:highlight w:val="none"/>
        </w:rPr>
      </w:pPr>
      <w:r>
        <w:rPr>
          <w:color w:val="auto"/>
          <w:highlight w:val="none"/>
        </w:rPr>
        <w:t>（2）投标人须知；</w:t>
      </w:r>
    </w:p>
    <w:p w14:paraId="5576EAC6">
      <w:pPr>
        <w:pStyle w:val="76"/>
        <w:spacing w:line="360" w:lineRule="auto"/>
        <w:ind w:firstLine="420" w:firstLineChars="200"/>
        <w:rPr>
          <w:color w:val="auto"/>
          <w:highlight w:val="none"/>
        </w:rPr>
      </w:pPr>
      <w:r>
        <w:rPr>
          <w:color w:val="auto"/>
          <w:highlight w:val="none"/>
        </w:rPr>
        <w:t>（3）评标办法；</w:t>
      </w:r>
    </w:p>
    <w:p w14:paraId="2D6E9F62">
      <w:pPr>
        <w:pStyle w:val="76"/>
        <w:spacing w:line="360" w:lineRule="auto"/>
        <w:ind w:firstLine="420" w:firstLineChars="200"/>
        <w:rPr>
          <w:color w:val="auto"/>
          <w:highlight w:val="none"/>
        </w:rPr>
      </w:pPr>
      <w:r>
        <w:rPr>
          <w:color w:val="auto"/>
          <w:highlight w:val="none"/>
        </w:rPr>
        <w:t>（4）合同条款及格式；</w:t>
      </w:r>
    </w:p>
    <w:p w14:paraId="5D1D28DF">
      <w:pPr>
        <w:pStyle w:val="76"/>
        <w:spacing w:line="360" w:lineRule="auto"/>
        <w:ind w:firstLine="420" w:firstLineChars="200"/>
        <w:rPr>
          <w:color w:val="auto"/>
          <w:highlight w:val="none"/>
        </w:rPr>
      </w:pPr>
      <w:r>
        <w:rPr>
          <w:color w:val="auto"/>
          <w:highlight w:val="none"/>
        </w:rPr>
        <w:t>（5）工程量清单；</w:t>
      </w:r>
    </w:p>
    <w:p w14:paraId="08F9B110">
      <w:pPr>
        <w:pStyle w:val="76"/>
        <w:spacing w:line="360" w:lineRule="auto"/>
        <w:ind w:firstLine="420" w:firstLineChars="200"/>
        <w:rPr>
          <w:color w:val="auto"/>
          <w:highlight w:val="none"/>
        </w:rPr>
      </w:pPr>
      <w:r>
        <w:rPr>
          <w:color w:val="auto"/>
          <w:highlight w:val="none"/>
        </w:rPr>
        <w:t>（6）图纸；</w:t>
      </w:r>
    </w:p>
    <w:p w14:paraId="15C41E6E">
      <w:pPr>
        <w:pStyle w:val="76"/>
        <w:spacing w:line="360" w:lineRule="auto"/>
        <w:ind w:firstLine="420" w:firstLineChars="200"/>
        <w:rPr>
          <w:color w:val="auto"/>
          <w:highlight w:val="none"/>
        </w:rPr>
      </w:pPr>
      <w:r>
        <w:rPr>
          <w:color w:val="auto"/>
          <w:highlight w:val="none"/>
        </w:rPr>
        <w:t>（7）技术标准和要求；</w:t>
      </w:r>
    </w:p>
    <w:p w14:paraId="4B8BD3B3">
      <w:pPr>
        <w:pStyle w:val="76"/>
        <w:spacing w:line="360" w:lineRule="auto"/>
        <w:ind w:firstLine="420" w:firstLineChars="200"/>
        <w:rPr>
          <w:color w:val="auto"/>
          <w:highlight w:val="none"/>
        </w:rPr>
      </w:pPr>
      <w:r>
        <w:rPr>
          <w:color w:val="auto"/>
          <w:highlight w:val="none"/>
        </w:rPr>
        <w:t>（8）投标文件格式；</w:t>
      </w:r>
    </w:p>
    <w:p w14:paraId="57ED7442">
      <w:pPr>
        <w:pStyle w:val="76"/>
        <w:widowControl w:val="0"/>
        <w:spacing w:line="360" w:lineRule="auto"/>
        <w:ind w:firstLine="420" w:firstLineChars="200"/>
        <w:rPr>
          <w:color w:val="auto"/>
          <w:highlight w:val="none"/>
        </w:rPr>
      </w:pPr>
      <w:r>
        <w:rPr>
          <w:color w:val="auto"/>
          <w:highlight w:val="none"/>
        </w:rPr>
        <w:t>（9）投标人须知前附表规定的其他材料。</w:t>
      </w:r>
    </w:p>
    <w:p w14:paraId="5B415606">
      <w:pPr>
        <w:pStyle w:val="76"/>
        <w:widowControl w:val="0"/>
        <w:spacing w:line="360" w:lineRule="auto"/>
        <w:ind w:firstLine="420" w:firstLineChars="200"/>
        <w:rPr>
          <w:color w:val="auto"/>
          <w:highlight w:val="none"/>
        </w:rPr>
      </w:pPr>
      <w:r>
        <w:rPr>
          <w:color w:val="auto"/>
          <w:highlight w:val="none"/>
        </w:rPr>
        <w:t>根据本</w:t>
      </w:r>
      <w:r>
        <w:rPr>
          <w:rFonts w:hint="eastAsia"/>
          <w:color w:val="auto"/>
          <w:highlight w:val="none"/>
        </w:rPr>
        <w:t>须知</w:t>
      </w:r>
      <w:r>
        <w:rPr>
          <w:color w:val="auto"/>
          <w:highlight w:val="none"/>
        </w:rPr>
        <w:t xml:space="preserve">第2.2 </w:t>
      </w:r>
      <w:r>
        <w:rPr>
          <w:rFonts w:hint="eastAsia"/>
          <w:color w:val="auto"/>
          <w:highlight w:val="none"/>
        </w:rPr>
        <w:t>项</w:t>
      </w:r>
      <w:r>
        <w:rPr>
          <w:color w:val="auto"/>
          <w:highlight w:val="none"/>
        </w:rPr>
        <w:t>对招标文件所作的澄清和修改，构成招标文件的组成部分。</w:t>
      </w:r>
    </w:p>
    <w:p w14:paraId="0BC70261">
      <w:pPr>
        <w:pStyle w:val="5"/>
        <w:rPr>
          <w:rFonts w:ascii="Times New Roman" w:hAnsi="Times New Roman" w:eastAsia="黑体"/>
          <w:b w:val="0"/>
          <w:bCs w:val="0"/>
          <w:color w:val="auto"/>
          <w:sz w:val="24"/>
          <w:highlight w:val="none"/>
        </w:rPr>
      </w:pPr>
      <w:bookmarkStart w:id="160" w:name="_Toc300678015"/>
      <w:r>
        <w:rPr>
          <w:rFonts w:ascii="Times New Roman" w:hAnsi="Times New Roman" w:eastAsia="黑体"/>
          <w:b w:val="0"/>
          <w:bCs w:val="0"/>
          <w:color w:val="auto"/>
          <w:sz w:val="24"/>
          <w:highlight w:val="none"/>
        </w:rPr>
        <w:t>2.2 招标文件的澄清</w:t>
      </w:r>
      <w:bookmarkEnd w:id="160"/>
      <w:r>
        <w:rPr>
          <w:rFonts w:ascii="Times New Roman" w:hAnsi="Times New Roman" w:eastAsia="黑体"/>
          <w:b w:val="0"/>
          <w:bCs w:val="0"/>
          <w:color w:val="auto"/>
          <w:sz w:val="24"/>
          <w:highlight w:val="none"/>
        </w:rPr>
        <w:t>和修改</w:t>
      </w:r>
    </w:p>
    <w:p w14:paraId="2CC30A8B">
      <w:pPr>
        <w:pStyle w:val="76"/>
        <w:widowControl w:val="0"/>
        <w:spacing w:line="360" w:lineRule="auto"/>
        <w:ind w:firstLine="420" w:firstLineChars="200"/>
        <w:rPr>
          <w:color w:val="auto"/>
          <w:highlight w:val="none"/>
        </w:rPr>
      </w:pPr>
      <w:r>
        <w:rPr>
          <w:color w:val="auto"/>
          <w:highlight w:val="none"/>
        </w:rPr>
        <w:t>2.2.1  投标人应仔细阅读和检查招标文件的全部内容。如有疑问，应当在投标人须知前附表规定的时间之前，按照规定的方式，要求招标人澄清。</w:t>
      </w:r>
    </w:p>
    <w:p w14:paraId="4E602493">
      <w:pPr>
        <w:pStyle w:val="76"/>
        <w:widowControl w:val="0"/>
        <w:spacing w:line="360" w:lineRule="auto"/>
        <w:ind w:firstLine="420" w:firstLineChars="200"/>
        <w:rPr>
          <w:color w:val="auto"/>
          <w:highlight w:val="none"/>
        </w:rPr>
      </w:pPr>
      <w:r>
        <w:rPr>
          <w:color w:val="auto"/>
          <w:highlight w:val="none"/>
        </w:rPr>
        <w:t>2.2.2  招标文件的澄清或者修改的内容可能影响投标文件编制的，由招标人在投标人须知前附表规定的投标截止时间至少15日前，在投标人须知前附表规定的媒介发布；</w:t>
      </w:r>
      <w:r>
        <w:rPr>
          <w:color w:val="auto"/>
          <w:szCs w:val="20"/>
          <w:highlight w:val="none"/>
        </w:rPr>
        <w:t>不足15日</w:t>
      </w:r>
      <w:r>
        <w:rPr>
          <w:color w:val="auto"/>
          <w:highlight w:val="none"/>
        </w:rPr>
        <w:t>，相应</w:t>
      </w:r>
      <w:r>
        <w:rPr>
          <w:color w:val="auto"/>
          <w:szCs w:val="20"/>
          <w:highlight w:val="none"/>
        </w:rPr>
        <w:t>顺延</w:t>
      </w:r>
      <w:r>
        <w:rPr>
          <w:color w:val="auto"/>
          <w:highlight w:val="none"/>
        </w:rPr>
        <w:t>投标截止时间。</w:t>
      </w:r>
    </w:p>
    <w:p w14:paraId="5674148E">
      <w:pPr>
        <w:pStyle w:val="76"/>
        <w:widowControl w:val="0"/>
        <w:spacing w:line="360" w:lineRule="auto"/>
        <w:ind w:firstLine="420" w:firstLineChars="200"/>
        <w:rPr>
          <w:color w:val="auto"/>
          <w:highlight w:val="none"/>
        </w:rPr>
      </w:pPr>
      <w:r>
        <w:rPr>
          <w:color w:val="auto"/>
          <w:highlight w:val="none"/>
        </w:rPr>
        <w:t>2.2.3招标文件澄清或者修改的内容由投标人在投标人须知前附表规定的媒介上自行查阅。</w:t>
      </w:r>
    </w:p>
    <w:p w14:paraId="531B11F1">
      <w:pPr>
        <w:pStyle w:val="3"/>
        <w:spacing w:before="0" w:after="0" w:line="360" w:lineRule="auto"/>
        <w:rPr>
          <w:rFonts w:ascii="Times New Roman" w:hAnsi="Times New Roman" w:eastAsia="黑体"/>
          <w:b w:val="0"/>
          <w:bCs w:val="0"/>
          <w:color w:val="auto"/>
          <w:sz w:val="30"/>
          <w:highlight w:val="none"/>
        </w:rPr>
      </w:pPr>
      <w:bookmarkStart w:id="161" w:name="_Toc80006091"/>
      <w:bookmarkStart w:id="162" w:name="_Toc300678017"/>
      <w:bookmarkStart w:id="163" w:name="_Toc9178520"/>
      <w:bookmarkStart w:id="164" w:name="_Toc211498597"/>
      <w:r>
        <w:rPr>
          <w:rFonts w:ascii="Times New Roman" w:hAnsi="Times New Roman" w:eastAsia="黑体"/>
          <w:b w:val="0"/>
          <w:bCs w:val="0"/>
          <w:color w:val="auto"/>
          <w:sz w:val="30"/>
          <w:highlight w:val="none"/>
        </w:rPr>
        <w:t>3.投标文件</w:t>
      </w:r>
      <w:bookmarkEnd w:id="161"/>
      <w:bookmarkEnd w:id="162"/>
      <w:bookmarkEnd w:id="163"/>
      <w:bookmarkEnd w:id="164"/>
    </w:p>
    <w:p w14:paraId="5FF0B2B5">
      <w:pPr>
        <w:pStyle w:val="5"/>
        <w:rPr>
          <w:rFonts w:ascii="Times New Roman" w:hAnsi="Times New Roman" w:eastAsia="黑体"/>
          <w:b w:val="0"/>
          <w:bCs w:val="0"/>
          <w:color w:val="auto"/>
          <w:sz w:val="24"/>
          <w:highlight w:val="none"/>
        </w:rPr>
      </w:pPr>
      <w:bookmarkStart w:id="165" w:name="_Toc300678018"/>
      <w:r>
        <w:rPr>
          <w:rFonts w:ascii="Times New Roman" w:hAnsi="Times New Roman" w:eastAsia="黑体"/>
          <w:b w:val="0"/>
          <w:bCs w:val="0"/>
          <w:color w:val="auto"/>
          <w:sz w:val="24"/>
          <w:highlight w:val="none"/>
        </w:rPr>
        <w:t>3.1 投标文件的组成</w:t>
      </w:r>
      <w:bookmarkEnd w:id="165"/>
    </w:p>
    <w:p w14:paraId="350FDC2E">
      <w:pPr>
        <w:pStyle w:val="76"/>
        <w:widowControl w:val="0"/>
        <w:spacing w:line="360" w:lineRule="auto"/>
        <w:ind w:firstLine="420" w:firstLineChars="200"/>
        <w:rPr>
          <w:color w:val="auto"/>
          <w:kern w:val="0"/>
          <w:highlight w:val="none"/>
        </w:rPr>
      </w:pPr>
      <w:r>
        <w:rPr>
          <w:color w:val="auto"/>
          <w:highlight w:val="none"/>
        </w:rPr>
        <w:t>3.1.1  投标文件由投标函</w:t>
      </w:r>
      <w:r>
        <w:rPr>
          <w:rFonts w:hint="eastAsia"/>
          <w:color w:val="auto"/>
          <w:highlight w:val="none"/>
        </w:rPr>
        <w:t>及附录</w:t>
      </w:r>
      <w:r>
        <w:rPr>
          <w:color w:val="auto"/>
          <w:highlight w:val="none"/>
        </w:rPr>
        <w:t>、</w:t>
      </w:r>
      <w:r>
        <w:rPr>
          <w:rFonts w:hint="eastAsia"/>
          <w:color w:val="auto"/>
          <w:highlight w:val="none"/>
        </w:rPr>
        <w:t>商务部分</w:t>
      </w:r>
      <w:r>
        <w:rPr>
          <w:color w:val="auto"/>
          <w:highlight w:val="none"/>
        </w:rPr>
        <w:t>、</w:t>
      </w:r>
      <w:r>
        <w:rPr>
          <w:rFonts w:hint="eastAsia"/>
          <w:color w:val="auto"/>
          <w:highlight w:val="none"/>
        </w:rPr>
        <w:t>资格审查资料、已标价工程量清单、技术部分（</w:t>
      </w:r>
      <w:r>
        <w:rPr>
          <w:color w:val="auto"/>
          <w:highlight w:val="none"/>
        </w:rPr>
        <w:t>施工组织设计</w:t>
      </w:r>
      <w:r>
        <w:rPr>
          <w:rFonts w:hint="eastAsia"/>
          <w:color w:val="auto"/>
          <w:highlight w:val="none"/>
        </w:rPr>
        <w:t>）五</w:t>
      </w:r>
      <w:r>
        <w:rPr>
          <w:color w:val="auto"/>
          <w:highlight w:val="none"/>
        </w:rPr>
        <w:t>部分内容</w:t>
      </w:r>
      <w:r>
        <w:rPr>
          <w:rFonts w:hint="eastAsia"/>
          <w:color w:val="auto"/>
          <w:highlight w:val="none"/>
        </w:rPr>
        <w:t>以及投标人须知前附表规定的其他资料</w:t>
      </w:r>
      <w:r>
        <w:rPr>
          <w:color w:val="auto"/>
          <w:highlight w:val="none"/>
        </w:rPr>
        <w:t>组成，具体内容详见第八章投标文件格式。</w:t>
      </w:r>
    </w:p>
    <w:p w14:paraId="295B2980">
      <w:pPr>
        <w:pStyle w:val="76"/>
        <w:widowControl w:val="0"/>
        <w:spacing w:line="360" w:lineRule="auto"/>
        <w:ind w:firstLine="420" w:firstLineChars="200"/>
        <w:rPr>
          <w:color w:val="auto"/>
          <w:highlight w:val="none"/>
        </w:rPr>
      </w:pPr>
      <w:r>
        <w:rPr>
          <w:color w:val="auto"/>
          <w:highlight w:val="none"/>
        </w:rPr>
        <w:t>3.1.2  投标人须知前附表规定不接受联合体投标的，或投标人没有组成联合体的，投标文件不包</w:t>
      </w:r>
      <w:r>
        <w:rPr>
          <w:rFonts w:hint="eastAsia"/>
          <w:color w:val="auto"/>
          <w:highlight w:val="none"/>
        </w:rPr>
        <w:t>括联合体协议书。</w:t>
      </w:r>
    </w:p>
    <w:p w14:paraId="0AA7FFF7">
      <w:pPr>
        <w:pStyle w:val="5"/>
        <w:rPr>
          <w:rFonts w:ascii="Times New Roman" w:hAnsi="Times New Roman" w:eastAsia="黑体"/>
          <w:b w:val="0"/>
          <w:bCs w:val="0"/>
          <w:color w:val="auto"/>
          <w:sz w:val="24"/>
          <w:highlight w:val="none"/>
        </w:rPr>
      </w:pPr>
      <w:bookmarkStart w:id="166" w:name="_Toc300678019"/>
      <w:r>
        <w:rPr>
          <w:rFonts w:ascii="Times New Roman" w:hAnsi="Times New Roman" w:eastAsia="黑体"/>
          <w:b w:val="0"/>
          <w:bCs w:val="0"/>
          <w:color w:val="auto"/>
          <w:sz w:val="24"/>
          <w:highlight w:val="none"/>
        </w:rPr>
        <w:t>3.2 投标报价</w:t>
      </w:r>
      <w:bookmarkEnd w:id="166"/>
    </w:p>
    <w:p w14:paraId="50401DA1">
      <w:pPr>
        <w:pStyle w:val="76"/>
        <w:widowControl w:val="0"/>
        <w:spacing w:line="360" w:lineRule="auto"/>
        <w:ind w:firstLine="420" w:firstLineChars="200"/>
        <w:rPr>
          <w:color w:val="auto"/>
          <w:highlight w:val="none"/>
        </w:rPr>
      </w:pPr>
      <w:r>
        <w:rPr>
          <w:color w:val="auto"/>
          <w:highlight w:val="none"/>
        </w:rPr>
        <w:t>3.2.1  投标人应按第五章“工程量清单”的要求填写相应表格。</w:t>
      </w:r>
    </w:p>
    <w:p w14:paraId="3B2B4BE2">
      <w:pPr>
        <w:pStyle w:val="76"/>
        <w:widowControl w:val="0"/>
        <w:spacing w:line="360" w:lineRule="auto"/>
        <w:ind w:firstLine="420" w:firstLineChars="200"/>
        <w:rPr>
          <w:color w:val="auto"/>
          <w:highlight w:val="none"/>
        </w:rPr>
      </w:pPr>
      <w:r>
        <w:rPr>
          <w:color w:val="auto"/>
          <w:highlight w:val="none"/>
        </w:rPr>
        <w:t>3.2.2  投标人在投标截止时间前修改投标函中的投标总报价，应同时修改其按第五章“工程量清单”要求填写的相应表格中的报价。此修改应当符合本</w:t>
      </w:r>
      <w:r>
        <w:rPr>
          <w:rFonts w:hint="eastAsia"/>
          <w:color w:val="auto"/>
          <w:highlight w:val="none"/>
        </w:rPr>
        <w:t>须知</w:t>
      </w:r>
      <w:r>
        <w:rPr>
          <w:color w:val="auto"/>
          <w:highlight w:val="none"/>
        </w:rPr>
        <w:t xml:space="preserve">第4.3 </w:t>
      </w:r>
      <w:r>
        <w:rPr>
          <w:rFonts w:hint="eastAsia"/>
          <w:color w:val="auto"/>
          <w:highlight w:val="none"/>
        </w:rPr>
        <w:t>项</w:t>
      </w:r>
      <w:r>
        <w:rPr>
          <w:color w:val="auto"/>
          <w:highlight w:val="none"/>
        </w:rPr>
        <w:t>的有关要求。</w:t>
      </w:r>
    </w:p>
    <w:p w14:paraId="10DA6D36">
      <w:pPr>
        <w:pStyle w:val="5"/>
        <w:rPr>
          <w:rFonts w:ascii="Times New Roman" w:hAnsi="Times New Roman" w:eastAsia="黑体"/>
          <w:b w:val="0"/>
          <w:bCs w:val="0"/>
          <w:color w:val="auto"/>
          <w:sz w:val="24"/>
          <w:highlight w:val="none"/>
        </w:rPr>
      </w:pPr>
      <w:bookmarkStart w:id="167" w:name="_Toc300678020"/>
      <w:r>
        <w:rPr>
          <w:rFonts w:ascii="Times New Roman" w:hAnsi="Times New Roman" w:eastAsia="黑体"/>
          <w:b w:val="0"/>
          <w:bCs w:val="0"/>
          <w:color w:val="auto"/>
          <w:sz w:val="24"/>
          <w:highlight w:val="none"/>
        </w:rPr>
        <w:t>3.3 投标有效期</w:t>
      </w:r>
      <w:bookmarkEnd w:id="167"/>
    </w:p>
    <w:p w14:paraId="5A7F9D63">
      <w:pPr>
        <w:pStyle w:val="76"/>
        <w:widowControl w:val="0"/>
        <w:spacing w:line="360" w:lineRule="auto"/>
        <w:ind w:firstLine="420" w:firstLineChars="200"/>
        <w:rPr>
          <w:color w:val="auto"/>
          <w:highlight w:val="none"/>
        </w:rPr>
      </w:pPr>
      <w:r>
        <w:rPr>
          <w:color w:val="auto"/>
          <w:highlight w:val="none"/>
        </w:rPr>
        <w:t>3.3.1  在投标人须知前附表规定的投标有效期内，投标人不得要求撤销或修改其投标文件。</w:t>
      </w:r>
    </w:p>
    <w:p w14:paraId="6B1C8549">
      <w:pPr>
        <w:pStyle w:val="76"/>
        <w:widowControl w:val="0"/>
        <w:spacing w:line="360" w:lineRule="auto"/>
        <w:ind w:firstLine="420" w:firstLineChars="200"/>
        <w:rPr>
          <w:color w:val="auto"/>
          <w:highlight w:val="none"/>
        </w:rPr>
      </w:pPr>
      <w:r>
        <w:rPr>
          <w:color w:val="auto"/>
          <w:highlight w:val="none"/>
        </w:rPr>
        <w:t>3.3.2  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14:paraId="7CCEC5D8">
      <w:pPr>
        <w:pStyle w:val="5"/>
        <w:ind w:firstLine="480" w:firstLineChars="200"/>
        <w:rPr>
          <w:rFonts w:ascii="Times New Roman" w:hAnsi="Times New Roman" w:eastAsia="黑体"/>
          <w:b w:val="0"/>
          <w:bCs w:val="0"/>
          <w:color w:val="auto"/>
          <w:sz w:val="24"/>
          <w:highlight w:val="none"/>
        </w:rPr>
      </w:pPr>
      <w:bookmarkStart w:id="168" w:name="_Toc300678021"/>
      <w:r>
        <w:rPr>
          <w:rFonts w:ascii="Times New Roman" w:hAnsi="Times New Roman" w:eastAsia="黑体"/>
          <w:b w:val="0"/>
          <w:bCs w:val="0"/>
          <w:color w:val="auto"/>
          <w:sz w:val="24"/>
          <w:highlight w:val="none"/>
        </w:rPr>
        <w:t>3.4 投标保证</w:t>
      </w:r>
      <w:bookmarkEnd w:id="168"/>
    </w:p>
    <w:p w14:paraId="06015203">
      <w:pPr>
        <w:spacing w:line="360" w:lineRule="auto"/>
        <w:ind w:firstLine="420" w:firstLineChars="200"/>
        <w:rPr>
          <w:color w:val="auto"/>
          <w:szCs w:val="21"/>
          <w:highlight w:val="none"/>
        </w:rPr>
      </w:pPr>
      <w:r>
        <w:rPr>
          <w:color w:val="auto"/>
          <w:highlight w:val="none"/>
        </w:rPr>
        <w:t xml:space="preserve">3.4.1 </w:t>
      </w:r>
      <w:r>
        <w:rPr>
          <w:rFonts w:hint="eastAsia"/>
          <w:color w:val="auto"/>
          <w:highlight w:val="none"/>
        </w:rPr>
        <w:t>投标人在递交投标文件的同时，</w:t>
      </w:r>
      <w:r>
        <w:rPr>
          <w:color w:val="auto"/>
          <w:highlight w:val="none"/>
        </w:rPr>
        <w:t>应当按照投标人须知前附表的规定递交投标担保</w:t>
      </w:r>
      <w:r>
        <w:rPr>
          <w:rFonts w:hint="eastAsia"/>
          <w:color w:val="auto"/>
          <w:highlight w:val="none"/>
        </w:rPr>
        <w:t>，并作为投标文件的组成部分</w:t>
      </w:r>
      <w:r>
        <w:rPr>
          <w:color w:val="auto"/>
          <w:highlight w:val="none"/>
        </w:rPr>
        <w:t>。</w:t>
      </w:r>
    </w:p>
    <w:p w14:paraId="2A46A002">
      <w:pPr>
        <w:pStyle w:val="76"/>
        <w:widowControl w:val="0"/>
        <w:spacing w:line="360" w:lineRule="auto"/>
        <w:ind w:firstLine="420" w:firstLineChars="200"/>
        <w:rPr>
          <w:color w:val="auto"/>
          <w:highlight w:val="none"/>
        </w:rPr>
      </w:pPr>
      <w:r>
        <w:rPr>
          <w:color w:val="auto"/>
          <w:highlight w:val="none"/>
        </w:rPr>
        <w:t>3.4.2  投标人不按本</w:t>
      </w:r>
      <w:r>
        <w:rPr>
          <w:rFonts w:hint="eastAsia"/>
          <w:color w:val="auto"/>
          <w:highlight w:val="none"/>
        </w:rPr>
        <w:t>须知</w:t>
      </w:r>
      <w:r>
        <w:rPr>
          <w:color w:val="auto"/>
          <w:highlight w:val="none"/>
        </w:rPr>
        <w:t>第3.4.1 项要求提交投标担保的，应当否决其投标。</w:t>
      </w:r>
    </w:p>
    <w:p w14:paraId="4694921B">
      <w:pPr>
        <w:pStyle w:val="76"/>
        <w:widowControl w:val="0"/>
        <w:spacing w:line="360" w:lineRule="auto"/>
        <w:ind w:firstLine="420" w:firstLineChars="200"/>
        <w:rPr>
          <w:color w:val="auto"/>
          <w:highlight w:val="none"/>
        </w:rPr>
      </w:pPr>
      <w:r>
        <w:rPr>
          <w:color w:val="auto"/>
          <w:highlight w:val="none"/>
        </w:rPr>
        <w:t xml:space="preserve">3.4.3 </w:t>
      </w:r>
      <w:r>
        <w:rPr>
          <w:color w:val="auto"/>
          <w:szCs w:val="32"/>
          <w:highlight w:val="none"/>
          <w:shd w:val="clear" w:color="auto" w:fill="FFFFFF"/>
        </w:rPr>
        <w:t>未中标的投标人的投标担保</w:t>
      </w:r>
      <w:r>
        <w:rPr>
          <w:color w:val="auto"/>
          <w:highlight w:val="none"/>
        </w:rPr>
        <w:t>于中标通知书发出之日起5个工作日内退还。</w:t>
      </w:r>
    </w:p>
    <w:p w14:paraId="73B7A432">
      <w:pPr>
        <w:pStyle w:val="76"/>
        <w:widowControl w:val="0"/>
        <w:spacing w:line="360" w:lineRule="auto"/>
        <w:ind w:firstLine="420" w:firstLineChars="200"/>
        <w:rPr>
          <w:color w:val="auto"/>
          <w:highlight w:val="none"/>
        </w:rPr>
      </w:pPr>
      <w:r>
        <w:rPr>
          <w:color w:val="auto"/>
          <w:highlight w:val="none"/>
        </w:rPr>
        <w:t>3.4.4 中标人的投标担保在招标人与中标人签订合同后5 个工作日内退还。</w:t>
      </w:r>
    </w:p>
    <w:p w14:paraId="106E7266">
      <w:pPr>
        <w:pStyle w:val="76"/>
        <w:widowControl w:val="0"/>
        <w:spacing w:line="360" w:lineRule="auto"/>
        <w:ind w:firstLine="420" w:firstLineChars="200"/>
        <w:rPr>
          <w:color w:val="auto"/>
          <w:szCs w:val="32"/>
          <w:highlight w:val="none"/>
          <w:shd w:val="clear" w:color="auto" w:fill="FFFFFF"/>
        </w:rPr>
      </w:pPr>
      <w:r>
        <w:rPr>
          <w:color w:val="auto"/>
          <w:highlight w:val="none"/>
        </w:rPr>
        <w:t>3.4.5</w:t>
      </w:r>
      <w:r>
        <w:rPr>
          <w:color w:val="auto"/>
          <w:szCs w:val="32"/>
          <w:highlight w:val="none"/>
          <w:shd w:val="clear" w:color="auto" w:fill="FFFFFF"/>
        </w:rPr>
        <w:t>在投标截止时间前撤回已提交的投标文件的投标人的投标担保，自收到投标人书面撤回通知之日起5个工作日内退还；</w:t>
      </w:r>
    </w:p>
    <w:p w14:paraId="7343A89B">
      <w:pPr>
        <w:spacing w:line="360" w:lineRule="auto"/>
        <w:ind w:firstLine="420" w:firstLineChars="200"/>
        <w:rPr>
          <w:color w:val="auto"/>
          <w:highlight w:val="none"/>
        </w:rPr>
      </w:pPr>
      <w:r>
        <w:rPr>
          <w:color w:val="auto"/>
          <w:szCs w:val="32"/>
          <w:highlight w:val="none"/>
          <w:shd w:val="clear" w:color="auto" w:fill="FFFFFF"/>
        </w:rPr>
        <w:t>3.4.6 不接受招标人延长投标有效期的投标人的投标担保，自收到投标人不予接受延长投标有效期的书面通知之日起5个工作日内退还。</w:t>
      </w:r>
      <w:r>
        <w:rPr>
          <w:color w:val="auto"/>
          <w:highlight w:val="none"/>
        </w:rPr>
        <w:t xml:space="preserve">   </w:t>
      </w:r>
    </w:p>
    <w:p w14:paraId="21F7510D">
      <w:pPr>
        <w:pStyle w:val="76"/>
        <w:widowControl w:val="0"/>
        <w:spacing w:line="360" w:lineRule="auto"/>
        <w:ind w:firstLine="420" w:firstLineChars="200"/>
        <w:rPr>
          <w:color w:val="auto"/>
          <w:highlight w:val="none"/>
        </w:rPr>
      </w:pPr>
      <w:r>
        <w:rPr>
          <w:color w:val="auto"/>
          <w:highlight w:val="none"/>
        </w:rPr>
        <w:t>3.4.7 有下列情形之一的，将对投标人以现金形式提交的投标担保不予退还；采用投标承诺的，将提请住房城乡建设主管部门给予投标人不良行为记录；采用保函的，将要求保函开立人支付经济补偿金。</w:t>
      </w:r>
    </w:p>
    <w:p w14:paraId="39AF8A46">
      <w:pPr>
        <w:pStyle w:val="76"/>
        <w:widowControl w:val="0"/>
        <w:spacing w:line="360" w:lineRule="auto"/>
        <w:ind w:firstLine="420" w:firstLineChars="200"/>
        <w:rPr>
          <w:color w:val="auto"/>
          <w:highlight w:val="none"/>
        </w:rPr>
      </w:pPr>
      <w:r>
        <w:rPr>
          <w:color w:val="auto"/>
          <w:highlight w:val="none"/>
        </w:rPr>
        <w:t>（1）</w:t>
      </w:r>
      <w:r>
        <w:rPr>
          <w:rFonts w:hint="eastAsia" w:ascii="宋体" w:hAnsi="宋体"/>
          <w:color w:val="auto"/>
          <w:highlight w:val="none"/>
        </w:rPr>
        <w:t>投标人在规定的投标有效期内撤销或修改其投标文件；</w:t>
      </w:r>
    </w:p>
    <w:p w14:paraId="22ED54C2">
      <w:pPr>
        <w:pStyle w:val="76"/>
        <w:widowControl w:val="0"/>
        <w:spacing w:line="360" w:lineRule="auto"/>
        <w:ind w:firstLine="420" w:firstLineChars="200"/>
        <w:rPr>
          <w:color w:val="auto"/>
          <w:highlight w:val="none"/>
          <w:u w:val="single"/>
        </w:rPr>
      </w:pPr>
      <w:r>
        <w:rPr>
          <w:color w:val="auto"/>
          <w:highlight w:val="none"/>
        </w:rPr>
        <w:t>（2）投标人被确定为中标人后，无正当理由不与招标人订立合同，或者在签订合同时向招标人提出附加条件，或者不按招标文件要求提交履约担保。</w:t>
      </w:r>
    </w:p>
    <w:p w14:paraId="04CA8627">
      <w:pPr>
        <w:pStyle w:val="5"/>
        <w:rPr>
          <w:rFonts w:ascii="Times New Roman" w:hAnsi="Times New Roman" w:eastAsia="黑体"/>
          <w:b w:val="0"/>
          <w:bCs w:val="0"/>
          <w:color w:val="auto"/>
          <w:sz w:val="24"/>
          <w:highlight w:val="none"/>
        </w:rPr>
      </w:pPr>
      <w:bookmarkStart w:id="169" w:name="_Toc300678022"/>
      <w:r>
        <w:rPr>
          <w:rFonts w:ascii="Times New Roman" w:hAnsi="Times New Roman" w:eastAsia="黑体"/>
          <w:b w:val="0"/>
          <w:bCs w:val="0"/>
          <w:color w:val="auto"/>
          <w:sz w:val="24"/>
          <w:highlight w:val="none"/>
        </w:rPr>
        <w:t>3.5资格审查资料</w:t>
      </w:r>
    </w:p>
    <w:bookmarkEnd w:id="169"/>
    <w:p w14:paraId="32AA69AD">
      <w:pPr>
        <w:pStyle w:val="5"/>
        <w:ind w:firstLine="420" w:firstLineChars="200"/>
        <w:rPr>
          <w:rFonts w:ascii="Times New Roman" w:hAnsi="Times New Roman"/>
          <w:b w:val="0"/>
          <w:bCs w:val="0"/>
          <w:color w:val="auto"/>
          <w:highlight w:val="none"/>
        </w:rPr>
      </w:pPr>
      <w:bookmarkStart w:id="170" w:name="_Toc300678023"/>
      <w:r>
        <w:rPr>
          <w:rFonts w:ascii="Times New Roman" w:hAnsi="Times New Roman"/>
          <w:b w:val="0"/>
          <w:bCs w:val="0"/>
          <w:color w:val="auto"/>
          <w:szCs w:val="21"/>
          <w:highlight w:val="none"/>
        </w:rPr>
        <w:t>采用资格预审方式的，</w:t>
      </w:r>
      <w:bookmarkEnd w:id="170"/>
      <w:r>
        <w:rPr>
          <w:rFonts w:ascii="Times New Roman" w:hAnsi="Times New Roman" w:eastAsia="黑体"/>
          <w:b w:val="0"/>
          <w:bCs w:val="0"/>
          <w:color w:val="auto"/>
          <w:sz w:val="24"/>
          <w:highlight w:val="none"/>
        </w:rPr>
        <w:t xml:space="preserve"> </w:t>
      </w:r>
      <w:r>
        <w:rPr>
          <w:rFonts w:ascii="Times New Roman" w:hAnsi="Times New Roman"/>
          <w:b w:val="0"/>
          <w:bCs w:val="0"/>
          <w:color w:val="auto"/>
          <w:highlight w:val="none"/>
        </w:rPr>
        <w:t>投标人在编制投标文件时，应</w:t>
      </w:r>
      <w:r>
        <w:rPr>
          <w:rFonts w:hint="eastAsia" w:ascii="Times New Roman" w:hAnsi="Times New Roman"/>
          <w:b w:val="0"/>
          <w:bCs w:val="0"/>
          <w:color w:val="auto"/>
          <w:highlight w:val="none"/>
        </w:rPr>
        <w:t>按新情况</w:t>
      </w:r>
      <w:r>
        <w:rPr>
          <w:rFonts w:ascii="Times New Roman" w:hAnsi="Times New Roman"/>
          <w:b w:val="0"/>
          <w:bCs w:val="0"/>
          <w:color w:val="auto"/>
          <w:highlight w:val="none"/>
        </w:rPr>
        <w:t>更新或补充其在申请资格预审时提供的资料，以证实其</w:t>
      </w:r>
      <w:r>
        <w:rPr>
          <w:rFonts w:hint="eastAsia" w:ascii="Times New Roman" w:hAnsi="Times New Roman"/>
          <w:b w:val="0"/>
          <w:bCs w:val="0"/>
          <w:color w:val="auto"/>
          <w:highlight w:val="none"/>
        </w:rPr>
        <w:t>各项</w:t>
      </w:r>
      <w:r>
        <w:rPr>
          <w:rFonts w:ascii="Times New Roman" w:hAnsi="Times New Roman"/>
          <w:b w:val="0"/>
          <w:bCs w:val="0"/>
          <w:color w:val="auto"/>
          <w:highlight w:val="none"/>
        </w:rPr>
        <w:t>资格条件</w:t>
      </w:r>
      <w:r>
        <w:rPr>
          <w:rFonts w:hint="eastAsia" w:ascii="Times New Roman" w:hAnsi="Times New Roman"/>
          <w:b w:val="0"/>
          <w:bCs w:val="0"/>
          <w:color w:val="auto"/>
          <w:highlight w:val="none"/>
        </w:rPr>
        <w:t>仍能</w:t>
      </w:r>
      <w:r>
        <w:rPr>
          <w:rFonts w:ascii="Times New Roman" w:hAnsi="Times New Roman"/>
          <w:b w:val="0"/>
          <w:bCs w:val="0"/>
          <w:color w:val="auto"/>
          <w:highlight w:val="none"/>
        </w:rPr>
        <w:t>继续满足资格预审文件的要求，具备承担本招标项目的资质条件、能力和信誉。</w:t>
      </w:r>
    </w:p>
    <w:p w14:paraId="7A58426B">
      <w:pPr>
        <w:pStyle w:val="5"/>
        <w:ind w:firstLine="420" w:firstLineChars="200"/>
        <w:rPr>
          <w:rFonts w:ascii="Times New Roman" w:hAnsi="Times New Roman" w:eastAsia="黑体"/>
          <w:b w:val="0"/>
          <w:bCs w:val="0"/>
          <w:color w:val="auto"/>
          <w:sz w:val="24"/>
          <w:highlight w:val="none"/>
        </w:rPr>
      </w:pPr>
      <w:r>
        <w:rPr>
          <w:rFonts w:hint="eastAsia" w:ascii="Times New Roman" w:hAnsi="Times New Roman"/>
          <w:b w:val="0"/>
          <w:bCs w:val="0"/>
          <w:color w:val="auto"/>
          <w:szCs w:val="21"/>
          <w:highlight w:val="none"/>
        </w:rPr>
        <w:t>采用资格后审方式的，按照本须知第</w:t>
      </w:r>
      <w:r>
        <w:rPr>
          <w:rFonts w:ascii="Times New Roman" w:hAnsi="Times New Roman"/>
          <w:b w:val="0"/>
          <w:bCs w:val="0"/>
          <w:color w:val="auto"/>
          <w:szCs w:val="21"/>
          <w:highlight w:val="none"/>
        </w:rPr>
        <w:t>1.4.1</w:t>
      </w:r>
      <w:r>
        <w:rPr>
          <w:rFonts w:hint="eastAsia" w:ascii="Times New Roman" w:hAnsi="Times New Roman"/>
          <w:b w:val="0"/>
          <w:bCs w:val="0"/>
          <w:color w:val="auto"/>
          <w:szCs w:val="21"/>
          <w:highlight w:val="none"/>
        </w:rPr>
        <w:t>项及第三章评标办法“资格审查标准”的规定提交资格审查资料</w:t>
      </w:r>
      <w:r>
        <w:rPr>
          <w:rFonts w:hint="eastAsia" w:ascii="Times New Roman" w:hAnsi="Times New Roman"/>
          <w:b w:val="0"/>
          <w:bCs w:val="0"/>
          <w:color w:val="auto"/>
          <w:highlight w:val="none"/>
        </w:rPr>
        <w:t>。</w:t>
      </w:r>
    </w:p>
    <w:p w14:paraId="762078B9">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3.6 备选投标方案</w:t>
      </w:r>
    </w:p>
    <w:p w14:paraId="7F07689D">
      <w:pPr>
        <w:pStyle w:val="76"/>
        <w:widowControl w:val="0"/>
        <w:spacing w:line="360" w:lineRule="auto"/>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3B2C2805">
      <w:pPr>
        <w:pStyle w:val="5"/>
        <w:rPr>
          <w:rFonts w:ascii="Times New Roman" w:hAnsi="Times New Roman" w:eastAsia="黑体"/>
          <w:b w:val="0"/>
          <w:bCs w:val="0"/>
          <w:color w:val="auto"/>
          <w:sz w:val="24"/>
          <w:highlight w:val="none"/>
        </w:rPr>
      </w:pPr>
      <w:bookmarkStart w:id="171" w:name="_Toc300678025"/>
      <w:r>
        <w:rPr>
          <w:rFonts w:ascii="Times New Roman" w:hAnsi="Times New Roman" w:eastAsia="黑体"/>
          <w:b w:val="0"/>
          <w:bCs w:val="0"/>
          <w:color w:val="auto"/>
          <w:sz w:val="24"/>
          <w:highlight w:val="none"/>
        </w:rPr>
        <w:t>3.7 投标文件的编制</w:t>
      </w:r>
      <w:bookmarkEnd w:id="171"/>
    </w:p>
    <w:p w14:paraId="4DAD757D">
      <w:pPr>
        <w:pStyle w:val="76"/>
        <w:widowControl w:val="0"/>
        <w:spacing w:line="360" w:lineRule="auto"/>
        <w:ind w:firstLine="420" w:firstLineChars="200"/>
        <w:rPr>
          <w:color w:val="auto"/>
          <w:highlight w:val="none"/>
        </w:rPr>
      </w:pPr>
      <w:r>
        <w:rPr>
          <w:color w:val="auto"/>
          <w:highlight w:val="none"/>
        </w:rPr>
        <w:t>3.7.1  投标文件应按第八章“投标文件格式”编写。可以增加附页，作为投标文件的组成部分。其中，投标函附录在满足招标文件实质性要求的基础上，可以提出比招标文件要求更有利于招标人的承诺。</w:t>
      </w:r>
    </w:p>
    <w:p w14:paraId="5F2AF481">
      <w:pPr>
        <w:pStyle w:val="76"/>
        <w:widowControl w:val="0"/>
        <w:spacing w:line="360" w:lineRule="auto"/>
        <w:ind w:firstLine="420" w:firstLineChars="200"/>
        <w:rPr>
          <w:color w:val="auto"/>
          <w:highlight w:val="none"/>
        </w:rPr>
      </w:pPr>
      <w:r>
        <w:rPr>
          <w:color w:val="auto"/>
          <w:highlight w:val="none"/>
        </w:rPr>
        <w:t>3.7.2  投标文件应当对招标文件有关工期、投标有效期、质量要求、技术标准和要求、招标范围等内容作出实质性响应。</w:t>
      </w:r>
    </w:p>
    <w:p w14:paraId="639D67D2">
      <w:pPr>
        <w:pStyle w:val="76"/>
        <w:spacing w:line="360" w:lineRule="auto"/>
        <w:ind w:firstLine="420" w:firstLineChars="200"/>
        <w:rPr>
          <w:color w:val="auto"/>
          <w:highlight w:val="none"/>
        </w:rPr>
      </w:pPr>
      <w:r>
        <w:rPr>
          <w:color w:val="auto"/>
          <w:highlight w:val="none"/>
        </w:rPr>
        <w:t xml:space="preserve">3.7.3  </w:t>
      </w:r>
      <w:r>
        <w:rPr>
          <w:rFonts w:hint="eastAsia"/>
          <w:color w:val="auto"/>
          <w:highlight w:val="none"/>
        </w:rPr>
        <w:t>投标文件应使用</w:t>
      </w:r>
      <w:r>
        <w:rPr>
          <w:color w:val="auto"/>
          <w:highlight w:val="none"/>
        </w:rPr>
        <w:t>CA</w:t>
      </w:r>
      <w:r>
        <w:rPr>
          <w:rFonts w:hint="eastAsia"/>
          <w:color w:val="auto"/>
          <w:highlight w:val="none"/>
        </w:rPr>
        <w:t>数字证书加盖投标人的单位电子公章、法定代表人的个人电子公章或电子签名章、委托代理人的个人电子公章或电子签名章。签字或盖章的具体要求见投标人须知前附表3.7.3要求。</w:t>
      </w:r>
    </w:p>
    <w:p w14:paraId="5ABBCD35">
      <w:pPr>
        <w:pStyle w:val="3"/>
        <w:spacing w:before="0" w:after="0" w:line="360" w:lineRule="auto"/>
        <w:rPr>
          <w:rFonts w:ascii="Times New Roman" w:hAnsi="Times New Roman" w:eastAsia="黑体"/>
          <w:b w:val="0"/>
          <w:bCs w:val="0"/>
          <w:color w:val="auto"/>
          <w:sz w:val="30"/>
          <w:highlight w:val="none"/>
        </w:rPr>
      </w:pPr>
      <w:bookmarkStart w:id="172" w:name="_Toc9178521"/>
      <w:bookmarkStart w:id="173" w:name="_Toc211498598"/>
      <w:bookmarkStart w:id="174" w:name="_Toc80006092"/>
      <w:bookmarkStart w:id="175" w:name="_Toc300678026"/>
      <w:r>
        <w:rPr>
          <w:rFonts w:ascii="Times New Roman" w:hAnsi="Times New Roman" w:eastAsia="黑体"/>
          <w:b w:val="0"/>
          <w:bCs w:val="0"/>
          <w:color w:val="auto"/>
          <w:sz w:val="30"/>
          <w:highlight w:val="none"/>
        </w:rPr>
        <w:t>4.投标</w:t>
      </w:r>
      <w:bookmarkEnd w:id="172"/>
      <w:bookmarkEnd w:id="173"/>
      <w:bookmarkEnd w:id="174"/>
      <w:bookmarkEnd w:id="175"/>
    </w:p>
    <w:p w14:paraId="0BDF7519">
      <w:pPr>
        <w:pStyle w:val="5"/>
        <w:rPr>
          <w:rFonts w:ascii="Times New Roman" w:hAnsi="Times New Roman" w:eastAsia="黑体"/>
          <w:b w:val="0"/>
          <w:bCs w:val="0"/>
          <w:color w:val="auto"/>
          <w:sz w:val="24"/>
          <w:highlight w:val="none"/>
        </w:rPr>
      </w:pPr>
      <w:bookmarkStart w:id="176" w:name="_Toc300678027"/>
      <w:r>
        <w:rPr>
          <w:rFonts w:ascii="Times New Roman" w:hAnsi="Times New Roman" w:eastAsia="黑体"/>
          <w:b w:val="0"/>
          <w:bCs w:val="0"/>
          <w:color w:val="auto"/>
          <w:sz w:val="24"/>
          <w:highlight w:val="none"/>
        </w:rPr>
        <w:t>4.1 投标文件的密封和标记</w:t>
      </w:r>
      <w:bookmarkEnd w:id="176"/>
    </w:p>
    <w:p w14:paraId="160308DC">
      <w:pPr>
        <w:pStyle w:val="76"/>
        <w:widowControl w:val="0"/>
        <w:spacing w:line="360" w:lineRule="auto"/>
        <w:ind w:firstLine="420" w:firstLineChars="200"/>
        <w:rPr>
          <w:color w:val="auto"/>
          <w:highlight w:val="none"/>
        </w:rPr>
      </w:pPr>
      <w:r>
        <w:rPr>
          <w:color w:val="auto"/>
          <w:highlight w:val="none"/>
        </w:rPr>
        <w:t>4.1.1投标人应当按照投标人须知前附表的规定加密投标文件。</w:t>
      </w:r>
    </w:p>
    <w:p w14:paraId="4321B311">
      <w:pPr>
        <w:pStyle w:val="76"/>
        <w:widowControl w:val="0"/>
        <w:spacing w:line="360" w:lineRule="auto"/>
        <w:ind w:firstLine="420" w:firstLineChars="200"/>
        <w:rPr>
          <w:rFonts w:hint="eastAsia" w:ascii="宋体" w:hAnsi="宋体"/>
          <w:color w:val="auto"/>
          <w:highlight w:val="none"/>
        </w:rPr>
      </w:pPr>
      <w:r>
        <w:rPr>
          <w:color w:val="auto"/>
          <w:highlight w:val="none"/>
        </w:rPr>
        <w:t>4.1.2未按本</w:t>
      </w:r>
      <w:r>
        <w:rPr>
          <w:rFonts w:hint="eastAsia"/>
          <w:color w:val="auto"/>
          <w:highlight w:val="none"/>
        </w:rPr>
        <w:t>须知</w:t>
      </w:r>
      <w:r>
        <w:rPr>
          <w:color w:val="auto"/>
          <w:highlight w:val="none"/>
        </w:rPr>
        <w:t>第4.1.1 项要求</w:t>
      </w:r>
      <w:r>
        <w:rPr>
          <w:rFonts w:hint="eastAsia"/>
          <w:color w:val="auto"/>
          <w:highlight w:val="none"/>
        </w:rPr>
        <w:t>加密</w:t>
      </w:r>
      <w:r>
        <w:rPr>
          <w:color w:val="auto"/>
          <w:highlight w:val="none"/>
        </w:rPr>
        <w:t>的投标文件，</w:t>
      </w:r>
      <w:r>
        <w:rPr>
          <w:rFonts w:hint="eastAsia"/>
          <w:color w:val="auto"/>
          <w:highlight w:val="none"/>
        </w:rPr>
        <w:t>电子招标投标交易平台</w:t>
      </w:r>
      <w:r>
        <w:rPr>
          <w:color w:val="auto"/>
          <w:highlight w:val="none"/>
        </w:rPr>
        <w:t>予以拒收。</w:t>
      </w:r>
    </w:p>
    <w:p w14:paraId="47E087C4">
      <w:pPr>
        <w:pStyle w:val="5"/>
        <w:rPr>
          <w:rFonts w:ascii="Times New Roman" w:hAnsi="Times New Roman" w:eastAsia="黑体"/>
          <w:b w:val="0"/>
          <w:bCs w:val="0"/>
          <w:color w:val="auto"/>
          <w:sz w:val="24"/>
          <w:highlight w:val="none"/>
        </w:rPr>
      </w:pPr>
      <w:bookmarkStart w:id="177" w:name="_Toc300678028"/>
      <w:r>
        <w:rPr>
          <w:rFonts w:ascii="Times New Roman" w:hAnsi="Times New Roman" w:eastAsia="黑体"/>
          <w:b w:val="0"/>
          <w:bCs w:val="0"/>
          <w:color w:val="auto"/>
          <w:sz w:val="24"/>
          <w:highlight w:val="none"/>
        </w:rPr>
        <w:t>4.2 投标文件的递交</w:t>
      </w:r>
      <w:bookmarkEnd w:id="177"/>
    </w:p>
    <w:p w14:paraId="3FFB1993">
      <w:pPr>
        <w:pStyle w:val="76"/>
        <w:widowControl w:val="0"/>
        <w:spacing w:line="360" w:lineRule="auto"/>
        <w:ind w:firstLine="420" w:firstLineChars="200"/>
        <w:rPr>
          <w:color w:val="auto"/>
          <w:highlight w:val="none"/>
        </w:rPr>
      </w:pPr>
      <w:r>
        <w:rPr>
          <w:color w:val="auto"/>
          <w:highlight w:val="none"/>
        </w:rPr>
        <w:t>4.2.1 投标人应当在投标人须知前附表规定的投标截止时间前递交投标文件。</w:t>
      </w:r>
    </w:p>
    <w:p w14:paraId="121ECA11">
      <w:pPr>
        <w:pStyle w:val="76"/>
        <w:widowControl w:val="0"/>
        <w:spacing w:line="360" w:lineRule="auto"/>
        <w:ind w:firstLine="420" w:firstLineChars="200"/>
        <w:rPr>
          <w:color w:val="auto"/>
          <w:highlight w:val="none"/>
        </w:rPr>
      </w:pPr>
      <w:r>
        <w:rPr>
          <w:color w:val="auto"/>
          <w:highlight w:val="none"/>
        </w:rPr>
        <w:t>4.2.2投标人通过</w:t>
      </w:r>
      <w:r>
        <w:rPr>
          <w:rFonts w:hint="eastAsia"/>
          <w:color w:val="auto"/>
          <w:highlight w:val="none"/>
        </w:rPr>
        <w:t>电子招标投标交易平台</w:t>
      </w:r>
      <w:r>
        <w:rPr>
          <w:color w:val="auto"/>
          <w:highlight w:val="none"/>
        </w:rPr>
        <w:t>递交电子投标文件。</w:t>
      </w:r>
    </w:p>
    <w:p w14:paraId="7E6B9E7E">
      <w:pPr>
        <w:pStyle w:val="76"/>
        <w:widowControl w:val="0"/>
        <w:spacing w:line="360" w:lineRule="auto"/>
        <w:ind w:firstLine="420" w:firstLineChars="200"/>
        <w:rPr>
          <w:color w:val="auto"/>
          <w:highlight w:val="none"/>
        </w:rPr>
      </w:pPr>
      <w:r>
        <w:rPr>
          <w:color w:val="auto"/>
          <w:highlight w:val="none"/>
        </w:rPr>
        <w:t>4.2.3 除投标人须知前附表另有规定外，投标人所递交的投标文件不予退还。</w:t>
      </w:r>
    </w:p>
    <w:p w14:paraId="01763F8E">
      <w:pPr>
        <w:pStyle w:val="76"/>
        <w:widowControl w:val="0"/>
        <w:spacing w:line="360" w:lineRule="auto"/>
        <w:ind w:firstLine="420" w:firstLineChars="200"/>
        <w:rPr>
          <w:color w:val="auto"/>
          <w:highlight w:val="none"/>
        </w:rPr>
      </w:pPr>
      <w:r>
        <w:rPr>
          <w:color w:val="auto"/>
          <w:highlight w:val="none"/>
        </w:rPr>
        <w:t>4.2.4逾期</w:t>
      </w:r>
      <w:r>
        <w:rPr>
          <w:rFonts w:hint="eastAsia"/>
          <w:color w:val="auto"/>
          <w:highlight w:val="none"/>
        </w:rPr>
        <w:t>提交</w:t>
      </w:r>
      <w:r>
        <w:rPr>
          <w:color w:val="auto"/>
          <w:highlight w:val="none"/>
        </w:rPr>
        <w:t>的投标文件，</w:t>
      </w:r>
      <w:r>
        <w:rPr>
          <w:rFonts w:hint="eastAsia"/>
          <w:color w:val="auto"/>
          <w:highlight w:val="none"/>
        </w:rPr>
        <w:t>电子招标投标交易平台</w:t>
      </w:r>
      <w:r>
        <w:rPr>
          <w:color w:val="auto"/>
          <w:highlight w:val="none"/>
        </w:rPr>
        <w:t>将</w:t>
      </w:r>
      <w:r>
        <w:rPr>
          <w:rFonts w:hint="eastAsia"/>
          <w:color w:val="auto"/>
          <w:highlight w:val="none"/>
        </w:rPr>
        <w:t>予以拒收</w:t>
      </w:r>
      <w:r>
        <w:rPr>
          <w:color w:val="auto"/>
          <w:highlight w:val="none"/>
        </w:rPr>
        <w:t>。</w:t>
      </w:r>
    </w:p>
    <w:p w14:paraId="7175FAFE">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4.3 投标文件的修改与撤回</w:t>
      </w:r>
    </w:p>
    <w:p w14:paraId="5E679CA1">
      <w:pPr>
        <w:pStyle w:val="76"/>
        <w:widowControl w:val="0"/>
        <w:spacing w:line="360" w:lineRule="auto"/>
        <w:ind w:firstLine="420" w:firstLineChars="200"/>
        <w:rPr>
          <w:color w:val="auto"/>
          <w:highlight w:val="none"/>
        </w:rPr>
      </w:pPr>
      <w:r>
        <w:rPr>
          <w:color w:val="auto"/>
          <w:highlight w:val="none"/>
        </w:rPr>
        <w:t>4.3.1  在投标人须知前附表规定的投标截止时间前，投标人可以修改或撤回已递交投标文件，但应以书面形式通知招标人。</w:t>
      </w:r>
    </w:p>
    <w:p w14:paraId="4262605F">
      <w:pPr>
        <w:pStyle w:val="76"/>
        <w:widowControl w:val="0"/>
        <w:spacing w:line="360" w:lineRule="auto"/>
        <w:ind w:firstLine="420" w:firstLineChars="200"/>
        <w:rPr>
          <w:color w:val="auto"/>
          <w:highlight w:val="none"/>
        </w:rPr>
      </w:pPr>
      <w:r>
        <w:rPr>
          <w:color w:val="auto"/>
          <w:highlight w:val="none"/>
        </w:rPr>
        <w:t>4.3.2  投标人修改或撤回已递交投标文件的书面通知应按照本章第3.7.3 项的要求</w:t>
      </w:r>
      <w:r>
        <w:rPr>
          <w:rFonts w:hint="eastAsia"/>
          <w:color w:val="auto"/>
          <w:highlight w:val="none"/>
        </w:rPr>
        <w:t>加盖电子公章</w:t>
      </w:r>
      <w:r>
        <w:rPr>
          <w:color w:val="auto"/>
          <w:highlight w:val="none"/>
        </w:rPr>
        <w:t>。</w:t>
      </w:r>
      <w:r>
        <w:rPr>
          <w:rFonts w:hint="eastAsia"/>
          <w:color w:val="auto"/>
          <w:highlight w:val="none"/>
        </w:rPr>
        <w:t>电子招标投标交易平台收到通知后，即时向投标人发出确认回执通知。</w:t>
      </w:r>
    </w:p>
    <w:p w14:paraId="60E7943A">
      <w:pPr>
        <w:pStyle w:val="76"/>
        <w:widowControl w:val="0"/>
        <w:spacing w:line="360" w:lineRule="auto"/>
        <w:ind w:firstLine="420" w:firstLineChars="200"/>
        <w:rPr>
          <w:color w:val="auto"/>
          <w:highlight w:val="none"/>
        </w:rPr>
      </w:pPr>
      <w:r>
        <w:rPr>
          <w:color w:val="auto"/>
          <w:highlight w:val="none"/>
        </w:rPr>
        <w:t>4.3.3  修改的内容为投标文件的组成部分</w:t>
      </w:r>
      <w:r>
        <w:rPr>
          <w:rFonts w:hint="eastAsia"/>
          <w:color w:val="auto"/>
          <w:highlight w:val="none"/>
        </w:rPr>
        <w:t>的，</w:t>
      </w:r>
      <w:r>
        <w:rPr>
          <w:color w:val="auto"/>
          <w:highlight w:val="none"/>
        </w:rPr>
        <w:t>修改的投标文件应按照</w:t>
      </w:r>
      <w:r>
        <w:rPr>
          <w:rFonts w:hint="eastAsia"/>
          <w:color w:val="auto"/>
          <w:highlight w:val="none"/>
        </w:rPr>
        <w:t>本章</w:t>
      </w:r>
      <w:r>
        <w:rPr>
          <w:color w:val="auto"/>
          <w:highlight w:val="none"/>
        </w:rPr>
        <w:t>规定进行编制、密封、标记和递交，并标明“修改”字样。</w:t>
      </w:r>
    </w:p>
    <w:p w14:paraId="47F82100">
      <w:pPr>
        <w:pStyle w:val="76"/>
        <w:widowControl w:val="0"/>
        <w:spacing w:line="360" w:lineRule="auto"/>
        <w:ind w:firstLine="420" w:firstLineChars="200"/>
        <w:rPr>
          <w:color w:val="auto"/>
          <w:highlight w:val="none"/>
        </w:rPr>
      </w:pPr>
    </w:p>
    <w:p w14:paraId="2DE1DDDA">
      <w:pPr>
        <w:pStyle w:val="3"/>
        <w:spacing w:before="0" w:after="0" w:line="360" w:lineRule="auto"/>
        <w:rPr>
          <w:rFonts w:ascii="Times New Roman" w:hAnsi="Times New Roman" w:eastAsia="黑体"/>
          <w:b w:val="0"/>
          <w:bCs w:val="0"/>
          <w:color w:val="auto"/>
          <w:sz w:val="30"/>
          <w:highlight w:val="none"/>
        </w:rPr>
      </w:pPr>
      <w:bookmarkStart w:id="178" w:name="_Toc211498599"/>
      <w:bookmarkStart w:id="179" w:name="_Toc9178522"/>
      <w:bookmarkStart w:id="180" w:name="_Toc300678029"/>
      <w:bookmarkStart w:id="181" w:name="_Toc80006093"/>
      <w:r>
        <w:rPr>
          <w:rFonts w:ascii="Times New Roman" w:hAnsi="Times New Roman" w:eastAsia="黑体"/>
          <w:b w:val="0"/>
          <w:bCs w:val="0"/>
          <w:color w:val="auto"/>
          <w:sz w:val="30"/>
          <w:highlight w:val="none"/>
        </w:rPr>
        <w:t>5.开标</w:t>
      </w:r>
      <w:bookmarkEnd w:id="178"/>
      <w:bookmarkEnd w:id="179"/>
      <w:bookmarkEnd w:id="180"/>
      <w:bookmarkEnd w:id="181"/>
    </w:p>
    <w:p w14:paraId="58A1B204">
      <w:pPr>
        <w:pStyle w:val="5"/>
        <w:rPr>
          <w:rFonts w:ascii="Times New Roman" w:hAnsi="Times New Roman" w:eastAsia="黑体"/>
          <w:b w:val="0"/>
          <w:bCs w:val="0"/>
          <w:color w:val="auto"/>
          <w:sz w:val="24"/>
          <w:highlight w:val="none"/>
        </w:rPr>
      </w:pPr>
      <w:bookmarkStart w:id="182" w:name="_Toc300678030"/>
      <w:r>
        <w:rPr>
          <w:rFonts w:ascii="Times New Roman" w:hAnsi="Times New Roman" w:eastAsia="黑体"/>
          <w:b w:val="0"/>
          <w:bCs w:val="0"/>
          <w:color w:val="auto"/>
          <w:sz w:val="24"/>
          <w:highlight w:val="none"/>
        </w:rPr>
        <w:t>5.1 开标时间和地点</w:t>
      </w:r>
      <w:bookmarkEnd w:id="182"/>
    </w:p>
    <w:p w14:paraId="16181805">
      <w:pPr>
        <w:pStyle w:val="76"/>
        <w:widowControl w:val="0"/>
        <w:spacing w:line="360" w:lineRule="auto"/>
        <w:ind w:firstLine="420" w:firstLineChars="200"/>
        <w:rPr>
          <w:strike/>
          <w:color w:val="auto"/>
          <w:highlight w:val="none"/>
        </w:rPr>
      </w:pPr>
      <w:r>
        <w:rPr>
          <w:color w:val="auto"/>
          <w:highlight w:val="none"/>
        </w:rPr>
        <w:t>招标人在投标人须知前附表规定的</w:t>
      </w:r>
      <w:r>
        <w:rPr>
          <w:rFonts w:hint="eastAsia"/>
          <w:color w:val="auto"/>
          <w:highlight w:val="none"/>
        </w:rPr>
        <w:t>投标截止时间（开标</w:t>
      </w:r>
      <w:r>
        <w:rPr>
          <w:color w:val="auto"/>
          <w:highlight w:val="none"/>
        </w:rPr>
        <w:t>时间</w:t>
      </w:r>
      <w:r>
        <w:rPr>
          <w:rFonts w:hint="eastAsia"/>
          <w:color w:val="auto"/>
          <w:highlight w:val="none"/>
        </w:rPr>
        <w:t>），通过电子招标投标交易平台公开开标，所有投标人的法定代表人或其委托代理人应当准时在线参加。</w:t>
      </w:r>
    </w:p>
    <w:p w14:paraId="20E954EC">
      <w:pPr>
        <w:pStyle w:val="5"/>
        <w:rPr>
          <w:rFonts w:ascii="Times New Roman" w:hAnsi="Times New Roman" w:eastAsia="黑体"/>
          <w:b w:val="0"/>
          <w:bCs w:val="0"/>
          <w:color w:val="auto"/>
          <w:sz w:val="24"/>
          <w:highlight w:val="none"/>
        </w:rPr>
      </w:pPr>
      <w:bookmarkStart w:id="183" w:name="_Toc300678031"/>
      <w:r>
        <w:rPr>
          <w:rFonts w:ascii="Times New Roman" w:hAnsi="Times New Roman" w:eastAsia="黑体"/>
          <w:b w:val="0"/>
          <w:bCs w:val="0"/>
          <w:color w:val="auto"/>
          <w:sz w:val="24"/>
          <w:highlight w:val="none"/>
        </w:rPr>
        <w:t>5.2 开标程序</w:t>
      </w:r>
      <w:bookmarkEnd w:id="183"/>
    </w:p>
    <w:p w14:paraId="04FEF24A">
      <w:pPr>
        <w:pStyle w:val="76"/>
        <w:widowControl w:val="0"/>
        <w:spacing w:line="360" w:lineRule="auto"/>
        <w:ind w:firstLine="420" w:firstLineChars="200"/>
        <w:rPr>
          <w:color w:val="auto"/>
          <w:highlight w:val="none"/>
        </w:rPr>
      </w:pPr>
      <w:r>
        <w:rPr>
          <w:color w:val="auto"/>
          <w:highlight w:val="none"/>
        </w:rPr>
        <w:t>（l）宣布开标纪律；</w:t>
      </w:r>
    </w:p>
    <w:p w14:paraId="5A7CB36C">
      <w:pPr>
        <w:pStyle w:val="76"/>
        <w:widowControl w:val="0"/>
        <w:spacing w:line="360" w:lineRule="auto"/>
        <w:ind w:firstLine="420" w:firstLineChars="200"/>
        <w:rPr>
          <w:color w:val="auto"/>
          <w:highlight w:val="none"/>
        </w:rPr>
      </w:pPr>
      <w:r>
        <w:rPr>
          <w:color w:val="auto"/>
          <w:highlight w:val="none"/>
        </w:rPr>
        <w:t>（2）公布在投标截止时间前递交投标文件的投标人名称；</w:t>
      </w:r>
    </w:p>
    <w:p w14:paraId="7442687E">
      <w:pPr>
        <w:pStyle w:val="76"/>
        <w:widowControl w:val="0"/>
        <w:spacing w:line="360" w:lineRule="auto"/>
        <w:ind w:firstLine="420" w:firstLineChars="200"/>
        <w:rPr>
          <w:color w:val="auto"/>
          <w:highlight w:val="none"/>
        </w:rPr>
      </w:pPr>
      <w:r>
        <w:rPr>
          <w:color w:val="auto"/>
          <w:highlight w:val="none"/>
        </w:rPr>
        <w:t>（3）宣布开标人、监督人等有关人员姓名；</w:t>
      </w:r>
    </w:p>
    <w:p w14:paraId="6BCDE3C8">
      <w:pPr>
        <w:pStyle w:val="76"/>
        <w:widowControl w:val="0"/>
        <w:spacing w:line="360" w:lineRule="auto"/>
        <w:ind w:firstLine="420" w:firstLineChars="200"/>
        <w:rPr>
          <w:color w:val="auto"/>
          <w:highlight w:val="none"/>
        </w:rPr>
      </w:pPr>
      <w:r>
        <w:rPr>
          <w:color w:val="auto"/>
          <w:highlight w:val="none"/>
        </w:rPr>
        <w:t>（4）投标人通过电子招标投标交易平台对已递交的电子投标文件进行解密，当众开标，公布投标人名称、标段名称、投标保证的递交情况</w:t>
      </w:r>
      <w:r>
        <w:rPr>
          <w:rFonts w:hint="eastAsia"/>
          <w:color w:val="auto"/>
          <w:highlight w:val="none"/>
        </w:rPr>
        <w:t>、投标报价、工期及</w:t>
      </w:r>
      <w:r>
        <w:rPr>
          <w:color w:val="auto"/>
          <w:highlight w:val="none"/>
        </w:rPr>
        <w:t>其他内容，并记录在案</w:t>
      </w:r>
      <w:r>
        <w:rPr>
          <w:rFonts w:hint="eastAsia"/>
          <w:color w:val="auto"/>
          <w:highlight w:val="none"/>
        </w:rPr>
        <w:t>；</w:t>
      </w:r>
    </w:p>
    <w:p w14:paraId="75CBBBB5">
      <w:pPr>
        <w:pStyle w:val="76"/>
        <w:widowControl w:val="0"/>
        <w:spacing w:line="360" w:lineRule="auto"/>
        <w:ind w:firstLine="420" w:firstLineChars="200"/>
        <w:rPr>
          <w:color w:val="auto"/>
          <w:highlight w:val="none"/>
        </w:rPr>
      </w:pPr>
      <w:r>
        <w:rPr>
          <w:color w:val="auto"/>
          <w:highlight w:val="none"/>
        </w:rPr>
        <w:t>（5）</w:t>
      </w:r>
      <w:r>
        <w:rPr>
          <w:rFonts w:hint="eastAsia"/>
          <w:color w:val="auto"/>
          <w:highlight w:val="none"/>
        </w:rPr>
        <w:t>采用六随机五区间报价得分模型的，根据《导则》规定</w:t>
      </w:r>
      <w:r>
        <w:rPr>
          <w:color w:val="auto"/>
          <w:highlight w:val="none"/>
        </w:rPr>
        <w:t>在开标现场随</w:t>
      </w:r>
      <w:r>
        <w:rPr>
          <w:rFonts w:hint="eastAsia"/>
          <w:color w:val="auto"/>
          <w:highlight w:val="none"/>
        </w:rPr>
        <w:t>机抽取数值、C1比例系数、下浮系数r并公布和记录</w:t>
      </w:r>
      <w:r>
        <w:rPr>
          <w:color w:val="auto"/>
          <w:highlight w:val="none"/>
        </w:rPr>
        <w:t>；</w:t>
      </w:r>
    </w:p>
    <w:p w14:paraId="04C57A20">
      <w:pPr>
        <w:pStyle w:val="76"/>
        <w:widowControl w:val="0"/>
        <w:spacing w:line="360" w:lineRule="auto"/>
        <w:ind w:firstLine="420" w:firstLineChars="200"/>
        <w:rPr>
          <w:color w:val="auto"/>
          <w:highlight w:val="none"/>
        </w:rPr>
      </w:pPr>
      <w:r>
        <w:rPr>
          <w:color w:val="auto"/>
          <w:highlight w:val="none"/>
        </w:rPr>
        <w:t>（6）投标人</w:t>
      </w:r>
      <w:r>
        <w:rPr>
          <w:rFonts w:hint="eastAsia"/>
          <w:color w:val="auto"/>
          <w:highlight w:val="none"/>
        </w:rPr>
        <w:t>确认开标结果</w:t>
      </w:r>
      <w:r>
        <w:rPr>
          <w:color w:val="auto"/>
          <w:highlight w:val="none"/>
        </w:rPr>
        <w:t>；</w:t>
      </w:r>
    </w:p>
    <w:p w14:paraId="2C7266A9">
      <w:pPr>
        <w:pStyle w:val="76"/>
        <w:widowControl w:val="0"/>
        <w:spacing w:line="360" w:lineRule="auto"/>
        <w:ind w:firstLine="420" w:firstLineChars="200"/>
        <w:rPr>
          <w:color w:val="auto"/>
          <w:highlight w:val="none"/>
        </w:rPr>
      </w:pPr>
      <w:r>
        <w:rPr>
          <w:color w:val="auto"/>
          <w:highlight w:val="none"/>
        </w:rPr>
        <w:t>（7）招标人在开标记录上确认；</w:t>
      </w:r>
    </w:p>
    <w:p w14:paraId="628678F3">
      <w:pPr>
        <w:pStyle w:val="76"/>
        <w:widowControl w:val="0"/>
        <w:spacing w:line="360" w:lineRule="auto"/>
        <w:ind w:firstLine="420" w:firstLineChars="200"/>
        <w:rPr>
          <w:color w:val="auto"/>
          <w:highlight w:val="none"/>
        </w:rPr>
      </w:pPr>
      <w:r>
        <w:rPr>
          <w:color w:val="auto"/>
          <w:highlight w:val="none"/>
        </w:rPr>
        <w:t>（8）开标结束。</w:t>
      </w:r>
    </w:p>
    <w:p w14:paraId="471BB7B9">
      <w:pPr>
        <w:pStyle w:val="3"/>
        <w:spacing w:before="0" w:after="0" w:line="360" w:lineRule="auto"/>
        <w:rPr>
          <w:rFonts w:ascii="Times New Roman" w:hAnsi="Times New Roman" w:eastAsia="黑体"/>
          <w:b w:val="0"/>
          <w:bCs w:val="0"/>
          <w:color w:val="auto"/>
          <w:sz w:val="30"/>
          <w:highlight w:val="none"/>
        </w:rPr>
      </w:pPr>
      <w:bookmarkStart w:id="184" w:name="_Toc300678032"/>
      <w:bookmarkStart w:id="185" w:name="_Toc80006094"/>
      <w:bookmarkStart w:id="186" w:name="_Toc9178523"/>
      <w:bookmarkStart w:id="187" w:name="_Toc211498600"/>
      <w:r>
        <w:rPr>
          <w:rFonts w:ascii="Times New Roman" w:hAnsi="Times New Roman" w:eastAsia="黑体"/>
          <w:b w:val="0"/>
          <w:bCs w:val="0"/>
          <w:color w:val="auto"/>
          <w:sz w:val="30"/>
          <w:highlight w:val="none"/>
        </w:rPr>
        <w:t>6.评标</w:t>
      </w:r>
      <w:bookmarkEnd w:id="184"/>
      <w:bookmarkEnd w:id="185"/>
      <w:bookmarkEnd w:id="186"/>
      <w:bookmarkEnd w:id="187"/>
    </w:p>
    <w:p w14:paraId="53AD04B5">
      <w:pPr>
        <w:pStyle w:val="5"/>
        <w:rPr>
          <w:rFonts w:ascii="Times New Roman" w:hAnsi="Times New Roman" w:eastAsia="黑体"/>
          <w:b w:val="0"/>
          <w:bCs w:val="0"/>
          <w:color w:val="auto"/>
          <w:sz w:val="24"/>
          <w:highlight w:val="none"/>
        </w:rPr>
      </w:pPr>
      <w:bookmarkStart w:id="188" w:name="_Toc300678033"/>
      <w:r>
        <w:rPr>
          <w:rFonts w:ascii="Times New Roman" w:hAnsi="Times New Roman" w:eastAsia="黑体"/>
          <w:b w:val="0"/>
          <w:bCs w:val="0"/>
          <w:color w:val="auto"/>
          <w:sz w:val="24"/>
          <w:highlight w:val="none"/>
        </w:rPr>
        <w:t>6.1 评标委员会</w:t>
      </w:r>
      <w:bookmarkEnd w:id="188"/>
    </w:p>
    <w:p w14:paraId="0EF1F87D">
      <w:pPr>
        <w:pStyle w:val="76"/>
        <w:widowControl w:val="0"/>
        <w:spacing w:line="360" w:lineRule="auto"/>
        <w:ind w:firstLine="420" w:firstLineChars="200"/>
        <w:rPr>
          <w:color w:val="auto"/>
          <w:highlight w:val="none"/>
        </w:rPr>
      </w:pPr>
      <w:r>
        <w:rPr>
          <w:color w:val="auto"/>
          <w:highlight w:val="none"/>
        </w:rPr>
        <w:t>6.1.1  评标由招标人依法组建的评标委员会负责。评标委员会成员人数以及技术、经济等方面专家的确定方式见投标人须知前附表。</w:t>
      </w:r>
    </w:p>
    <w:p w14:paraId="44A43451">
      <w:pPr>
        <w:pStyle w:val="76"/>
        <w:widowControl w:val="0"/>
        <w:spacing w:line="360" w:lineRule="auto"/>
        <w:ind w:firstLine="420" w:firstLineChars="200"/>
        <w:rPr>
          <w:color w:val="auto"/>
          <w:highlight w:val="none"/>
        </w:rPr>
      </w:pPr>
      <w:r>
        <w:rPr>
          <w:color w:val="auto"/>
          <w:highlight w:val="none"/>
        </w:rPr>
        <w:t>6.1.2  有下列情形之一的，应当回避：</w:t>
      </w:r>
    </w:p>
    <w:p w14:paraId="1594BBD1">
      <w:pPr>
        <w:pStyle w:val="76"/>
        <w:widowControl w:val="0"/>
        <w:spacing w:line="360" w:lineRule="auto"/>
        <w:ind w:firstLine="420" w:firstLineChars="200"/>
        <w:rPr>
          <w:color w:val="auto"/>
          <w:highlight w:val="none"/>
        </w:rPr>
      </w:pPr>
      <w:r>
        <w:rPr>
          <w:color w:val="auto"/>
          <w:highlight w:val="none"/>
        </w:rPr>
        <w:t>（1）评标委员会成员是投标人或投标人的主要负责人或拟任项目经理的近亲属；</w:t>
      </w:r>
    </w:p>
    <w:p w14:paraId="2DAC61D3">
      <w:pPr>
        <w:pStyle w:val="76"/>
        <w:widowControl w:val="0"/>
        <w:spacing w:line="360" w:lineRule="auto"/>
        <w:ind w:firstLine="420" w:firstLineChars="200"/>
        <w:rPr>
          <w:color w:val="auto"/>
          <w:highlight w:val="none"/>
        </w:rPr>
      </w:pPr>
      <w:r>
        <w:rPr>
          <w:color w:val="auto"/>
          <w:highlight w:val="none"/>
        </w:rPr>
        <w:t>（2）评标委员会成员是本项目招标投标行政监督部门的人员；</w:t>
      </w:r>
    </w:p>
    <w:p w14:paraId="0E389E96">
      <w:pPr>
        <w:pStyle w:val="76"/>
        <w:widowControl w:val="0"/>
        <w:spacing w:line="360" w:lineRule="auto"/>
        <w:ind w:firstLine="420" w:firstLineChars="200"/>
        <w:rPr>
          <w:color w:val="auto"/>
          <w:highlight w:val="none"/>
        </w:rPr>
      </w:pPr>
      <w:r>
        <w:rPr>
          <w:color w:val="auto"/>
          <w:highlight w:val="none"/>
        </w:rPr>
        <w:t>（3）评标委员会成员是招标人或者其下属单位或者招标项目上级主管部门的人员，但招标人代表除外；</w:t>
      </w:r>
    </w:p>
    <w:p w14:paraId="0740E9B2">
      <w:pPr>
        <w:pStyle w:val="76"/>
        <w:widowControl w:val="0"/>
        <w:spacing w:line="360" w:lineRule="auto"/>
        <w:ind w:firstLine="420" w:firstLineChars="200"/>
        <w:rPr>
          <w:color w:val="auto"/>
          <w:highlight w:val="none"/>
        </w:rPr>
      </w:pPr>
      <w:r>
        <w:rPr>
          <w:color w:val="auto"/>
          <w:highlight w:val="none"/>
        </w:rPr>
        <w:t>（4）评标委员会成员曾参与投标人的投标文件编制或者对投标文件的编制实施指导；</w:t>
      </w:r>
    </w:p>
    <w:p w14:paraId="233AC168">
      <w:pPr>
        <w:pStyle w:val="76"/>
        <w:widowControl w:val="0"/>
        <w:spacing w:line="360" w:lineRule="auto"/>
        <w:ind w:firstLine="420" w:firstLineChars="200"/>
        <w:rPr>
          <w:color w:val="auto"/>
          <w:highlight w:val="none"/>
        </w:rPr>
      </w:pPr>
      <w:r>
        <w:rPr>
          <w:color w:val="auto"/>
          <w:highlight w:val="none"/>
        </w:rPr>
        <w:t>（5）评标委员会成员与投标人有经济利益关系，可能影响对投标公正评审的。</w:t>
      </w:r>
    </w:p>
    <w:p w14:paraId="5DB926B0">
      <w:pPr>
        <w:pStyle w:val="76"/>
        <w:widowControl w:val="0"/>
        <w:spacing w:line="360" w:lineRule="auto"/>
        <w:ind w:firstLine="420" w:firstLineChars="200"/>
        <w:rPr>
          <w:color w:val="auto"/>
          <w:highlight w:val="none"/>
        </w:rPr>
      </w:pPr>
      <w:r>
        <w:rPr>
          <w:color w:val="auto"/>
          <w:highlight w:val="none"/>
        </w:rPr>
        <w:t>（6）评标委员会成员被主管部门禁止参加本地区依法必须招标项目评标或者取消担任评标委员会成员资格</w:t>
      </w:r>
      <w:r>
        <w:rPr>
          <w:rFonts w:hint="eastAsia"/>
          <w:color w:val="auto"/>
          <w:highlight w:val="none"/>
        </w:rPr>
        <w:t>。</w:t>
      </w:r>
    </w:p>
    <w:p w14:paraId="09DFA515">
      <w:pPr>
        <w:pStyle w:val="5"/>
        <w:rPr>
          <w:rFonts w:ascii="Times New Roman" w:hAnsi="Times New Roman" w:eastAsia="黑体"/>
          <w:b w:val="0"/>
          <w:bCs w:val="0"/>
          <w:color w:val="auto"/>
          <w:sz w:val="24"/>
          <w:highlight w:val="none"/>
        </w:rPr>
      </w:pPr>
      <w:bookmarkStart w:id="189" w:name="_Toc300678034"/>
      <w:r>
        <w:rPr>
          <w:rFonts w:ascii="Times New Roman" w:hAnsi="Times New Roman" w:eastAsia="黑体"/>
          <w:b w:val="0"/>
          <w:bCs w:val="0"/>
          <w:color w:val="auto"/>
          <w:sz w:val="24"/>
          <w:highlight w:val="none"/>
        </w:rPr>
        <w:t>6.2 评标原则</w:t>
      </w:r>
      <w:bookmarkEnd w:id="189"/>
    </w:p>
    <w:p w14:paraId="1B117062">
      <w:pPr>
        <w:pStyle w:val="76"/>
        <w:widowControl w:val="0"/>
        <w:spacing w:line="360" w:lineRule="auto"/>
        <w:ind w:firstLine="420" w:firstLineChars="200"/>
        <w:rPr>
          <w:color w:val="auto"/>
          <w:highlight w:val="none"/>
        </w:rPr>
      </w:pPr>
      <w:r>
        <w:rPr>
          <w:color w:val="auto"/>
          <w:highlight w:val="none"/>
        </w:rPr>
        <w:t>评标活动遵循公平、公正、科学和择优的原则。</w:t>
      </w:r>
    </w:p>
    <w:p w14:paraId="6124EFD9">
      <w:pPr>
        <w:pStyle w:val="5"/>
        <w:rPr>
          <w:rFonts w:ascii="Times New Roman" w:hAnsi="Times New Roman" w:eastAsia="黑体"/>
          <w:b w:val="0"/>
          <w:bCs w:val="0"/>
          <w:color w:val="auto"/>
          <w:sz w:val="24"/>
          <w:highlight w:val="none"/>
        </w:rPr>
      </w:pPr>
      <w:bookmarkStart w:id="190" w:name="_Toc300678035"/>
      <w:r>
        <w:rPr>
          <w:rFonts w:ascii="Times New Roman" w:hAnsi="Times New Roman" w:eastAsia="黑体"/>
          <w:b w:val="0"/>
          <w:bCs w:val="0"/>
          <w:color w:val="auto"/>
          <w:sz w:val="24"/>
          <w:highlight w:val="none"/>
        </w:rPr>
        <w:t>6.3 评标</w:t>
      </w:r>
      <w:bookmarkEnd w:id="190"/>
    </w:p>
    <w:p w14:paraId="795F173B">
      <w:pPr>
        <w:pStyle w:val="76"/>
        <w:widowControl w:val="0"/>
        <w:spacing w:line="360" w:lineRule="auto"/>
        <w:ind w:firstLine="420" w:firstLineChars="200"/>
        <w:rPr>
          <w:rFonts w:hint="eastAsia" w:ascii="宋体" w:hAnsi="宋体"/>
          <w:color w:val="auto"/>
          <w:highlight w:val="none"/>
        </w:rPr>
      </w:pPr>
      <w:r>
        <w:rPr>
          <w:color w:val="auto"/>
          <w:highlight w:val="none"/>
        </w:rPr>
        <w:t>评标委员会按照第三章“评标办法”规定的评审标准和</w:t>
      </w:r>
      <w:r>
        <w:rPr>
          <w:rFonts w:hint="eastAsia"/>
          <w:color w:val="auto"/>
          <w:highlight w:val="none"/>
        </w:rPr>
        <w:t>评审</w:t>
      </w:r>
      <w:r>
        <w:rPr>
          <w:color w:val="auto"/>
          <w:highlight w:val="none"/>
        </w:rPr>
        <w:t>程序对投标文件进行评审。</w:t>
      </w:r>
      <w:r>
        <w:rPr>
          <w:rFonts w:hint="eastAsia" w:ascii="宋体" w:hAnsi="宋体"/>
          <w:color w:val="auto"/>
          <w:highlight w:val="none"/>
        </w:rPr>
        <w:t>第三章“评标办法”没有规定的方法、评审因素和标准，不作为评标依据。</w:t>
      </w:r>
    </w:p>
    <w:p w14:paraId="09F571E8">
      <w:pPr>
        <w:pStyle w:val="76"/>
        <w:widowControl w:val="0"/>
        <w:spacing w:line="360" w:lineRule="auto"/>
        <w:rPr>
          <w:rFonts w:eastAsia="黑体"/>
          <w:color w:val="auto"/>
          <w:sz w:val="24"/>
          <w:highlight w:val="none"/>
        </w:rPr>
      </w:pPr>
      <w:r>
        <w:rPr>
          <w:rFonts w:eastAsia="黑体"/>
          <w:color w:val="auto"/>
          <w:sz w:val="24"/>
          <w:highlight w:val="none"/>
        </w:rPr>
        <w:t>6.</w:t>
      </w:r>
      <w:r>
        <w:rPr>
          <w:rFonts w:hint="eastAsia" w:eastAsia="黑体"/>
          <w:color w:val="auto"/>
          <w:sz w:val="24"/>
          <w:highlight w:val="none"/>
        </w:rPr>
        <w:t>4</w:t>
      </w:r>
      <w:r>
        <w:rPr>
          <w:rFonts w:eastAsia="黑体"/>
          <w:color w:val="auto"/>
          <w:sz w:val="24"/>
          <w:highlight w:val="none"/>
        </w:rPr>
        <w:t xml:space="preserve"> </w:t>
      </w:r>
      <w:r>
        <w:rPr>
          <w:rFonts w:hint="eastAsia" w:ascii="宋体" w:hAnsi="宋体"/>
          <w:color w:val="auto"/>
          <w:highlight w:val="none"/>
        </w:rPr>
        <w:t>商务部分评审的业绩、奖项规定</w:t>
      </w:r>
    </w:p>
    <w:p w14:paraId="069C8173">
      <w:pPr>
        <w:pStyle w:val="76"/>
        <w:widowControl w:val="0"/>
        <w:spacing w:line="360" w:lineRule="auto"/>
        <w:rPr>
          <w:rFonts w:hint="eastAsia" w:ascii="宋体" w:hAnsi="宋体"/>
          <w:color w:val="auto"/>
          <w:highlight w:val="none"/>
        </w:rPr>
      </w:pPr>
      <w:r>
        <w:rPr>
          <w:color w:val="auto"/>
          <w:highlight w:val="none"/>
        </w:rPr>
        <w:t>评标委员会按照第三章“评标办法”规定的评审标准和</w:t>
      </w:r>
      <w:r>
        <w:rPr>
          <w:rFonts w:hint="eastAsia"/>
          <w:color w:val="auto"/>
          <w:highlight w:val="none"/>
        </w:rPr>
        <w:t>评审</w:t>
      </w:r>
      <w:r>
        <w:rPr>
          <w:color w:val="auto"/>
          <w:highlight w:val="none"/>
        </w:rPr>
        <w:t>程序对投标文件</w:t>
      </w:r>
      <w:r>
        <w:rPr>
          <w:rFonts w:hint="eastAsia"/>
          <w:color w:val="auto"/>
          <w:highlight w:val="none"/>
        </w:rPr>
        <w:t>商务部分</w:t>
      </w:r>
      <w:r>
        <w:rPr>
          <w:color w:val="auto"/>
          <w:highlight w:val="none"/>
        </w:rPr>
        <w:t>进行评审。</w:t>
      </w:r>
      <w:r>
        <w:rPr>
          <w:rFonts w:hint="eastAsia"/>
          <w:color w:val="auto"/>
          <w:highlight w:val="none"/>
        </w:rPr>
        <w:t>评审规则详见投标须知前附表6.4 项</w:t>
      </w:r>
      <w:r>
        <w:rPr>
          <w:rFonts w:hint="eastAsia" w:ascii="宋体" w:hAnsi="宋体"/>
          <w:color w:val="auto"/>
          <w:highlight w:val="none"/>
        </w:rPr>
        <w:t>商务部分评审的业绩、奖项规定。</w:t>
      </w:r>
    </w:p>
    <w:p w14:paraId="63D5CAF7">
      <w:pPr>
        <w:pStyle w:val="3"/>
        <w:spacing w:before="0" w:after="0" w:line="360" w:lineRule="auto"/>
        <w:rPr>
          <w:rFonts w:ascii="Times New Roman" w:hAnsi="Times New Roman" w:eastAsia="黑体"/>
          <w:b w:val="0"/>
          <w:bCs w:val="0"/>
          <w:color w:val="auto"/>
          <w:sz w:val="30"/>
          <w:highlight w:val="none"/>
        </w:rPr>
      </w:pPr>
      <w:bookmarkStart w:id="191" w:name="_Toc80006095"/>
      <w:bookmarkStart w:id="192" w:name="_Toc300678036"/>
      <w:bookmarkStart w:id="193" w:name="_Toc9178524"/>
      <w:bookmarkStart w:id="194" w:name="_Toc211498601"/>
      <w:r>
        <w:rPr>
          <w:rFonts w:ascii="Times New Roman" w:hAnsi="Times New Roman" w:eastAsia="黑体"/>
          <w:b w:val="0"/>
          <w:bCs w:val="0"/>
          <w:color w:val="auto"/>
          <w:sz w:val="30"/>
          <w:highlight w:val="none"/>
        </w:rPr>
        <w:t>7.合同授予</w:t>
      </w:r>
      <w:bookmarkEnd w:id="191"/>
      <w:bookmarkEnd w:id="192"/>
      <w:bookmarkEnd w:id="193"/>
      <w:bookmarkEnd w:id="194"/>
    </w:p>
    <w:p w14:paraId="6F4F6525">
      <w:pPr>
        <w:pStyle w:val="5"/>
        <w:rPr>
          <w:rFonts w:ascii="Times New Roman" w:hAnsi="Times New Roman" w:eastAsia="黑体"/>
          <w:b w:val="0"/>
          <w:bCs w:val="0"/>
          <w:color w:val="auto"/>
          <w:sz w:val="24"/>
          <w:highlight w:val="none"/>
        </w:rPr>
      </w:pPr>
      <w:bookmarkStart w:id="195" w:name="_Toc300678037"/>
      <w:r>
        <w:rPr>
          <w:rFonts w:ascii="Times New Roman" w:hAnsi="Times New Roman" w:eastAsia="黑体"/>
          <w:b w:val="0"/>
          <w:bCs w:val="0"/>
          <w:color w:val="auto"/>
          <w:sz w:val="24"/>
          <w:highlight w:val="none"/>
        </w:rPr>
        <w:t>7.1 定标方式</w:t>
      </w:r>
      <w:bookmarkEnd w:id="195"/>
    </w:p>
    <w:p w14:paraId="73245959">
      <w:pPr>
        <w:spacing w:line="360" w:lineRule="auto"/>
        <w:ind w:firstLine="420" w:firstLineChars="200"/>
        <w:rPr>
          <w:color w:val="auto"/>
          <w:highlight w:val="none"/>
        </w:rPr>
      </w:pPr>
      <w:r>
        <w:rPr>
          <w:rFonts w:hint="eastAsia"/>
          <w:color w:val="auto"/>
          <w:highlight w:val="none"/>
        </w:rPr>
        <w:t>7.1.1</w:t>
      </w:r>
      <w:r>
        <w:rPr>
          <w:color w:val="auto"/>
          <w:highlight w:val="none"/>
        </w:rPr>
        <w:t>招标人依据评标委员会推荐的中标候选人确定中标人。评标委员会推荐中标候选人的数量以及招标人确定中标人的方式见投标人须知前附表。</w:t>
      </w:r>
    </w:p>
    <w:p w14:paraId="3B986CF7">
      <w:pPr>
        <w:spacing w:line="360" w:lineRule="auto"/>
        <w:ind w:firstLine="420" w:firstLineChars="200"/>
        <w:rPr>
          <w:color w:val="auto"/>
          <w:highlight w:val="none"/>
        </w:rPr>
      </w:pPr>
      <w:r>
        <w:rPr>
          <w:rFonts w:hint="eastAsia"/>
          <w:color w:val="auto"/>
          <w:highlight w:val="none"/>
        </w:rPr>
        <w:t>7.1.2 中标候选人公示媒介</w:t>
      </w:r>
    </w:p>
    <w:p w14:paraId="27CA6EE5">
      <w:pPr>
        <w:pStyle w:val="5"/>
        <w:rPr>
          <w:rFonts w:ascii="Times New Roman" w:hAnsi="Times New Roman"/>
          <w:b w:val="0"/>
          <w:bCs w:val="0"/>
          <w:color w:val="auto"/>
          <w:szCs w:val="24"/>
          <w:highlight w:val="none"/>
        </w:rPr>
      </w:pPr>
      <w:bookmarkStart w:id="196" w:name="_Toc300678038"/>
      <w:r>
        <w:rPr>
          <w:rFonts w:hint="eastAsia" w:ascii="Times New Roman" w:hAnsi="Times New Roman"/>
          <w:b w:val="0"/>
          <w:bCs w:val="0"/>
          <w:color w:val="auto"/>
          <w:szCs w:val="24"/>
          <w:highlight w:val="none"/>
        </w:rPr>
        <w:t xml:space="preserve">   见投标须知前附表7.1.2项规定。</w:t>
      </w:r>
    </w:p>
    <w:p w14:paraId="06CC389E">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7</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 xml:space="preserve"> 中标通知</w:t>
      </w:r>
      <w:bookmarkEnd w:id="196"/>
    </w:p>
    <w:p w14:paraId="392DF82A">
      <w:pPr>
        <w:pStyle w:val="76"/>
        <w:widowControl w:val="0"/>
        <w:spacing w:line="360" w:lineRule="auto"/>
        <w:ind w:firstLine="420" w:firstLineChars="200"/>
        <w:rPr>
          <w:color w:val="auto"/>
          <w:highlight w:val="none"/>
        </w:rPr>
      </w:pPr>
      <w:r>
        <w:rPr>
          <w:color w:val="auto"/>
          <w:highlight w:val="none"/>
        </w:rPr>
        <w:t>在规定的投标有效期内，招标人以书面形式向中标人发出中标通知书，同时将中标结果通知未中标的投标人。</w:t>
      </w:r>
    </w:p>
    <w:p w14:paraId="1BB03C94">
      <w:pPr>
        <w:pStyle w:val="5"/>
        <w:rPr>
          <w:rFonts w:ascii="Times New Roman" w:hAnsi="Times New Roman" w:eastAsia="黑体"/>
          <w:b w:val="0"/>
          <w:bCs w:val="0"/>
          <w:color w:val="auto"/>
          <w:sz w:val="24"/>
          <w:highlight w:val="none"/>
        </w:rPr>
      </w:pPr>
      <w:bookmarkStart w:id="197" w:name="_Toc300678039"/>
      <w:r>
        <w:rPr>
          <w:rFonts w:ascii="Times New Roman" w:hAnsi="Times New Roman" w:eastAsia="黑体"/>
          <w:b w:val="0"/>
          <w:bCs w:val="0"/>
          <w:color w:val="auto"/>
          <w:sz w:val="24"/>
          <w:highlight w:val="none"/>
        </w:rPr>
        <w:t>7.3 履约担保</w:t>
      </w:r>
      <w:bookmarkEnd w:id="197"/>
      <w:r>
        <w:rPr>
          <w:rFonts w:hint="eastAsia" w:ascii="Times New Roman" w:hAnsi="Times New Roman" w:eastAsia="黑体"/>
          <w:b w:val="0"/>
          <w:bCs w:val="0"/>
          <w:color w:val="auto"/>
          <w:sz w:val="24"/>
          <w:highlight w:val="none"/>
        </w:rPr>
        <w:t>及工程款支付担保</w:t>
      </w:r>
    </w:p>
    <w:p w14:paraId="56038898">
      <w:pPr>
        <w:pStyle w:val="76"/>
        <w:widowControl w:val="0"/>
        <w:spacing w:line="360" w:lineRule="auto"/>
        <w:ind w:firstLine="420" w:firstLineChars="200"/>
        <w:rPr>
          <w:color w:val="auto"/>
          <w:highlight w:val="none"/>
        </w:rPr>
      </w:pPr>
      <w:r>
        <w:rPr>
          <w:color w:val="auto"/>
          <w:highlight w:val="none"/>
        </w:rPr>
        <w:t>7.3.1  在签订合同前，中标人应按投标人须知前附表规定的金额、担保形式和招标文件第四章“合同条款及格式”规定的履约担保格式向招标人提交履约担保。联合体中标的，履约担保由牵头人递交。</w:t>
      </w:r>
    </w:p>
    <w:p w14:paraId="68D4699C">
      <w:pPr>
        <w:pStyle w:val="76"/>
        <w:widowControl w:val="0"/>
        <w:spacing w:line="360" w:lineRule="auto"/>
        <w:ind w:firstLine="420" w:firstLineChars="200"/>
        <w:rPr>
          <w:color w:val="auto"/>
          <w:highlight w:val="none"/>
        </w:rPr>
      </w:pPr>
      <w:r>
        <w:rPr>
          <w:color w:val="auto"/>
          <w:highlight w:val="none"/>
        </w:rPr>
        <w:t>7.3.1 采用经评审的最低投标价法</w:t>
      </w:r>
      <w:r>
        <w:rPr>
          <w:rFonts w:hint="eastAsia"/>
          <w:color w:val="auto"/>
          <w:highlight w:val="none"/>
        </w:rPr>
        <w:t>、合理低价法、技术评分最低标价法</w:t>
      </w:r>
      <w:r>
        <w:rPr>
          <w:color w:val="auto"/>
          <w:highlight w:val="none"/>
        </w:rPr>
        <w:t>中标的， 在签订合同前，中标人应按投标人须知前附表规定的金额、担保形式和招标文件第四章规定的履约担保格式向招标人提交履约担保。联合体中标的，履约担保由牵头人递交。</w:t>
      </w:r>
    </w:p>
    <w:p w14:paraId="3B65D2C7">
      <w:pPr>
        <w:pStyle w:val="76"/>
        <w:widowControl w:val="0"/>
        <w:spacing w:line="360" w:lineRule="auto"/>
        <w:ind w:firstLine="420" w:firstLineChars="200"/>
        <w:rPr>
          <w:color w:val="auto"/>
          <w:highlight w:val="none"/>
        </w:rPr>
      </w:pPr>
      <w:r>
        <w:rPr>
          <w:color w:val="auto"/>
          <w:highlight w:val="none"/>
        </w:rPr>
        <w:t>7.3.2  中标人不能按本</w:t>
      </w:r>
      <w:r>
        <w:rPr>
          <w:rFonts w:hint="eastAsia"/>
          <w:color w:val="auto"/>
          <w:highlight w:val="none"/>
        </w:rPr>
        <w:t>须知</w:t>
      </w:r>
      <w:r>
        <w:rPr>
          <w:color w:val="auto"/>
          <w:highlight w:val="none"/>
        </w:rPr>
        <w:t>第7.3.1 项要求提交履约担保的，视为放弃中标。给招标人造成的损失超过投标保证数额的，中标人应当对超过部分予以赔偿。</w:t>
      </w:r>
    </w:p>
    <w:p w14:paraId="5EF08C32">
      <w:pPr>
        <w:pStyle w:val="76"/>
        <w:widowControl w:val="0"/>
        <w:spacing w:line="360" w:lineRule="auto"/>
        <w:ind w:firstLine="420" w:firstLineChars="200"/>
        <w:rPr>
          <w:color w:val="auto"/>
          <w:highlight w:val="none"/>
        </w:rPr>
      </w:pPr>
      <w:r>
        <w:rPr>
          <w:rFonts w:hint="eastAsia"/>
          <w:color w:val="auto"/>
          <w:highlight w:val="none"/>
        </w:rPr>
        <w:t>7.3.3 招标人应当向中标人提供工程款支付担保。</w:t>
      </w:r>
    </w:p>
    <w:p w14:paraId="50720F27">
      <w:pPr>
        <w:pStyle w:val="5"/>
        <w:rPr>
          <w:rFonts w:ascii="Times New Roman" w:hAnsi="Times New Roman" w:eastAsia="黑体"/>
          <w:b w:val="0"/>
          <w:bCs w:val="0"/>
          <w:color w:val="auto"/>
          <w:sz w:val="24"/>
          <w:highlight w:val="none"/>
        </w:rPr>
      </w:pPr>
      <w:bookmarkStart w:id="198" w:name="_Toc300678040"/>
      <w:r>
        <w:rPr>
          <w:rFonts w:ascii="Times New Roman" w:hAnsi="Times New Roman" w:eastAsia="黑体"/>
          <w:b w:val="0"/>
          <w:bCs w:val="0"/>
          <w:color w:val="auto"/>
          <w:sz w:val="24"/>
          <w:highlight w:val="none"/>
        </w:rPr>
        <w:t>7.4 签订合同</w:t>
      </w:r>
      <w:bookmarkEnd w:id="198"/>
    </w:p>
    <w:p w14:paraId="2192D3AE">
      <w:pPr>
        <w:pStyle w:val="76"/>
        <w:widowControl w:val="0"/>
        <w:spacing w:line="360" w:lineRule="auto"/>
        <w:ind w:firstLine="420" w:firstLineChars="200"/>
        <w:rPr>
          <w:color w:val="auto"/>
          <w:highlight w:val="none"/>
        </w:rPr>
      </w:pPr>
      <w:r>
        <w:rPr>
          <w:color w:val="auto"/>
          <w:highlight w:val="none"/>
        </w:rPr>
        <w:t>7.4.1  自中标通知书发出之日起30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14:paraId="3AADA6D1">
      <w:pPr>
        <w:pStyle w:val="76"/>
        <w:widowControl w:val="0"/>
        <w:spacing w:line="360" w:lineRule="auto"/>
        <w:ind w:firstLine="420" w:firstLineChars="200"/>
        <w:rPr>
          <w:color w:val="auto"/>
          <w:highlight w:val="none"/>
        </w:rPr>
      </w:pPr>
      <w:r>
        <w:rPr>
          <w:color w:val="auto"/>
          <w:highlight w:val="none"/>
        </w:rPr>
        <w:t>7.4.2  发出中标通知书后，招标人无正当理由拒签合同的，招标人向中标人退还投标保证；给中标人造成损失的，还应当赔偿损失</w:t>
      </w:r>
      <w:r>
        <w:rPr>
          <w:rFonts w:hint="eastAsia"/>
          <w:color w:val="auto"/>
          <w:highlight w:val="none"/>
        </w:rPr>
        <w:t>。</w:t>
      </w:r>
    </w:p>
    <w:p w14:paraId="3D66C21D">
      <w:pPr>
        <w:pStyle w:val="76"/>
        <w:widowControl w:val="0"/>
        <w:spacing w:line="440" w:lineRule="exact"/>
        <w:ind w:firstLine="420" w:firstLineChars="200"/>
        <w:rPr>
          <w:color w:val="auto"/>
          <w:highlight w:val="none"/>
        </w:rPr>
      </w:pPr>
      <w:r>
        <w:rPr>
          <w:rFonts w:hint="eastAsia"/>
          <w:color w:val="auto"/>
          <w:highlight w:val="none"/>
        </w:rPr>
        <w:t>7.4.3 招标人和中标人应遵守《关于规范“机器管招投标”项目交易双方及时签订合同有关事项的通知》的相关规定。</w:t>
      </w:r>
    </w:p>
    <w:p w14:paraId="2E71DEAE">
      <w:pPr>
        <w:pStyle w:val="3"/>
        <w:spacing w:before="0" w:after="0" w:line="360" w:lineRule="auto"/>
        <w:rPr>
          <w:rFonts w:ascii="Times New Roman" w:hAnsi="Times New Roman" w:eastAsia="黑体"/>
          <w:b w:val="0"/>
          <w:bCs w:val="0"/>
          <w:color w:val="auto"/>
          <w:sz w:val="30"/>
          <w:highlight w:val="none"/>
        </w:rPr>
      </w:pPr>
      <w:bookmarkStart w:id="199" w:name="_Toc300678041"/>
      <w:bookmarkStart w:id="200" w:name="_Toc80006096"/>
      <w:bookmarkStart w:id="201" w:name="_Toc211498602"/>
      <w:bookmarkStart w:id="202" w:name="_Toc9178525"/>
      <w:r>
        <w:rPr>
          <w:rFonts w:ascii="Times New Roman" w:hAnsi="Times New Roman" w:eastAsia="黑体"/>
          <w:b w:val="0"/>
          <w:bCs w:val="0"/>
          <w:color w:val="auto"/>
          <w:sz w:val="30"/>
          <w:highlight w:val="none"/>
        </w:rPr>
        <w:t>8.重新招标和不再招标</w:t>
      </w:r>
      <w:bookmarkEnd w:id="199"/>
      <w:bookmarkEnd w:id="200"/>
      <w:bookmarkEnd w:id="201"/>
      <w:bookmarkEnd w:id="202"/>
    </w:p>
    <w:p w14:paraId="3E179BD4">
      <w:pPr>
        <w:pStyle w:val="5"/>
        <w:rPr>
          <w:rFonts w:ascii="Times New Roman" w:hAnsi="Times New Roman" w:eastAsia="黑体"/>
          <w:b w:val="0"/>
          <w:bCs w:val="0"/>
          <w:color w:val="auto"/>
          <w:sz w:val="24"/>
          <w:highlight w:val="none"/>
        </w:rPr>
      </w:pPr>
      <w:bookmarkStart w:id="203" w:name="_Toc300678042"/>
      <w:r>
        <w:rPr>
          <w:rFonts w:ascii="Times New Roman" w:hAnsi="Times New Roman" w:eastAsia="黑体"/>
          <w:b w:val="0"/>
          <w:bCs w:val="0"/>
          <w:color w:val="auto"/>
          <w:sz w:val="24"/>
          <w:highlight w:val="none"/>
        </w:rPr>
        <w:t>8.1 重新招标</w:t>
      </w:r>
      <w:bookmarkEnd w:id="203"/>
    </w:p>
    <w:p w14:paraId="60FEE031">
      <w:pPr>
        <w:pStyle w:val="76"/>
        <w:widowControl w:val="0"/>
        <w:spacing w:line="360" w:lineRule="auto"/>
        <w:ind w:firstLine="420" w:firstLineChars="200"/>
        <w:rPr>
          <w:color w:val="auto"/>
          <w:highlight w:val="none"/>
        </w:rPr>
      </w:pPr>
      <w:r>
        <w:rPr>
          <w:color w:val="auto"/>
          <w:highlight w:val="none"/>
        </w:rPr>
        <w:t>有下列情形之一的，招标人将重新招标：</w:t>
      </w:r>
    </w:p>
    <w:p w14:paraId="351D00E8">
      <w:pPr>
        <w:pStyle w:val="76"/>
        <w:widowControl w:val="0"/>
        <w:spacing w:line="360" w:lineRule="auto"/>
        <w:ind w:firstLine="420" w:firstLineChars="200"/>
        <w:rPr>
          <w:color w:val="auto"/>
          <w:highlight w:val="none"/>
        </w:rPr>
      </w:pPr>
      <w:r>
        <w:rPr>
          <w:color w:val="auto"/>
          <w:highlight w:val="none"/>
        </w:rPr>
        <w:t>（</w:t>
      </w:r>
      <w:r>
        <w:rPr>
          <w:rFonts w:hint="eastAsia"/>
          <w:color w:val="auto"/>
          <w:highlight w:val="none"/>
        </w:rPr>
        <w:t>1</w:t>
      </w:r>
      <w:r>
        <w:rPr>
          <w:color w:val="auto"/>
          <w:highlight w:val="none"/>
        </w:rPr>
        <w:t>）</w:t>
      </w:r>
      <w:r>
        <w:rPr>
          <w:rFonts w:hint="eastAsia"/>
          <w:color w:val="auto"/>
          <w:highlight w:val="none"/>
        </w:rPr>
        <w:t>在投标截止时间之前提交投标文件的投标人少于3个的；</w:t>
      </w:r>
    </w:p>
    <w:p w14:paraId="12C97CFB">
      <w:pPr>
        <w:pStyle w:val="76"/>
        <w:widowControl w:val="0"/>
        <w:spacing w:line="360" w:lineRule="auto"/>
        <w:ind w:firstLine="420" w:firstLineChars="200"/>
        <w:rPr>
          <w:color w:val="auto"/>
          <w:highlight w:val="none"/>
        </w:rPr>
      </w:pPr>
      <w:r>
        <w:rPr>
          <w:rFonts w:hint="eastAsia"/>
          <w:color w:val="auto"/>
          <w:highlight w:val="none"/>
        </w:rPr>
        <w:t>（2）通过资格预审的申请人少于3个的；</w:t>
      </w:r>
    </w:p>
    <w:p w14:paraId="62FCFABA">
      <w:pPr>
        <w:pStyle w:val="76"/>
        <w:widowControl w:val="0"/>
        <w:spacing w:line="360" w:lineRule="auto"/>
        <w:ind w:firstLine="420" w:firstLineChars="200"/>
        <w:rPr>
          <w:color w:val="auto"/>
          <w:highlight w:val="none"/>
        </w:rPr>
      </w:pPr>
      <w:r>
        <w:rPr>
          <w:rFonts w:hint="eastAsia"/>
          <w:color w:val="auto"/>
          <w:highlight w:val="none"/>
        </w:rPr>
        <w:t>（3）经评标委员会评审，所有投标文件均被否决的；</w:t>
      </w:r>
    </w:p>
    <w:p w14:paraId="63325FE2">
      <w:pPr>
        <w:pStyle w:val="76"/>
        <w:widowControl w:val="0"/>
        <w:spacing w:line="360" w:lineRule="auto"/>
        <w:ind w:firstLine="420" w:firstLineChars="200"/>
        <w:rPr>
          <w:color w:val="auto"/>
          <w:highlight w:val="none"/>
        </w:rPr>
      </w:pPr>
      <w:r>
        <w:rPr>
          <w:rFonts w:hint="eastAsia"/>
          <w:color w:val="auto"/>
          <w:highlight w:val="none"/>
        </w:rPr>
        <w:t>（4）有效投标人不足3个，评标委员会认为投标明显缺乏竞争，否决本次招标的；</w:t>
      </w:r>
    </w:p>
    <w:p w14:paraId="5363F034">
      <w:pPr>
        <w:pStyle w:val="76"/>
        <w:widowControl w:val="0"/>
        <w:spacing w:line="360" w:lineRule="auto"/>
        <w:ind w:firstLine="420" w:firstLineChars="200"/>
        <w:rPr>
          <w:color w:val="auto"/>
          <w:highlight w:val="none"/>
        </w:rPr>
      </w:pPr>
      <w:r>
        <w:rPr>
          <w:rFonts w:hint="eastAsia"/>
          <w:color w:val="auto"/>
          <w:highlight w:val="none"/>
        </w:rPr>
        <w:t>（5）</w:t>
      </w:r>
      <w:bookmarkStart w:id="204" w:name="_Hlk210290608"/>
      <w:r>
        <w:rPr>
          <w:rFonts w:hint="eastAsia"/>
          <w:color w:val="auto"/>
          <w:highlight w:val="none"/>
        </w:rPr>
        <w:t>排名第一的中标候选人放弃中标、因不可抗力提出不能履行合同，或者招标文件规定应当提交履约保证金而在规定的期限内未能提交，或者被查实存在影响中标结果的违法行为等情形，不符合中标条件的，招标人</w:t>
      </w:r>
      <w:bookmarkEnd w:id="204"/>
      <w:r>
        <w:rPr>
          <w:rFonts w:hint="eastAsia"/>
          <w:color w:val="auto"/>
          <w:highlight w:val="none"/>
        </w:rPr>
        <w:t>依次确定其他中标候选人与招标人预期差距较大，或者对招标人明显不利的。</w:t>
      </w:r>
    </w:p>
    <w:p w14:paraId="00DAA6D7">
      <w:pPr>
        <w:pStyle w:val="5"/>
        <w:rPr>
          <w:rFonts w:ascii="Times New Roman" w:hAnsi="Times New Roman" w:eastAsia="黑体"/>
          <w:b w:val="0"/>
          <w:bCs w:val="0"/>
          <w:color w:val="auto"/>
          <w:sz w:val="24"/>
          <w:highlight w:val="none"/>
        </w:rPr>
      </w:pPr>
      <w:bookmarkStart w:id="205" w:name="_Toc300678043"/>
      <w:r>
        <w:rPr>
          <w:rFonts w:ascii="Times New Roman" w:hAnsi="Times New Roman" w:eastAsia="黑体"/>
          <w:b w:val="0"/>
          <w:bCs w:val="0"/>
          <w:color w:val="auto"/>
          <w:sz w:val="24"/>
          <w:highlight w:val="none"/>
        </w:rPr>
        <w:t>8.2 不再招标</w:t>
      </w:r>
      <w:bookmarkEnd w:id="205"/>
    </w:p>
    <w:p w14:paraId="2B9DFD92">
      <w:pPr>
        <w:pStyle w:val="76"/>
        <w:widowControl w:val="0"/>
        <w:spacing w:line="360" w:lineRule="auto"/>
        <w:ind w:firstLine="420" w:firstLineChars="200"/>
        <w:rPr>
          <w:color w:val="auto"/>
          <w:highlight w:val="none"/>
        </w:rPr>
      </w:pPr>
      <w:r>
        <w:rPr>
          <w:color w:val="auto"/>
          <w:highlight w:val="none"/>
        </w:rPr>
        <w:t>重新招标后投标人仍少于3 个或者所有投标被否决的，属于必须审批或核准的工程建设项目，经原审批或核准部门批准后不再进行招标。</w:t>
      </w:r>
    </w:p>
    <w:p w14:paraId="0FA12908">
      <w:pPr>
        <w:pStyle w:val="3"/>
        <w:spacing w:before="0" w:after="0" w:line="360" w:lineRule="auto"/>
        <w:rPr>
          <w:rFonts w:ascii="Times New Roman" w:hAnsi="Times New Roman" w:eastAsia="黑体"/>
          <w:b w:val="0"/>
          <w:bCs w:val="0"/>
          <w:color w:val="auto"/>
          <w:sz w:val="30"/>
          <w:highlight w:val="none"/>
        </w:rPr>
      </w:pPr>
      <w:bookmarkStart w:id="206" w:name="_Toc80006097"/>
      <w:bookmarkStart w:id="207" w:name="_Toc300678044"/>
      <w:bookmarkStart w:id="208" w:name="_Toc9178526"/>
      <w:bookmarkStart w:id="209" w:name="_Toc211498603"/>
      <w:r>
        <w:rPr>
          <w:rFonts w:ascii="Times New Roman" w:hAnsi="Times New Roman" w:eastAsia="黑体"/>
          <w:b w:val="0"/>
          <w:bCs w:val="0"/>
          <w:color w:val="auto"/>
          <w:sz w:val="30"/>
          <w:highlight w:val="none"/>
        </w:rPr>
        <w:t>9.纪律和监督</w:t>
      </w:r>
      <w:bookmarkEnd w:id="206"/>
      <w:bookmarkEnd w:id="207"/>
      <w:bookmarkEnd w:id="208"/>
      <w:bookmarkEnd w:id="209"/>
    </w:p>
    <w:p w14:paraId="5B2A4BBE">
      <w:pPr>
        <w:pStyle w:val="5"/>
        <w:rPr>
          <w:rFonts w:ascii="Times New Roman" w:hAnsi="Times New Roman" w:eastAsia="黑体"/>
          <w:b w:val="0"/>
          <w:bCs w:val="0"/>
          <w:color w:val="auto"/>
          <w:sz w:val="24"/>
          <w:highlight w:val="none"/>
        </w:rPr>
      </w:pPr>
      <w:bookmarkStart w:id="210" w:name="_Toc300678046"/>
      <w:r>
        <w:rPr>
          <w:rFonts w:ascii="Times New Roman" w:hAnsi="Times New Roman" w:eastAsia="黑体"/>
          <w:b w:val="0"/>
          <w:bCs w:val="0"/>
          <w:color w:val="auto"/>
          <w:sz w:val="24"/>
          <w:highlight w:val="none"/>
        </w:rPr>
        <w:t>9.1对投标人的纪律要求</w:t>
      </w:r>
      <w:bookmarkEnd w:id="210"/>
    </w:p>
    <w:p w14:paraId="19289420">
      <w:pPr>
        <w:pStyle w:val="76"/>
        <w:widowControl w:val="0"/>
        <w:spacing w:line="360" w:lineRule="auto"/>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61CE6A1">
      <w:pPr>
        <w:pStyle w:val="5"/>
        <w:rPr>
          <w:rFonts w:ascii="Times New Roman" w:hAnsi="Times New Roman" w:eastAsia="黑体"/>
          <w:b w:val="0"/>
          <w:bCs w:val="0"/>
          <w:color w:val="auto"/>
          <w:sz w:val="24"/>
          <w:highlight w:val="none"/>
        </w:rPr>
      </w:pPr>
      <w:bookmarkStart w:id="211" w:name="_Toc300678047"/>
      <w:r>
        <w:rPr>
          <w:rFonts w:ascii="Times New Roman" w:hAnsi="Times New Roman" w:eastAsia="黑体"/>
          <w:b w:val="0"/>
          <w:bCs w:val="0"/>
          <w:color w:val="auto"/>
          <w:sz w:val="24"/>
          <w:highlight w:val="none"/>
        </w:rPr>
        <w:t>9.2对评标委员会成员的纪律要求</w:t>
      </w:r>
      <w:bookmarkEnd w:id="211"/>
    </w:p>
    <w:p w14:paraId="6FA2C182">
      <w:pPr>
        <w:pStyle w:val="76"/>
        <w:widowControl w:val="0"/>
        <w:spacing w:line="360" w:lineRule="auto"/>
        <w:ind w:firstLine="420" w:firstLineChars="200"/>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3AAF36">
      <w:pPr>
        <w:pStyle w:val="5"/>
        <w:rPr>
          <w:rFonts w:ascii="Times New Roman" w:hAnsi="Times New Roman" w:eastAsia="黑体"/>
          <w:b w:val="0"/>
          <w:bCs w:val="0"/>
          <w:color w:val="auto"/>
          <w:sz w:val="24"/>
          <w:highlight w:val="none"/>
        </w:rPr>
      </w:pPr>
      <w:bookmarkStart w:id="212" w:name="_Toc300678048"/>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 xml:space="preserve"> 对与评标活动有关的工作人员的纪律要求</w:t>
      </w:r>
      <w:bookmarkEnd w:id="212"/>
    </w:p>
    <w:p w14:paraId="4455EDD6">
      <w:pPr>
        <w:pStyle w:val="76"/>
        <w:widowControl w:val="0"/>
        <w:spacing w:line="360" w:lineRule="auto"/>
        <w:ind w:firstLine="420" w:firstLineChars="200"/>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DA23004">
      <w:pPr>
        <w:pStyle w:val="5"/>
        <w:rPr>
          <w:rFonts w:ascii="Calibri" w:hAnsi="Calibri"/>
          <w:b w:val="0"/>
          <w:color w:val="auto"/>
          <w:kern w:val="0"/>
          <w:szCs w:val="21"/>
          <w:highlight w:val="none"/>
        </w:rPr>
      </w:pPr>
      <w:bookmarkStart w:id="213" w:name="_Toc300678049"/>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4</w:t>
      </w:r>
      <w:r>
        <w:rPr>
          <w:rFonts w:ascii="Times New Roman" w:hAnsi="Times New Roman" w:eastAsia="黑体"/>
          <w:b w:val="0"/>
          <w:bCs w:val="0"/>
          <w:color w:val="auto"/>
          <w:sz w:val="24"/>
          <w:highlight w:val="none"/>
        </w:rPr>
        <w:t xml:space="preserve"> </w:t>
      </w:r>
      <w:r>
        <w:rPr>
          <w:rFonts w:hint="eastAsia" w:ascii="Calibri" w:hAnsi="Calibri"/>
          <w:b w:val="0"/>
          <w:color w:val="auto"/>
          <w:kern w:val="0"/>
          <w:szCs w:val="21"/>
          <w:highlight w:val="none"/>
        </w:rPr>
        <w:t>异议和投诉</w:t>
      </w:r>
      <w:bookmarkEnd w:id="213"/>
    </w:p>
    <w:p w14:paraId="58A5A0C4">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9.4.1投标人或者其他利害关系人就下列事项投诉的，应当按照相关规定向招标人提出异议：</w:t>
      </w:r>
    </w:p>
    <w:p w14:paraId="429FED12">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(1)认为招标文件不符合相关法律法规规范性文件规定，应当在投标截止时间10日前向招标人提出异议；</w:t>
      </w:r>
    </w:p>
    <w:p w14:paraId="23F60A09">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(2)认为开标活动不符合相关法律法规规范性文件规定的，应当在开标现场提出异议；</w:t>
      </w:r>
    </w:p>
    <w:p w14:paraId="683A2A36">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(3)对评标结果有异议的，在中标候选人公示期以书面形式向招标人提出；</w:t>
      </w:r>
    </w:p>
    <w:p w14:paraId="16FE3EC1">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投标人或利害关系人不满意招标人的答复或者认为招标人处理不当的，可以向本项目的招标投标行政监督部门投诉。</w:t>
      </w:r>
      <w:bookmarkStart w:id="214" w:name="_Toc300678050"/>
    </w:p>
    <w:p w14:paraId="587FA1D6">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9.4.2投标人或者其他利害关系人认为本次招标活动违反法律法规规范性文件规定的，可以在知道或者应当知道之日起10日内向本项目的招标投标行政监督部门投诉。</w:t>
      </w:r>
    </w:p>
    <w:p w14:paraId="2B7CEE89">
      <w:pPr>
        <w:pStyle w:val="76"/>
        <w:widowControl w:val="0"/>
        <w:adjustRightInd w:val="0"/>
        <w:snapToGrid w:val="0"/>
        <w:spacing w:line="360" w:lineRule="auto"/>
        <w:ind w:firstLine="420" w:firstLineChars="200"/>
        <w:jc w:val="left"/>
        <w:rPr>
          <w:bCs/>
          <w:color w:val="auto"/>
          <w:kern w:val="0"/>
          <w:highlight w:val="none"/>
          <w:shd w:val="clear" w:color="auto" w:fill="FFFFFF"/>
        </w:rPr>
      </w:pPr>
      <w:r>
        <w:rPr>
          <w:rFonts w:hint="eastAsia"/>
          <w:bCs/>
          <w:color w:val="auto"/>
          <w:kern w:val="0"/>
          <w:highlight w:val="none"/>
          <w:shd w:val="clear" w:color="auto" w:fill="FFFFFF"/>
        </w:rPr>
        <w:t>9.4.3有关信用评价信息弄虚作假的异议，经调查属实的，取消其中标候选人资格并认定为失信行为。</w:t>
      </w:r>
    </w:p>
    <w:p w14:paraId="20575DB1">
      <w:pPr>
        <w:pStyle w:val="3"/>
        <w:spacing w:before="0" w:after="0" w:line="360" w:lineRule="auto"/>
        <w:rPr>
          <w:rFonts w:ascii="Times New Roman" w:hAnsi="Times New Roman" w:eastAsia="黑体"/>
          <w:b w:val="0"/>
          <w:bCs w:val="0"/>
          <w:color w:val="auto"/>
          <w:sz w:val="30"/>
          <w:highlight w:val="none"/>
        </w:rPr>
      </w:pPr>
      <w:bookmarkStart w:id="215" w:name="_Toc9178527"/>
      <w:bookmarkStart w:id="216" w:name="_Toc211498604"/>
      <w:bookmarkStart w:id="217" w:name="_Toc80006098"/>
      <w:r>
        <w:rPr>
          <w:rFonts w:ascii="Times New Roman" w:hAnsi="Times New Roman" w:eastAsia="黑体"/>
          <w:b w:val="0"/>
          <w:bCs w:val="0"/>
          <w:color w:val="auto"/>
          <w:sz w:val="30"/>
          <w:highlight w:val="none"/>
        </w:rPr>
        <w:t>10.需要补充的其他内容</w:t>
      </w:r>
      <w:bookmarkEnd w:id="214"/>
      <w:bookmarkEnd w:id="215"/>
      <w:bookmarkEnd w:id="216"/>
      <w:bookmarkEnd w:id="217"/>
    </w:p>
    <w:p w14:paraId="193E310F">
      <w:pPr>
        <w:pStyle w:val="76"/>
        <w:widowControl w:val="0"/>
        <w:spacing w:line="360" w:lineRule="auto"/>
        <w:ind w:firstLine="420" w:firstLineChars="200"/>
        <w:rPr>
          <w:color w:val="auto"/>
          <w:highlight w:val="none"/>
        </w:rPr>
      </w:pPr>
      <w:r>
        <w:rPr>
          <w:color w:val="auto"/>
          <w:highlight w:val="none"/>
        </w:rPr>
        <w:t>需要补充的其他内容：见投标人须知前附表。</w:t>
      </w:r>
    </w:p>
    <w:p w14:paraId="7A8B00DE">
      <w:pPr>
        <w:spacing w:line="360" w:lineRule="auto"/>
        <w:ind w:firstLine="420" w:firstLineChars="200"/>
        <w:rPr>
          <w:color w:val="auto"/>
          <w:highlight w:val="none"/>
        </w:rPr>
      </w:pPr>
    </w:p>
    <w:p w14:paraId="053116DE">
      <w:pPr>
        <w:spacing w:line="400" w:lineRule="exact"/>
        <w:rPr>
          <w:color w:val="auto"/>
          <w:sz w:val="24"/>
          <w:highlight w:val="none"/>
        </w:rPr>
      </w:pPr>
      <w:bookmarkStart w:id="218" w:name="_Toc300678051"/>
    </w:p>
    <w:p w14:paraId="059E1FF0">
      <w:pPr>
        <w:spacing w:line="400" w:lineRule="exact"/>
        <w:rPr>
          <w:rStyle w:val="54"/>
          <w:rFonts w:ascii="Times New Roman" w:hAnsi="Times New Roman" w:eastAsia="黑体"/>
          <w:b w:val="0"/>
          <w:color w:val="auto"/>
          <w:sz w:val="24"/>
          <w:highlight w:val="none"/>
        </w:rPr>
        <w:sectPr>
          <w:pgSz w:w="11907" w:h="16840"/>
          <w:pgMar w:top="1418" w:right="1418" w:bottom="1418" w:left="1418" w:header="851" w:footer="850" w:gutter="0"/>
          <w:cols w:space="720" w:num="1"/>
          <w:docGrid w:linePitch="312" w:charSpace="0"/>
        </w:sectPr>
      </w:pPr>
    </w:p>
    <w:bookmarkEnd w:id="218"/>
    <w:p w14:paraId="7B7DEB54">
      <w:pPr>
        <w:pStyle w:val="3"/>
        <w:spacing w:before="0" w:after="0" w:line="360" w:lineRule="auto"/>
        <w:rPr>
          <w:color w:val="auto"/>
          <w:sz w:val="30"/>
          <w:highlight w:val="none"/>
        </w:rPr>
      </w:pPr>
      <w:bookmarkStart w:id="219" w:name="_Toc211498605"/>
      <w:bookmarkStart w:id="220" w:name="_Toc300678057"/>
      <w:r>
        <w:rPr>
          <w:rFonts w:hint="eastAsia"/>
          <w:color w:val="auto"/>
          <w:sz w:val="30"/>
          <w:highlight w:val="none"/>
        </w:rPr>
        <w:t>附件</w:t>
      </w:r>
      <w:r>
        <w:rPr>
          <w:color w:val="auto"/>
          <w:sz w:val="30"/>
          <w:highlight w:val="none"/>
        </w:rPr>
        <w:t>2-1</w:t>
      </w:r>
      <w:r>
        <w:rPr>
          <w:rFonts w:hint="eastAsia"/>
          <w:color w:val="auto"/>
          <w:sz w:val="30"/>
          <w:highlight w:val="none"/>
        </w:rPr>
        <w:t>：电子投标文件编制及报送要求</w:t>
      </w:r>
      <w:bookmarkEnd w:id="219"/>
      <w:bookmarkEnd w:id="220"/>
    </w:p>
    <w:p w14:paraId="1C0B3EA4">
      <w:pPr>
        <w:spacing w:before="472" w:beforeLines="150" w:after="472" w:afterLines="150" w:line="420" w:lineRule="exact"/>
        <w:jc w:val="center"/>
        <w:rPr>
          <w:rFonts w:eastAsia="黑体"/>
          <w:color w:val="auto"/>
          <w:sz w:val="28"/>
          <w:szCs w:val="28"/>
          <w:highlight w:val="none"/>
        </w:rPr>
      </w:pPr>
      <w:r>
        <w:rPr>
          <w:rFonts w:eastAsia="黑体"/>
          <w:color w:val="auto"/>
          <w:sz w:val="28"/>
          <w:szCs w:val="28"/>
          <w:highlight w:val="none"/>
        </w:rPr>
        <w:t>电子投标文件编制及报送要求</w:t>
      </w:r>
    </w:p>
    <w:p w14:paraId="549108B8">
      <w:pPr>
        <w:adjustRightInd w:val="0"/>
        <w:snapToGrid w:val="0"/>
        <w:spacing w:line="360" w:lineRule="auto"/>
        <w:ind w:firstLine="420" w:firstLineChars="200"/>
        <w:rPr>
          <w:color w:val="auto"/>
          <w:szCs w:val="21"/>
          <w:highlight w:val="none"/>
        </w:rPr>
      </w:pPr>
      <w:r>
        <w:rPr>
          <w:rFonts w:hint="eastAsia"/>
          <w:color w:val="auto"/>
          <w:szCs w:val="21"/>
          <w:highlight w:val="none"/>
        </w:rPr>
        <w:t>说明</w:t>
      </w:r>
      <w:r>
        <w:rPr>
          <w:color w:val="auto"/>
          <w:szCs w:val="21"/>
          <w:highlight w:val="none"/>
        </w:rPr>
        <w:t>：采用</w:t>
      </w:r>
      <w:r>
        <w:rPr>
          <w:rFonts w:hint="eastAsia"/>
          <w:color w:val="auto"/>
          <w:szCs w:val="21"/>
          <w:highlight w:val="none"/>
        </w:rPr>
        <w:t>机器管招投标</w:t>
      </w:r>
      <w:r>
        <w:rPr>
          <w:color w:val="auto"/>
          <w:szCs w:val="21"/>
          <w:highlight w:val="none"/>
        </w:rPr>
        <w:t>，</w:t>
      </w:r>
      <w:r>
        <w:rPr>
          <w:rFonts w:hint="eastAsia"/>
          <w:color w:val="auto"/>
          <w:szCs w:val="21"/>
          <w:highlight w:val="none"/>
        </w:rPr>
        <w:t>相关编制和报送要求如下：</w:t>
      </w:r>
      <w:r>
        <w:rPr>
          <w:rFonts w:hint="eastAsia"/>
          <w:color w:val="auto"/>
          <w:szCs w:val="21"/>
          <w:highlight w:val="none"/>
          <w:u w:val="single"/>
        </w:rPr>
        <w:t xml:space="preserve">                   </w:t>
      </w:r>
      <w:r>
        <w:rPr>
          <w:color w:val="auto"/>
          <w:szCs w:val="21"/>
          <w:highlight w:val="none"/>
        </w:rPr>
        <w:t>。</w:t>
      </w:r>
    </w:p>
    <w:p w14:paraId="0FC22196">
      <w:pPr>
        <w:pStyle w:val="3"/>
        <w:spacing w:before="0" w:after="0" w:line="360" w:lineRule="auto"/>
        <w:rPr>
          <w:rFonts w:hint="eastAsia" w:eastAsia="黑体"/>
          <w:color w:val="auto"/>
          <w:sz w:val="30"/>
          <w:highlight w:val="none"/>
        </w:rPr>
      </w:pPr>
      <w:bookmarkStart w:id="221" w:name="_Toc211498606"/>
      <w:bookmarkStart w:id="222" w:name="_Toc300678058"/>
    </w:p>
    <w:p w14:paraId="50B81E56">
      <w:pPr>
        <w:rPr>
          <w:rFonts w:hint="eastAsia"/>
          <w:color w:val="auto"/>
          <w:highlight w:val="none"/>
        </w:rPr>
      </w:pPr>
    </w:p>
    <w:p w14:paraId="1510E0CE">
      <w:pPr>
        <w:pStyle w:val="3"/>
        <w:spacing w:before="0" w:after="0" w:line="360" w:lineRule="auto"/>
        <w:rPr>
          <w:rFonts w:hint="eastAsia" w:eastAsia="黑体"/>
          <w:color w:val="auto"/>
          <w:sz w:val="30"/>
          <w:highlight w:val="none"/>
        </w:rPr>
      </w:pPr>
    </w:p>
    <w:p w14:paraId="00E7468B">
      <w:pPr>
        <w:pStyle w:val="3"/>
        <w:spacing w:before="0" w:after="0" w:line="360" w:lineRule="auto"/>
        <w:rPr>
          <w:rFonts w:hint="eastAsia" w:eastAsia="黑体"/>
          <w:color w:val="auto"/>
          <w:sz w:val="30"/>
          <w:highlight w:val="none"/>
        </w:rPr>
      </w:pPr>
    </w:p>
    <w:p w14:paraId="7A516291">
      <w:pPr>
        <w:pStyle w:val="3"/>
        <w:spacing w:before="0" w:after="0" w:line="360" w:lineRule="auto"/>
        <w:rPr>
          <w:rFonts w:hint="eastAsia" w:eastAsia="黑体"/>
          <w:color w:val="auto"/>
          <w:sz w:val="30"/>
          <w:highlight w:val="none"/>
        </w:rPr>
      </w:pPr>
    </w:p>
    <w:p w14:paraId="36059AB1">
      <w:pPr>
        <w:pStyle w:val="3"/>
        <w:spacing w:before="0" w:after="0" w:line="360" w:lineRule="auto"/>
        <w:rPr>
          <w:rFonts w:hint="eastAsia" w:eastAsia="黑体"/>
          <w:color w:val="auto"/>
          <w:sz w:val="30"/>
          <w:highlight w:val="none"/>
        </w:rPr>
      </w:pPr>
    </w:p>
    <w:p w14:paraId="1CC67571">
      <w:pPr>
        <w:pStyle w:val="3"/>
        <w:spacing w:before="0" w:after="0" w:line="360" w:lineRule="auto"/>
        <w:rPr>
          <w:rFonts w:hint="eastAsia" w:eastAsia="黑体"/>
          <w:color w:val="auto"/>
          <w:sz w:val="30"/>
          <w:highlight w:val="none"/>
        </w:rPr>
      </w:pPr>
    </w:p>
    <w:p w14:paraId="14A864B3">
      <w:pPr>
        <w:rPr>
          <w:rFonts w:hint="eastAsia" w:eastAsia="黑体"/>
          <w:color w:val="auto"/>
          <w:sz w:val="30"/>
          <w:highlight w:val="none"/>
        </w:rPr>
      </w:pPr>
    </w:p>
    <w:p w14:paraId="7D3222B8">
      <w:pPr>
        <w:rPr>
          <w:rFonts w:hint="eastAsia" w:eastAsia="黑体"/>
          <w:color w:val="auto"/>
          <w:sz w:val="30"/>
          <w:highlight w:val="none"/>
        </w:rPr>
      </w:pPr>
    </w:p>
    <w:p w14:paraId="62EC8FF2">
      <w:pPr>
        <w:rPr>
          <w:rFonts w:hint="eastAsia" w:eastAsia="黑体"/>
          <w:color w:val="auto"/>
          <w:sz w:val="30"/>
          <w:highlight w:val="none"/>
        </w:rPr>
      </w:pPr>
    </w:p>
    <w:p w14:paraId="69534DDB">
      <w:pPr>
        <w:rPr>
          <w:rFonts w:hint="eastAsia" w:eastAsia="黑体"/>
          <w:color w:val="auto"/>
          <w:sz w:val="30"/>
          <w:highlight w:val="none"/>
        </w:rPr>
      </w:pPr>
    </w:p>
    <w:p w14:paraId="32781BF5">
      <w:pPr>
        <w:rPr>
          <w:rFonts w:hint="eastAsia" w:eastAsia="黑体"/>
          <w:color w:val="auto"/>
          <w:sz w:val="30"/>
          <w:highlight w:val="none"/>
        </w:rPr>
      </w:pPr>
    </w:p>
    <w:p w14:paraId="72C0C7A9">
      <w:pPr>
        <w:rPr>
          <w:rFonts w:hint="eastAsia" w:eastAsia="黑体"/>
          <w:color w:val="auto"/>
          <w:sz w:val="30"/>
          <w:highlight w:val="none"/>
        </w:rPr>
      </w:pPr>
    </w:p>
    <w:p w14:paraId="798E25AA">
      <w:pPr>
        <w:rPr>
          <w:rFonts w:hint="eastAsia" w:eastAsia="黑体"/>
          <w:color w:val="auto"/>
          <w:sz w:val="30"/>
          <w:highlight w:val="none"/>
        </w:rPr>
      </w:pPr>
    </w:p>
    <w:p w14:paraId="70E44FBB">
      <w:pPr>
        <w:pStyle w:val="3"/>
        <w:spacing w:before="0" w:after="0" w:line="15" w:lineRule="auto"/>
        <w:rPr>
          <w:rFonts w:hint="eastAsia" w:eastAsia="黑体"/>
          <w:color w:val="auto"/>
          <w:sz w:val="30"/>
          <w:highlight w:val="none"/>
        </w:rPr>
      </w:pPr>
    </w:p>
    <w:p w14:paraId="729FA0D4">
      <w:pPr>
        <w:pStyle w:val="3"/>
        <w:spacing w:before="0" w:after="0" w:line="15" w:lineRule="auto"/>
        <w:rPr>
          <w:rFonts w:eastAsia="黑体"/>
          <w:color w:val="auto"/>
          <w:sz w:val="30"/>
          <w:highlight w:val="none"/>
        </w:rPr>
      </w:pPr>
      <w:r>
        <w:rPr>
          <w:rFonts w:hint="eastAsia" w:eastAsia="黑体"/>
          <w:color w:val="auto"/>
          <w:sz w:val="30"/>
          <w:highlight w:val="none"/>
        </w:rPr>
        <w:t>附件</w:t>
      </w:r>
      <w:r>
        <w:rPr>
          <w:rFonts w:eastAsia="黑体"/>
          <w:color w:val="auto"/>
          <w:sz w:val="30"/>
          <w:highlight w:val="none"/>
        </w:rPr>
        <w:t>2-2</w:t>
      </w:r>
      <w:r>
        <w:rPr>
          <w:rFonts w:hint="eastAsia" w:eastAsia="黑体"/>
          <w:color w:val="auto"/>
          <w:sz w:val="30"/>
          <w:highlight w:val="none"/>
        </w:rPr>
        <w:t>：否决投标的情形</w:t>
      </w:r>
      <w:bookmarkEnd w:id="221"/>
    </w:p>
    <w:p w14:paraId="36B8202B">
      <w:pPr>
        <w:autoSpaceDE w:val="0"/>
        <w:autoSpaceDN w:val="0"/>
        <w:adjustRightInd w:val="0"/>
        <w:spacing w:line="490" w:lineRule="exact"/>
        <w:jc w:val="center"/>
        <w:rPr>
          <w:rFonts w:hint="eastAsia" w:ascii="黑体" w:hAnsi="黑体" w:eastAsia="黑体" w:cs="黑体"/>
          <w:b/>
          <w:color w:val="auto"/>
          <w:sz w:val="36"/>
          <w:szCs w:val="36"/>
          <w:highlight w:val="none"/>
        </w:rPr>
      </w:pPr>
      <w:r>
        <w:rPr>
          <w:rFonts w:hint="eastAsia" w:ascii="宋体" w:hAnsi="宋体" w:cs="宋体"/>
          <w:b/>
          <w:color w:val="auto"/>
          <w:sz w:val="36"/>
          <w:szCs w:val="36"/>
          <w:highlight w:val="none"/>
        </w:rPr>
        <w:t>★</w:t>
      </w:r>
      <w:r>
        <w:rPr>
          <w:rFonts w:hint="eastAsia" w:ascii="黑体" w:hAnsi="黑体" w:eastAsia="黑体" w:cs="黑体"/>
          <w:b/>
          <w:color w:val="auto"/>
          <w:sz w:val="36"/>
          <w:szCs w:val="36"/>
          <w:highlight w:val="none"/>
        </w:rPr>
        <w:t>否决投标的情形</w:t>
      </w:r>
    </w:p>
    <w:p w14:paraId="757BE897">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本附件所集中列示的否决投标情形，是“评标办法”的组成部分，是对“投标人须知”和评标办法规定的否决投标情形的总结和补充，如果出现相互矛盾的情况，以本附件的规定为准。</w:t>
      </w:r>
      <w:bookmarkStart w:id="223" w:name="_Hlk210290642"/>
      <w:r>
        <w:rPr>
          <w:rFonts w:hint="eastAsia" w:asciiTheme="minorEastAsia" w:hAnsiTheme="minorEastAsia" w:eastAsiaTheme="minorEastAsia" w:cstheme="minorEastAsia"/>
          <w:color w:val="auto"/>
          <w:szCs w:val="21"/>
          <w:highlight w:val="none"/>
        </w:rPr>
        <w:t>未列入本附件所列情形（含交易系统补充情形）的，不得作为否决投标的依据</w:t>
      </w:r>
      <w:bookmarkEnd w:id="223"/>
      <w:r>
        <w:rPr>
          <w:rFonts w:hint="eastAsia" w:asciiTheme="minorEastAsia" w:hAnsiTheme="minorEastAsia" w:eastAsiaTheme="minorEastAsia" w:cstheme="minorEastAsia"/>
          <w:color w:val="auto"/>
          <w:szCs w:val="21"/>
          <w:highlight w:val="none"/>
        </w:rPr>
        <w:t>。</w:t>
      </w:r>
    </w:p>
    <w:p w14:paraId="3DD893F1">
      <w:pPr>
        <w:autoSpaceDE w:val="0"/>
        <w:autoSpaceDN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投标人或其投标文件有下列情形之一的，其投标应当予以否决：</w:t>
      </w:r>
    </w:p>
    <w:p w14:paraId="2ABB7C97">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 有“投标人须知”第1.4.3项规定的任何一种情形的；</w:t>
      </w:r>
    </w:p>
    <w:p w14:paraId="0CDFB3FF">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 投标人不按“投标人须知”第3.4.1项要求提交投标担保的；</w:t>
      </w:r>
    </w:p>
    <w:p w14:paraId="05EF69DD">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 投标人有串通投标、弄虚作假、行贿受贿等违法行为的；</w:t>
      </w:r>
    </w:p>
    <w:p w14:paraId="43F85014">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 资格评审时，投标人资格条件不符合国家有关规定或者招标文件要求的，或者拒不按照要求对投标文件进行澄清、说明或补正，或者其说明补正无法证明其为合格投标人的；</w:t>
      </w:r>
    </w:p>
    <w:p w14:paraId="3D570E56">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 在形式评审、资格评审、响应性评审中，评标委员会认定投标文件不符合评标办法前附表规定的任何一项评审标准的；</w:t>
      </w:r>
    </w:p>
    <w:p w14:paraId="103249A6">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 已进行资格预审的，当投标人资格申请文件的内容发生重大变化时，其在投标文件中更新的资料，未能通过资格评审的；</w:t>
      </w:r>
    </w:p>
    <w:p w14:paraId="697F266E">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 投标报价有错误的，评标委员会按评标办法中的有关规定要求投标人对投标报价进行修正，并要求投标人作出澄清确认，投标人拒不澄清确认的；</w:t>
      </w:r>
    </w:p>
    <w:p w14:paraId="08BC4964">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 投标文件存在弄虚作假或者隐瞒事实，或者未按照招标文件要求如实提供有关情况和文件以及证明资料且对投标人有利的，应当否决其投标。被列为中标候选人的，应当取消其中标候选人资格；</w:t>
      </w:r>
    </w:p>
    <w:p w14:paraId="683EB436">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 投标文件的技术标暗标内出现投标人名称或者出现任何能直接判断出投标人名称的内容的；</w:t>
      </w:r>
    </w:p>
    <w:p w14:paraId="7445162B">
      <w:pPr>
        <w:autoSpaceDE w:val="0"/>
        <w:autoSpaceDN w:val="0"/>
        <w:adjustRightInd w:val="0"/>
        <w:spacing w:line="46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1.10采用经评审的最低投标价法、技术评分最低标价法的项目，投标报价低于异常低价警戒线（不含本数）的。（适用于设置异常低价警戒线评审的项目）</w:t>
      </w:r>
    </w:p>
    <w:p w14:paraId="1D88B033">
      <w:pPr>
        <w:widowControl/>
        <w:jc w:val="left"/>
        <w:rPr>
          <w:rStyle w:val="54"/>
          <w:rFonts w:ascii="Times New Roman" w:hAnsi="Times New Roman" w:eastAsia="黑体"/>
          <w:b w:val="0"/>
          <w:color w:val="auto"/>
          <w:sz w:val="24"/>
          <w:highlight w:val="none"/>
        </w:rPr>
      </w:pPr>
      <w:r>
        <w:rPr>
          <w:rFonts w:eastAsia="楷体_GB2312"/>
          <w:color w:val="auto"/>
          <w:szCs w:val="21"/>
          <w:highlight w:val="none"/>
        </w:rPr>
        <w:br w:type="page"/>
      </w:r>
      <w:bookmarkEnd w:id="222"/>
      <w:bookmarkStart w:id="224" w:name="_Toc300678059"/>
    </w:p>
    <w:p w14:paraId="7918607C">
      <w:pPr>
        <w:pStyle w:val="3"/>
        <w:spacing w:before="0" w:after="0" w:line="360" w:lineRule="auto"/>
        <w:rPr>
          <w:color w:val="auto"/>
          <w:sz w:val="30"/>
          <w:highlight w:val="none"/>
        </w:rPr>
      </w:pPr>
      <w:bookmarkStart w:id="225" w:name="_Toc211498607"/>
      <w:r>
        <w:rPr>
          <w:rFonts w:hint="eastAsia"/>
          <w:color w:val="auto"/>
          <w:sz w:val="30"/>
          <w:highlight w:val="none"/>
        </w:rPr>
        <w:t>附件</w:t>
      </w:r>
      <w:r>
        <w:rPr>
          <w:color w:val="auto"/>
          <w:sz w:val="30"/>
          <w:highlight w:val="none"/>
        </w:rPr>
        <w:t>2-3</w:t>
      </w:r>
      <w:r>
        <w:rPr>
          <w:rFonts w:hint="eastAsia"/>
          <w:color w:val="auto"/>
          <w:sz w:val="30"/>
          <w:highlight w:val="none"/>
        </w:rPr>
        <w:t>：</w:t>
      </w:r>
      <w:bookmarkStart w:id="226" w:name="_Toc9188899"/>
      <w:bookmarkStart w:id="227" w:name="_Toc9178537"/>
      <w:bookmarkStart w:id="228" w:name="_Toc9189315"/>
      <w:r>
        <w:rPr>
          <w:rFonts w:hint="eastAsia" w:ascii="黑体" w:hAnsi="黑体" w:eastAsia="黑体"/>
          <w:b/>
          <w:color w:val="auto"/>
          <w:sz w:val="28"/>
          <w:szCs w:val="28"/>
          <w:highlight w:val="none"/>
          <w:lang w:bidi="en-US"/>
        </w:rPr>
        <w:t>“评定分离”工作规则</w:t>
      </w:r>
      <w:bookmarkEnd w:id="226"/>
      <w:bookmarkEnd w:id="227"/>
      <w:bookmarkEnd w:id="228"/>
      <w:r>
        <w:rPr>
          <w:rFonts w:hint="eastAsia" w:ascii="黑体" w:hAnsi="黑体" w:eastAsia="黑体"/>
          <w:b/>
          <w:color w:val="auto"/>
          <w:sz w:val="28"/>
          <w:szCs w:val="28"/>
          <w:highlight w:val="none"/>
          <w:lang w:bidi="en-US"/>
        </w:rPr>
        <w:t>（如采用）</w:t>
      </w:r>
      <w:bookmarkEnd w:id="225"/>
    </w:p>
    <w:p w14:paraId="118FB3E8">
      <w:pPr>
        <w:adjustRightInd w:val="0"/>
        <w:snapToGrid w:val="0"/>
        <w:spacing w:after="0" w:line="480" w:lineRule="exact"/>
        <w:ind w:firstLine="480" w:firstLineChars="200"/>
        <w:rPr>
          <w:rFonts w:hint="eastAsia"/>
          <w:color w:val="auto"/>
          <w:sz w:val="24"/>
          <w:highlight w:val="none"/>
        </w:rPr>
      </w:pPr>
      <w:r>
        <w:rPr>
          <w:rFonts w:hint="eastAsia"/>
          <w:color w:val="auto"/>
          <w:sz w:val="24"/>
          <w:highlight w:val="none"/>
        </w:rPr>
        <w:t>全省使用综合评估法1、综合评估法2的依法必须进行招标的工程建设项目依法可以采用“评定分离”。“评定分离”是指评标阶段，评标委员会按照招标文件确定的评标标准和方法评标，向招标人推荐中标候选人；定标阶段，招标人按照招标文件确定的定标程序和方法，从推荐的中标候选人中自主确定中标人。招标人采用“评定分离”方式确定中标人时应当符合本规则的要求。</w:t>
      </w:r>
    </w:p>
    <w:p w14:paraId="0EE753A4">
      <w:pPr>
        <w:adjustRightInd w:val="0"/>
        <w:snapToGrid w:val="0"/>
        <w:spacing w:after="0" w:line="480" w:lineRule="exact"/>
        <w:ind w:firstLine="482" w:firstLineChars="200"/>
        <w:rPr>
          <w:rFonts w:hint="eastAsia"/>
          <w:b/>
          <w:bCs/>
          <w:color w:val="auto"/>
          <w:sz w:val="24"/>
          <w:highlight w:val="none"/>
        </w:rPr>
      </w:pPr>
      <w:r>
        <w:rPr>
          <w:rFonts w:hint="eastAsia"/>
          <w:b/>
          <w:bCs/>
          <w:color w:val="auto"/>
          <w:sz w:val="24"/>
          <w:highlight w:val="none"/>
        </w:rPr>
        <w:t>1.评定分离的具体方法</w:t>
      </w:r>
    </w:p>
    <w:p w14:paraId="65366BDE">
      <w:pPr>
        <w:adjustRightInd w:val="0"/>
        <w:snapToGrid w:val="0"/>
        <w:spacing w:after="0" w:line="480" w:lineRule="exact"/>
        <w:ind w:firstLine="480" w:firstLineChars="200"/>
        <w:rPr>
          <w:rFonts w:hint="eastAsia"/>
          <w:color w:val="auto"/>
          <w:sz w:val="24"/>
          <w:highlight w:val="none"/>
        </w:rPr>
      </w:pPr>
      <w:r>
        <w:rPr>
          <w:rFonts w:hint="eastAsia"/>
          <w:color w:val="auto"/>
          <w:sz w:val="24"/>
          <w:highlight w:val="none"/>
        </w:rPr>
        <w:t>1.1票决法。定标委员会成员对中标候选人进行记名投票，得票最高的即为中标人；当最高得票相同时，对得票最高的中标候选人再次进行记名投票，直至选出中标人。</w:t>
      </w:r>
    </w:p>
    <w:p w14:paraId="3A8B9738">
      <w:pPr>
        <w:adjustRightInd w:val="0"/>
        <w:snapToGrid w:val="0"/>
        <w:spacing w:after="0" w:line="480" w:lineRule="exact"/>
        <w:ind w:firstLine="480" w:firstLineChars="200"/>
        <w:rPr>
          <w:rFonts w:hint="eastAsia"/>
          <w:color w:val="auto"/>
          <w:sz w:val="24"/>
          <w:highlight w:val="none"/>
        </w:rPr>
      </w:pPr>
      <w:r>
        <w:rPr>
          <w:rFonts w:hint="eastAsia"/>
          <w:color w:val="auto"/>
          <w:sz w:val="24"/>
          <w:highlight w:val="none"/>
        </w:rPr>
        <w:t>1.2集体议事法。定标委员会成员各自发表意见，由定标委员会组长综合各成员意见最终确定中标人。所有定标委员会成员的意见应当作书面记录，并由定标委员会成员签字确认。</w:t>
      </w:r>
    </w:p>
    <w:p w14:paraId="0CA782F0">
      <w:pPr>
        <w:adjustRightInd w:val="0"/>
        <w:snapToGrid w:val="0"/>
        <w:spacing w:after="0" w:line="480" w:lineRule="exact"/>
        <w:ind w:firstLine="480" w:firstLineChars="200"/>
        <w:rPr>
          <w:rFonts w:hint="eastAsia"/>
          <w:color w:val="auto"/>
          <w:sz w:val="24"/>
          <w:highlight w:val="none"/>
        </w:rPr>
      </w:pPr>
      <w:r>
        <w:rPr>
          <w:rFonts w:hint="eastAsia"/>
          <w:color w:val="auto"/>
          <w:sz w:val="24"/>
          <w:highlight w:val="none"/>
        </w:rPr>
        <w:t>1.3因素法。定标委员会通过比对某些评审因素情况确定中标人的方法。具体方法为：方式一，商务评审和技术评审两项得分之和由高至低排序确定中标人；方式二，商务评审得分由高至低排序确定中标人。定标因素得分相同时，按照评标总得分由高至低排序确定中标人。仍有相同总得分导致无法确定中标人的，按照招标人在招标文件中明确的方式确定中标人。</w:t>
      </w:r>
    </w:p>
    <w:p w14:paraId="4560F040">
      <w:pPr>
        <w:adjustRightInd w:val="0"/>
        <w:snapToGrid w:val="0"/>
        <w:spacing w:after="0" w:line="480" w:lineRule="exact"/>
        <w:ind w:firstLine="480" w:firstLineChars="200"/>
        <w:rPr>
          <w:rFonts w:hint="eastAsia"/>
          <w:color w:val="auto"/>
          <w:sz w:val="24"/>
          <w:highlight w:val="none"/>
        </w:rPr>
      </w:pPr>
      <w:r>
        <w:rPr>
          <w:rFonts w:hint="eastAsia"/>
          <w:color w:val="auto"/>
          <w:sz w:val="24"/>
          <w:highlight w:val="none"/>
        </w:rPr>
        <w:t>1.4其他方法。招标人可结合项目特点和自身实际，本着公平公正的原则，确定其他定标方法，并在招标文件中明确。有关方法不得违反全国统一大市场建设和公平竞争要求。</w:t>
      </w:r>
    </w:p>
    <w:p w14:paraId="2B8F0410">
      <w:pPr>
        <w:adjustRightInd w:val="0"/>
        <w:snapToGrid w:val="0"/>
        <w:spacing w:after="0" w:line="480" w:lineRule="exact"/>
        <w:ind w:firstLine="482" w:firstLineChars="200"/>
        <w:rPr>
          <w:rFonts w:hint="eastAsia"/>
          <w:b/>
          <w:bCs/>
          <w:color w:val="auto"/>
          <w:sz w:val="24"/>
          <w:highlight w:val="none"/>
        </w:rPr>
      </w:pPr>
      <w:r>
        <w:rPr>
          <w:rFonts w:hint="eastAsia"/>
          <w:b/>
          <w:bCs/>
          <w:color w:val="auto"/>
          <w:sz w:val="24"/>
          <w:highlight w:val="none"/>
        </w:rPr>
        <w:t>2.具体要求</w:t>
      </w:r>
    </w:p>
    <w:p w14:paraId="49FBABDD">
      <w:pPr>
        <w:adjustRightInd w:val="0"/>
        <w:snapToGrid w:val="0"/>
        <w:spacing w:after="0" w:line="480" w:lineRule="exact"/>
        <w:ind w:firstLine="480" w:firstLineChars="200"/>
        <w:rPr>
          <w:rFonts w:hint="eastAsia"/>
          <w:color w:val="auto"/>
          <w:sz w:val="24"/>
          <w:highlight w:val="none"/>
        </w:rPr>
      </w:pPr>
      <w:r>
        <w:rPr>
          <w:rFonts w:hint="eastAsia"/>
          <w:color w:val="auto"/>
          <w:sz w:val="24"/>
          <w:highlight w:val="none"/>
        </w:rPr>
        <w:t>2.1 招标人应当在编制招标文件的同时，研究制定相应的定标工作</w:t>
      </w:r>
      <w:r>
        <w:rPr>
          <w:rFonts w:hint="eastAsia"/>
          <w:color w:val="auto"/>
          <w:sz w:val="24"/>
          <w:highlight w:val="none"/>
          <w:lang w:val="en-US" w:eastAsia="zh-CN"/>
        </w:rPr>
        <w:t>规则</w:t>
      </w:r>
      <w:r>
        <w:rPr>
          <w:rFonts w:hint="eastAsia"/>
          <w:color w:val="auto"/>
          <w:sz w:val="24"/>
          <w:highlight w:val="none"/>
        </w:rPr>
        <w:t>，不临时动议，不临时改变既定规则。</w:t>
      </w:r>
    </w:p>
    <w:p w14:paraId="3DA60ED2">
      <w:pPr>
        <w:adjustRightInd w:val="0"/>
        <w:snapToGrid w:val="0"/>
        <w:spacing w:after="0" w:line="480" w:lineRule="exact"/>
        <w:ind w:firstLine="480" w:firstLineChars="200"/>
        <w:rPr>
          <w:rFonts w:hint="eastAsia"/>
          <w:color w:val="auto"/>
          <w:sz w:val="24"/>
          <w:highlight w:val="none"/>
        </w:rPr>
      </w:pPr>
      <w:r>
        <w:rPr>
          <w:rFonts w:hint="eastAsia"/>
          <w:color w:val="auto"/>
          <w:sz w:val="24"/>
          <w:highlight w:val="none"/>
        </w:rPr>
        <w:t>2.2 采用</w:t>
      </w:r>
      <w:r>
        <w:rPr>
          <w:rFonts w:hint="eastAsia"/>
          <w:color w:val="auto"/>
          <w:sz w:val="24"/>
          <w:highlight w:val="none"/>
          <w:lang w:val="en"/>
        </w:rPr>
        <w:t>“</w:t>
      </w:r>
      <w:r>
        <w:rPr>
          <w:rFonts w:hint="eastAsia"/>
          <w:color w:val="auto"/>
          <w:sz w:val="24"/>
          <w:highlight w:val="none"/>
        </w:rPr>
        <w:t>评定分离”方式确定中标人的，应当在第二章投标人须知前附表中明确。</w:t>
      </w:r>
    </w:p>
    <w:p w14:paraId="11750BC3">
      <w:pPr>
        <w:adjustRightInd w:val="0"/>
        <w:snapToGrid w:val="0"/>
        <w:spacing w:after="0" w:line="480" w:lineRule="exact"/>
        <w:ind w:firstLine="480" w:firstLineChars="200"/>
        <w:rPr>
          <w:rFonts w:hint="eastAsia"/>
          <w:color w:val="auto"/>
          <w:sz w:val="24"/>
          <w:highlight w:val="none"/>
        </w:rPr>
      </w:pPr>
      <w:r>
        <w:rPr>
          <w:rFonts w:hint="eastAsia"/>
          <w:color w:val="auto"/>
          <w:sz w:val="24"/>
          <w:highlight w:val="none"/>
        </w:rPr>
        <w:t>2.3 评标委员会向招标人推荐不排序的中标候选人，应当按照相关规定进行公示。公示期间，对评标结果有异议或投诉的，将按照相关规定进行处理。异议或投诉处理完毕之后方可组织开展定标工作。</w:t>
      </w:r>
    </w:p>
    <w:p w14:paraId="5E03D84A">
      <w:pPr>
        <w:spacing w:after="0" w:line="48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2.4 招标人应当组建定标委员会，召开定标会议进行定标。定标委员会成员应当遵循竞争择优、科学规范、廉洁高效的原则，独立行使投票权。定标委员会成员数量为5人及以上单数，一般由招标人代表、项目业主代表和项目使用单位代表组成。如因专业力量不足，确需委托外部专家参加定标委员会的，委托的外部专家人数不得超过成员总数的三分之一。招标人的法定代表人或主要负责人或分管负责人应当进入定标委员会，并担任组长，主持定标会议。招标人的法定代表人、主要负责人、分管负责人均进入定标委员会的，或其中两人进入定标委员会的，应当从其中推选一人担任组长。评标委员会成员原则上不得担任定标委员会成员。定标委员会成员与中标候选人有利害关系的应当主动说明并申请回避。定标委员会名单在中标结果确定前应当保密。</w:t>
      </w:r>
    </w:p>
    <w:p w14:paraId="647FF3D1">
      <w:pPr>
        <w:spacing w:after="0" w:line="48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2.5 定标工作一般在中标候选人公示期满之日起5个工作日内完成。招标人对中标候选人开展考察、质询的，可适当延长，但一般不超过10个工作日，且不得超过投标有效期。</w:t>
      </w:r>
    </w:p>
    <w:p w14:paraId="34E3CC9C">
      <w:pPr>
        <w:spacing w:after="0" w:line="48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2.6</w:t>
      </w:r>
      <w:r>
        <w:rPr>
          <w:rFonts w:hint="eastAsia"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lang w:val="en" w:eastAsia="zh-CN"/>
        </w:rPr>
        <w:t>招标人可按照招标文件要求，在定标会议前对所有中标候选人进行考察、质询。考察、质询小组人数应为3人及以上单数。考察、质询小组应如实记录考察、质询情况，并出具考察、质询报告作为定标要素之一。考察、质询报告应客观公正。</w:t>
      </w:r>
    </w:p>
    <w:p w14:paraId="3AA70660">
      <w:pPr>
        <w:spacing w:after="0" w:line="48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2.7</w:t>
      </w:r>
      <w:r>
        <w:rPr>
          <w:rFonts w:hint="eastAsia" w:ascii="Times New Roman" w:hAnsi="Times New Roman" w:eastAsia="宋体" w:cs="Times New Roman"/>
          <w:color w:val="auto"/>
          <w:sz w:val="24"/>
          <w:highlight w:val="none"/>
          <w:lang w:val="en" w:eastAsia="zh-CN"/>
        </w:rPr>
        <w:t xml:space="preserve"> 定标要素的具体内容应参考招标文件规定的评标办法、质询或考察内容等，此外，还可以参考</w:t>
      </w:r>
      <w:r>
        <w:rPr>
          <w:rFonts w:hint="eastAsia" w:ascii="Times New Roman" w:hAnsi="Times New Roman" w:eastAsia="宋体" w:cs="Times New Roman"/>
          <w:color w:val="auto"/>
          <w:sz w:val="24"/>
          <w:highlight w:val="none"/>
          <w:lang w:val="en-US" w:eastAsia="zh-CN"/>
        </w:rPr>
        <w:t>以下方面：</w:t>
      </w:r>
    </w:p>
    <w:p w14:paraId="7B6F2455">
      <w:pPr>
        <w:spacing w:after="0" w:line="48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 w:eastAsia="zh-CN"/>
        </w:rPr>
        <w:t>）价格因素：主要包括报价高低、主要材料报价的合理性、不平衡报价情况等；</w:t>
      </w:r>
    </w:p>
    <w:p w14:paraId="35F2F4B9">
      <w:pPr>
        <w:spacing w:after="0" w:line="48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val="en" w:eastAsia="zh-CN"/>
        </w:rPr>
        <w:t>）企业匹配性：主要包括企业实力、资质等级、近年的财务状况、过往业绩（含业绩影响力、难易程度）等；</w:t>
      </w:r>
    </w:p>
    <w:p w14:paraId="1BA56D2C">
      <w:pPr>
        <w:spacing w:after="0" w:line="48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val="en" w:eastAsia="zh-CN"/>
        </w:rPr>
        <w:t>）企业信誉：主要包括企业信用情况、过往业绩履约情况、工程质量安全管理情况、施工组织能力、未结诉讼情况等；</w:t>
      </w:r>
    </w:p>
    <w:p w14:paraId="5C491452">
      <w:pPr>
        <w:spacing w:after="0" w:line="48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val="en" w:eastAsia="zh-CN"/>
        </w:rPr>
        <w:t>）投标方案：主要包括技术标情况、工程建设重难点解决方案、主要材料品牌等；</w:t>
      </w:r>
    </w:p>
    <w:p w14:paraId="0CB083EA">
      <w:pPr>
        <w:spacing w:after="0" w:line="48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val="en" w:eastAsia="zh-CN"/>
        </w:rPr>
        <w:t>）拟派团队能力与水平：主要包括团队主要负责人类似工程业绩、拟派项目团队人员的资信实力等；</w:t>
      </w:r>
    </w:p>
    <w:p w14:paraId="0633EEDF">
      <w:pPr>
        <w:adjustRightInd w:val="0"/>
        <w:snapToGrid w:val="0"/>
        <w:spacing w:after="0" w:line="480" w:lineRule="exact"/>
        <w:ind w:firstLine="480" w:firstLineChars="200"/>
        <w:rPr>
          <w:rFonts w:hint="eastAsia"/>
          <w:color w:val="auto"/>
          <w:sz w:val="24"/>
          <w:highlight w:val="none"/>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lang w:val="en" w:eastAsia="zh-CN"/>
        </w:rPr>
        <w:t>）招标人认为需要考量的其他因素。</w:t>
      </w:r>
    </w:p>
    <w:p w14:paraId="25580390">
      <w:pPr>
        <w:adjustRightInd w:val="0"/>
        <w:snapToGrid w:val="0"/>
        <w:spacing w:after="0" w:line="480" w:lineRule="exact"/>
        <w:ind w:firstLine="480" w:firstLineChars="200"/>
        <w:jc w:val="left"/>
        <w:rPr>
          <w:rFonts w:hint="eastAsia"/>
          <w:color w:val="auto"/>
          <w:sz w:val="24"/>
          <w:highlight w:val="none"/>
          <w:lang w:val="en"/>
        </w:rPr>
      </w:pPr>
      <w:r>
        <w:rPr>
          <w:rFonts w:hint="eastAsia"/>
          <w:color w:val="auto"/>
          <w:sz w:val="24"/>
          <w:highlight w:val="none"/>
        </w:rPr>
        <w:t>2.8</w:t>
      </w:r>
      <w:r>
        <w:rPr>
          <w:rFonts w:hint="eastAsia"/>
          <w:color w:val="auto"/>
          <w:sz w:val="24"/>
          <w:highlight w:val="none"/>
          <w:lang w:val="en"/>
        </w:rPr>
        <w:t xml:space="preserve"> 定标委员会应当形成书面定标报告。招标人应将定标报告作为招标投标情况报告的组成部分，报送招标投标行政监督部门。</w:t>
      </w:r>
    </w:p>
    <w:p w14:paraId="085D344A">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2.9</w:t>
      </w:r>
      <w:r>
        <w:rPr>
          <w:rFonts w:hint="eastAsia"/>
          <w:color w:val="auto"/>
          <w:sz w:val="24"/>
          <w:highlight w:val="none"/>
          <w:lang w:val="en"/>
        </w:rPr>
        <w:t xml:space="preserve"> </w:t>
      </w:r>
      <w:r>
        <w:rPr>
          <w:rFonts w:hint="eastAsia"/>
          <w:color w:val="auto"/>
          <w:sz w:val="24"/>
          <w:highlight w:val="none"/>
        </w:rPr>
        <w:t>招标人应当保留所有必要的定标工作相关资料，以便追溯查询。</w:t>
      </w:r>
    </w:p>
    <w:p w14:paraId="46B080EE">
      <w:pPr>
        <w:spacing w:before="120" w:beforeLines="50" w:after="120" w:afterLines="50" w:line="596" w:lineRule="exact"/>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（一）定标委员会组建情况登记表</w:t>
      </w:r>
    </w:p>
    <w:tbl>
      <w:tblPr>
        <w:tblStyle w:val="4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01"/>
        <w:gridCol w:w="3014"/>
        <w:gridCol w:w="2414"/>
        <w:gridCol w:w="1375"/>
      </w:tblGrid>
      <w:tr w14:paraId="31D2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1DC0433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招标人</w:t>
            </w:r>
          </w:p>
        </w:tc>
        <w:tc>
          <w:tcPr>
            <w:tcW w:w="6803" w:type="dxa"/>
            <w:gridSpan w:val="3"/>
            <w:tcBorders>
              <w:top w:val="single" w:color="auto" w:sz="4" w:space="0"/>
              <w:left w:val="nil"/>
              <w:bottom w:val="single" w:color="auto" w:sz="4" w:space="0"/>
              <w:right w:val="single" w:color="auto" w:sz="4" w:space="0"/>
            </w:tcBorders>
            <w:noWrap w:val="0"/>
            <w:vAlign w:val="center"/>
          </w:tcPr>
          <w:p w14:paraId="1EB2A513">
            <w:pPr>
              <w:spacing w:line="400" w:lineRule="exact"/>
              <w:jc w:val="center"/>
              <w:rPr>
                <w:rFonts w:hint="eastAsia" w:ascii="宋体" w:hAnsi="宋体" w:cs="宋体"/>
                <w:color w:val="auto"/>
                <w:szCs w:val="21"/>
                <w:highlight w:val="none"/>
              </w:rPr>
            </w:pPr>
          </w:p>
        </w:tc>
      </w:tr>
      <w:tr w14:paraId="4B39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589882D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招标代理机构</w:t>
            </w:r>
          </w:p>
        </w:tc>
        <w:tc>
          <w:tcPr>
            <w:tcW w:w="6803" w:type="dxa"/>
            <w:gridSpan w:val="3"/>
            <w:tcBorders>
              <w:top w:val="single" w:color="auto" w:sz="4" w:space="0"/>
              <w:left w:val="nil"/>
              <w:bottom w:val="single" w:color="auto" w:sz="4" w:space="0"/>
              <w:right w:val="single" w:color="auto" w:sz="4" w:space="0"/>
            </w:tcBorders>
            <w:noWrap w:val="0"/>
            <w:vAlign w:val="center"/>
          </w:tcPr>
          <w:p w14:paraId="5D39DA5D">
            <w:pPr>
              <w:spacing w:line="400" w:lineRule="exact"/>
              <w:jc w:val="center"/>
              <w:rPr>
                <w:rFonts w:hint="eastAsia" w:ascii="宋体" w:hAnsi="宋体" w:cs="宋体"/>
                <w:color w:val="auto"/>
                <w:szCs w:val="21"/>
                <w:highlight w:val="none"/>
              </w:rPr>
            </w:pPr>
          </w:p>
        </w:tc>
      </w:tr>
      <w:tr w14:paraId="1235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368C6C4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招标项目名称</w:t>
            </w:r>
          </w:p>
        </w:tc>
        <w:tc>
          <w:tcPr>
            <w:tcW w:w="6803" w:type="dxa"/>
            <w:gridSpan w:val="3"/>
            <w:tcBorders>
              <w:top w:val="single" w:color="auto" w:sz="4" w:space="0"/>
              <w:left w:val="nil"/>
              <w:bottom w:val="single" w:color="auto" w:sz="4" w:space="0"/>
              <w:right w:val="single" w:color="auto" w:sz="4" w:space="0"/>
            </w:tcBorders>
            <w:noWrap w:val="0"/>
            <w:vAlign w:val="center"/>
          </w:tcPr>
          <w:p w14:paraId="64E8CB7A">
            <w:pPr>
              <w:spacing w:line="400" w:lineRule="exact"/>
              <w:jc w:val="center"/>
              <w:rPr>
                <w:rFonts w:hint="eastAsia" w:ascii="宋体" w:hAnsi="宋体" w:cs="宋体"/>
                <w:color w:val="auto"/>
                <w:szCs w:val="21"/>
                <w:highlight w:val="none"/>
              </w:rPr>
            </w:pPr>
          </w:p>
        </w:tc>
      </w:tr>
      <w:tr w14:paraId="0517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69584AD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定标时间</w:t>
            </w:r>
          </w:p>
        </w:tc>
        <w:tc>
          <w:tcPr>
            <w:tcW w:w="6803" w:type="dxa"/>
            <w:gridSpan w:val="3"/>
            <w:tcBorders>
              <w:top w:val="single" w:color="auto" w:sz="4" w:space="0"/>
              <w:left w:val="nil"/>
              <w:bottom w:val="single" w:color="auto" w:sz="4" w:space="0"/>
              <w:right w:val="single" w:color="auto" w:sz="4" w:space="0"/>
            </w:tcBorders>
            <w:noWrap w:val="0"/>
            <w:vAlign w:val="center"/>
          </w:tcPr>
          <w:p w14:paraId="00D90046">
            <w:pPr>
              <w:spacing w:line="400" w:lineRule="exact"/>
              <w:jc w:val="center"/>
              <w:rPr>
                <w:rFonts w:hint="eastAsia" w:ascii="宋体" w:hAnsi="宋体" w:cs="宋体"/>
                <w:color w:val="auto"/>
                <w:szCs w:val="21"/>
                <w:highlight w:val="none"/>
              </w:rPr>
            </w:pPr>
          </w:p>
        </w:tc>
      </w:tr>
      <w:tr w14:paraId="364A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3DB003D0">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定标委员会组长（姓名、职务）</w:t>
            </w:r>
          </w:p>
        </w:tc>
        <w:tc>
          <w:tcPr>
            <w:tcW w:w="6803" w:type="dxa"/>
            <w:gridSpan w:val="3"/>
            <w:tcBorders>
              <w:top w:val="single" w:color="auto" w:sz="4" w:space="0"/>
              <w:left w:val="nil"/>
              <w:bottom w:val="single" w:color="auto" w:sz="4" w:space="0"/>
              <w:right w:val="single" w:color="auto" w:sz="4" w:space="0"/>
            </w:tcBorders>
            <w:noWrap w:val="0"/>
            <w:vAlign w:val="center"/>
          </w:tcPr>
          <w:p w14:paraId="7C53EADD">
            <w:pPr>
              <w:spacing w:line="400" w:lineRule="exact"/>
              <w:jc w:val="center"/>
              <w:rPr>
                <w:rFonts w:hint="eastAsia" w:ascii="宋体" w:hAnsi="宋体" w:cs="宋体"/>
                <w:color w:val="auto"/>
                <w:szCs w:val="21"/>
                <w:highlight w:val="none"/>
              </w:rPr>
            </w:pPr>
          </w:p>
        </w:tc>
      </w:tr>
      <w:tr w14:paraId="160B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4CEDA6A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招标文件要求</w:t>
            </w:r>
          </w:p>
        </w:tc>
        <w:tc>
          <w:tcPr>
            <w:tcW w:w="6803" w:type="dxa"/>
            <w:gridSpan w:val="3"/>
            <w:tcBorders>
              <w:top w:val="single" w:color="auto" w:sz="4" w:space="0"/>
              <w:left w:val="nil"/>
              <w:bottom w:val="single" w:color="auto" w:sz="4" w:space="0"/>
              <w:right w:val="single" w:color="auto" w:sz="4" w:space="0"/>
            </w:tcBorders>
            <w:noWrap w:val="0"/>
            <w:vAlign w:val="center"/>
          </w:tcPr>
          <w:p w14:paraId="79DE3591">
            <w:pPr>
              <w:spacing w:line="400" w:lineRule="exact"/>
              <w:jc w:val="center"/>
              <w:rPr>
                <w:rFonts w:hint="eastAsia" w:ascii="宋体" w:hAnsi="宋体" w:cs="宋体"/>
                <w:color w:val="auto"/>
                <w:szCs w:val="21"/>
                <w:highlight w:val="none"/>
              </w:rPr>
            </w:pPr>
          </w:p>
        </w:tc>
      </w:tr>
      <w:tr w14:paraId="5EC7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2A39254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其他要求</w:t>
            </w:r>
          </w:p>
        </w:tc>
        <w:tc>
          <w:tcPr>
            <w:tcW w:w="6803" w:type="dxa"/>
            <w:gridSpan w:val="3"/>
            <w:tcBorders>
              <w:top w:val="single" w:color="auto" w:sz="4" w:space="0"/>
              <w:left w:val="nil"/>
              <w:bottom w:val="single" w:color="auto" w:sz="4" w:space="0"/>
              <w:right w:val="single" w:color="auto" w:sz="4" w:space="0"/>
            </w:tcBorders>
            <w:noWrap w:val="0"/>
            <w:vAlign w:val="center"/>
          </w:tcPr>
          <w:p w14:paraId="77A7BA25">
            <w:pPr>
              <w:spacing w:line="400" w:lineRule="exact"/>
              <w:jc w:val="center"/>
              <w:rPr>
                <w:rFonts w:hint="eastAsia" w:ascii="宋体" w:hAnsi="宋体" w:cs="宋体"/>
                <w:color w:val="auto"/>
                <w:szCs w:val="21"/>
                <w:highlight w:val="none"/>
              </w:rPr>
            </w:pPr>
          </w:p>
        </w:tc>
      </w:tr>
      <w:tr w14:paraId="4F38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71" w:type="dxa"/>
            <w:gridSpan w:val="5"/>
            <w:tcBorders>
              <w:top w:val="single" w:color="auto" w:sz="4" w:space="0"/>
              <w:left w:val="single" w:color="auto" w:sz="4" w:space="0"/>
              <w:bottom w:val="single" w:color="auto" w:sz="4" w:space="0"/>
              <w:right w:val="single" w:color="auto" w:sz="4" w:space="0"/>
            </w:tcBorders>
            <w:noWrap w:val="0"/>
            <w:vAlign w:val="center"/>
          </w:tcPr>
          <w:p w14:paraId="5DC05AC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定标委员会成员情况</w:t>
            </w:r>
          </w:p>
        </w:tc>
      </w:tr>
      <w:tr w14:paraId="14D0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4F139B17">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序号</w:t>
            </w:r>
          </w:p>
        </w:tc>
        <w:tc>
          <w:tcPr>
            <w:tcW w:w="1501" w:type="dxa"/>
            <w:tcBorders>
              <w:top w:val="single" w:color="auto" w:sz="4" w:space="0"/>
              <w:left w:val="nil"/>
              <w:bottom w:val="single" w:color="auto" w:sz="4" w:space="0"/>
              <w:right w:val="single" w:color="auto" w:sz="4" w:space="0"/>
            </w:tcBorders>
            <w:noWrap w:val="0"/>
            <w:vAlign w:val="center"/>
          </w:tcPr>
          <w:p w14:paraId="05D7ABD9">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姓名</w:t>
            </w:r>
          </w:p>
        </w:tc>
        <w:tc>
          <w:tcPr>
            <w:tcW w:w="3014" w:type="dxa"/>
            <w:tcBorders>
              <w:top w:val="single" w:color="auto" w:sz="4" w:space="0"/>
              <w:left w:val="nil"/>
              <w:bottom w:val="single" w:color="auto" w:sz="4" w:space="0"/>
              <w:right w:val="single" w:color="auto" w:sz="4" w:space="0"/>
            </w:tcBorders>
            <w:noWrap w:val="0"/>
            <w:vAlign w:val="center"/>
          </w:tcPr>
          <w:p w14:paraId="3C7545B4">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工作单位及职务</w:t>
            </w:r>
          </w:p>
        </w:tc>
        <w:tc>
          <w:tcPr>
            <w:tcW w:w="2414" w:type="dxa"/>
            <w:tcBorders>
              <w:top w:val="single" w:color="auto" w:sz="4" w:space="0"/>
              <w:left w:val="nil"/>
              <w:bottom w:val="single" w:color="auto" w:sz="4" w:space="0"/>
              <w:right w:val="single" w:color="auto" w:sz="4" w:space="0"/>
            </w:tcBorders>
            <w:noWrap w:val="0"/>
            <w:vAlign w:val="center"/>
          </w:tcPr>
          <w:p w14:paraId="3B39A7BB">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联系电话</w:t>
            </w:r>
          </w:p>
        </w:tc>
        <w:tc>
          <w:tcPr>
            <w:tcW w:w="1375" w:type="dxa"/>
            <w:tcBorders>
              <w:top w:val="single" w:color="auto" w:sz="4" w:space="0"/>
              <w:left w:val="nil"/>
              <w:bottom w:val="single" w:color="auto" w:sz="4" w:space="0"/>
              <w:right w:val="single" w:color="auto" w:sz="4" w:space="0"/>
            </w:tcBorders>
            <w:noWrap w:val="0"/>
            <w:vAlign w:val="center"/>
          </w:tcPr>
          <w:p w14:paraId="7C78E59C">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备注</w:t>
            </w:r>
          </w:p>
        </w:tc>
      </w:tr>
      <w:tr w14:paraId="7B27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30E997F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501" w:type="dxa"/>
            <w:tcBorders>
              <w:top w:val="single" w:color="auto" w:sz="4" w:space="0"/>
              <w:left w:val="nil"/>
              <w:bottom w:val="single" w:color="auto" w:sz="4" w:space="0"/>
              <w:right w:val="single" w:color="auto" w:sz="4" w:space="0"/>
            </w:tcBorders>
            <w:noWrap w:val="0"/>
            <w:vAlign w:val="center"/>
          </w:tcPr>
          <w:p w14:paraId="2488AD9B">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38F538EE">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35FA5E0B">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31239952">
            <w:pPr>
              <w:spacing w:line="400" w:lineRule="exact"/>
              <w:jc w:val="center"/>
              <w:rPr>
                <w:rFonts w:hint="eastAsia" w:ascii="宋体" w:hAnsi="宋体" w:cs="宋体"/>
                <w:color w:val="auto"/>
                <w:szCs w:val="21"/>
                <w:highlight w:val="none"/>
              </w:rPr>
            </w:pPr>
          </w:p>
        </w:tc>
      </w:tr>
      <w:tr w14:paraId="7AB8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2F2BACF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1501" w:type="dxa"/>
            <w:tcBorders>
              <w:top w:val="single" w:color="auto" w:sz="4" w:space="0"/>
              <w:left w:val="nil"/>
              <w:bottom w:val="single" w:color="auto" w:sz="4" w:space="0"/>
              <w:right w:val="single" w:color="auto" w:sz="4" w:space="0"/>
            </w:tcBorders>
            <w:noWrap w:val="0"/>
            <w:vAlign w:val="center"/>
          </w:tcPr>
          <w:p w14:paraId="4E955D28">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61B8CBE7">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29739533">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1E1767C9">
            <w:pPr>
              <w:spacing w:line="400" w:lineRule="exact"/>
              <w:jc w:val="center"/>
              <w:rPr>
                <w:rFonts w:hint="eastAsia" w:ascii="宋体" w:hAnsi="宋体" w:cs="宋体"/>
                <w:color w:val="auto"/>
                <w:szCs w:val="21"/>
                <w:highlight w:val="none"/>
              </w:rPr>
            </w:pPr>
          </w:p>
        </w:tc>
      </w:tr>
      <w:tr w14:paraId="17C6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1617513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3</w:t>
            </w:r>
          </w:p>
        </w:tc>
        <w:tc>
          <w:tcPr>
            <w:tcW w:w="1501" w:type="dxa"/>
            <w:tcBorders>
              <w:top w:val="single" w:color="auto" w:sz="4" w:space="0"/>
              <w:left w:val="nil"/>
              <w:bottom w:val="single" w:color="auto" w:sz="4" w:space="0"/>
              <w:right w:val="single" w:color="auto" w:sz="4" w:space="0"/>
            </w:tcBorders>
            <w:noWrap w:val="0"/>
            <w:vAlign w:val="center"/>
          </w:tcPr>
          <w:p w14:paraId="6765E396">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6AD506F4">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2C6266B6">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38FA183E">
            <w:pPr>
              <w:spacing w:line="400" w:lineRule="exact"/>
              <w:jc w:val="center"/>
              <w:rPr>
                <w:rFonts w:hint="eastAsia" w:ascii="宋体" w:hAnsi="宋体" w:cs="宋体"/>
                <w:color w:val="auto"/>
                <w:szCs w:val="21"/>
                <w:highlight w:val="none"/>
              </w:rPr>
            </w:pPr>
          </w:p>
        </w:tc>
      </w:tr>
      <w:tr w14:paraId="7B45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798A51C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4</w:t>
            </w:r>
          </w:p>
        </w:tc>
        <w:tc>
          <w:tcPr>
            <w:tcW w:w="1501" w:type="dxa"/>
            <w:tcBorders>
              <w:top w:val="single" w:color="auto" w:sz="4" w:space="0"/>
              <w:left w:val="nil"/>
              <w:bottom w:val="single" w:color="auto" w:sz="4" w:space="0"/>
              <w:right w:val="single" w:color="auto" w:sz="4" w:space="0"/>
            </w:tcBorders>
            <w:noWrap w:val="0"/>
            <w:vAlign w:val="center"/>
          </w:tcPr>
          <w:p w14:paraId="496EDEEA">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4C9F3663">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419DD4C9">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70721376">
            <w:pPr>
              <w:spacing w:line="400" w:lineRule="exact"/>
              <w:jc w:val="center"/>
              <w:rPr>
                <w:rFonts w:hint="eastAsia" w:ascii="宋体" w:hAnsi="宋体" w:cs="宋体"/>
                <w:color w:val="auto"/>
                <w:szCs w:val="21"/>
                <w:highlight w:val="none"/>
              </w:rPr>
            </w:pPr>
          </w:p>
        </w:tc>
      </w:tr>
      <w:tr w14:paraId="4100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2C2CF27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5</w:t>
            </w:r>
          </w:p>
        </w:tc>
        <w:tc>
          <w:tcPr>
            <w:tcW w:w="1501" w:type="dxa"/>
            <w:tcBorders>
              <w:top w:val="single" w:color="auto" w:sz="4" w:space="0"/>
              <w:left w:val="nil"/>
              <w:bottom w:val="single" w:color="auto" w:sz="4" w:space="0"/>
              <w:right w:val="single" w:color="auto" w:sz="4" w:space="0"/>
            </w:tcBorders>
            <w:noWrap w:val="0"/>
            <w:vAlign w:val="center"/>
          </w:tcPr>
          <w:p w14:paraId="0CE29098">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01911A51">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02117E31">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334FE783">
            <w:pPr>
              <w:spacing w:line="400" w:lineRule="exact"/>
              <w:jc w:val="center"/>
              <w:rPr>
                <w:rFonts w:hint="eastAsia" w:ascii="宋体" w:hAnsi="宋体" w:cs="宋体"/>
                <w:color w:val="auto"/>
                <w:szCs w:val="21"/>
                <w:highlight w:val="none"/>
              </w:rPr>
            </w:pPr>
          </w:p>
        </w:tc>
      </w:tr>
      <w:tr w14:paraId="2452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E9ECA1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6</w:t>
            </w:r>
          </w:p>
        </w:tc>
        <w:tc>
          <w:tcPr>
            <w:tcW w:w="1501" w:type="dxa"/>
            <w:tcBorders>
              <w:top w:val="single" w:color="auto" w:sz="4" w:space="0"/>
              <w:left w:val="nil"/>
              <w:bottom w:val="single" w:color="auto" w:sz="4" w:space="0"/>
              <w:right w:val="single" w:color="auto" w:sz="4" w:space="0"/>
            </w:tcBorders>
            <w:noWrap w:val="0"/>
            <w:vAlign w:val="center"/>
          </w:tcPr>
          <w:p w14:paraId="7888A974">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0B13E6FC">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7FCEE576">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767BCFE3">
            <w:pPr>
              <w:spacing w:line="400" w:lineRule="exact"/>
              <w:jc w:val="center"/>
              <w:rPr>
                <w:rFonts w:hint="eastAsia" w:ascii="宋体" w:hAnsi="宋体" w:cs="宋体"/>
                <w:color w:val="auto"/>
                <w:szCs w:val="21"/>
                <w:highlight w:val="none"/>
              </w:rPr>
            </w:pPr>
          </w:p>
        </w:tc>
      </w:tr>
      <w:tr w14:paraId="4F80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01A6C95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7</w:t>
            </w:r>
          </w:p>
        </w:tc>
        <w:tc>
          <w:tcPr>
            <w:tcW w:w="1501" w:type="dxa"/>
            <w:tcBorders>
              <w:top w:val="single" w:color="auto" w:sz="4" w:space="0"/>
              <w:left w:val="nil"/>
              <w:bottom w:val="single" w:color="auto" w:sz="4" w:space="0"/>
              <w:right w:val="single" w:color="auto" w:sz="4" w:space="0"/>
            </w:tcBorders>
            <w:noWrap w:val="0"/>
            <w:vAlign w:val="center"/>
          </w:tcPr>
          <w:p w14:paraId="52B01E18">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2F08AE1E">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446AA965">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7BBA9766">
            <w:pPr>
              <w:spacing w:line="400" w:lineRule="exact"/>
              <w:jc w:val="center"/>
              <w:rPr>
                <w:rFonts w:hint="eastAsia" w:ascii="宋体" w:hAnsi="宋体" w:cs="宋体"/>
                <w:color w:val="auto"/>
                <w:szCs w:val="21"/>
                <w:highlight w:val="none"/>
              </w:rPr>
            </w:pPr>
          </w:p>
        </w:tc>
      </w:tr>
      <w:tr w14:paraId="71E9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041D2CF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8</w:t>
            </w:r>
          </w:p>
        </w:tc>
        <w:tc>
          <w:tcPr>
            <w:tcW w:w="1501" w:type="dxa"/>
            <w:tcBorders>
              <w:top w:val="single" w:color="auto" w:sz="4" w:space="0"/>
              <w:left w:val="nil"/>
              <w:bottom w:val="single" w:color="auto" w:sz="4" w:space="0"/>
              <w:right w:val="single" w:color="auto" w:sz="4" w:space="0"/>
            </w:tcBorders>
            <w:noWrap w:val="0"/>
            <w:vAlign w:val="center"/>
          </w:tcPr>
          <w:p w14:paraId="25913443">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3E80D7E0">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0110D4BE">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0996ACDA">
            <w:pPr>
              <w:spacing w:line="400" w:lineRule="exact"/>
              <w:jc w:val="center"/>
              <w:rPr>
                <w:rFonts w:hint="eastAsia" w:ascii="宋体" w:hAnsi="宋体" w:cs="宋体"/>
                <w:color w:val="auto"/>
                <w:szCs w:val="21"/>
                <w:highlight w:val="none"/>
              </w:rPr>
            </w:pPr>
          </w:p>
        </w:tc>
      </w:tr>
      <w:tr w14:paraId="28A0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6178B63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9</w:t>
            </w:r>
          </w:p>
        </w:tc>
        <w:tc>
          <w:tcPr>
            <w:tcW w:w="1501" w:type="dxa"/>
            <w:tcBorders>
              <w:top w:val="single" w:color="auto" w:sz="4" w:space="0"/>
              <w:left w:val="nil"/>
              <w:bottom w:val="single" w:color="auto" w:sz="4" w:space="0"/>
              <w:right w:val="single" w:color="auto" w:sz="4" w:space="0"/>
            </w:tcBorders>
            <w:noWrap w:val="0"/>
            <w:vAlign w:val="center"/>
          </w:tcPr>
          <w:p w14:paraId="03A382BC">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1D45DC38">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44A8D5DF">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42213F48">
            <w:pPr>
              <w:spacing w:line="400" w:lineRule="exact"/>
              <w:jc w:val="center"/>
              <w:rPr>
                <w:rFonts w:hint="eastAsia" w:ascii="宋体" w:hAnsi="宋体" w:cs="宋体"/>
                <w:color w:val="auto"/>
                <w:szCs w:val="21"/>
                <w:highlight w:val="none"/>
              </w:rPr>
            </w:pPr>
          </w:p>
        </w:tc>
      </w:tr>
      <w:tr w14:paraId="63A1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71" w:type="dxa"/>
            <w:gridSpan w:val="5"/>
            <w:tcBorders>
              <w:top w:val="single" w:color="auto" w:sz="4" w:space="0"/>
              <w:left w:val="single" w:color="auto" w:sz="4" w:space="0"/>
              <w:bottom w:val="single" w:color="auto" w:sz="4" w:space="0"/>
              <w:right w:val="single" w:color="auto" w:sz="4" w:space="0"/>
            </w:tcBorders>
            <w:noWrap w:val="0"/>
            <w:vAlign w:val="center"/>
          </w:tcPr>
          <w:p w14:paraId="4DF52238">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招标代理机构（签字/时间）：</w:t>
            </w:r>
          </w:p>
        </w:tc>
      </w:tr>
    </w:tbl>
    <w:p w14:paraId="52435226">
      <w:pPr>
        <w:spacing w:line="579" w:lineRule="exact"/>
        <w:rPr>
          <w:rFonts w:hint="eastAsia" w:ascii="宋体" w:hAnsi="宋体" w:cs="宋体"/>
          <w:color w:val="auto"/>
          <w:sz w:val="44"/>
          <w:szCs w:val="44"/>
          <w:highlight w:val="none"/>
        </w:rPr>
      </w:pPr>
      <w:r>
        <w:rPr>
          <w:rFonts w:hint="eastAsia" w:ascii="宋体" w:hAnsi="宋体" w:cs="宋体"/>
          <w:color w:val="auto"/>
          <w:sz w:val="24"/>
          <w:highlight w:val="none"/>
          <w:lang w:eastAsia="zh-CN" w:bidi="ar"/>
        </w:rPr>
        <w:t>经办人</w:t>
      </w:r>
      <w:r>
        <w:rPr>
          <w:rFonts w:hint="eastAsia" w:ascii="宋体" w:hAnsi="宋体" w:cs="宋体"/>
          <w:color w:val="auto"/>
          <w:sz w:val="24"/>
          <w:highlight w:val="none"/>
          <w:lang w:bidi="ar"/>
        </w:rPr>
        <w:t>（签字/时间）：           纪检监察部门监督人员（签字/时间）：</w:t>
      </w:r>
      <w:r>
        <w:rPr>
          <w:rFonts w:hint="eastAsia" w:ascii="宋体" w:hAnsi="宋体" w:cs="宋体"/>
          <w:color w:val="auto"/>
          <w:sz w:val="44"/>
          <w:szCs w:val="44"/>
          <w:highlight w:val="none"/>
          <w:lang w:bidi="ar"/>
        </w:rPr>
        <w:t xml:space="preserve"> </w:t>
      </w:r>
    </w:p>
    <w:p w14:paraId="3CBAADBB">
      <w:pPr>
        <w:spacing w:line="596" w:lineRule="exact"/>
        <w:jc w:val="center"/>
        <w:rPr>
          <w:rFonts w:hint="eastAsia" w:ascii="宋体" w:hAnsi="宋体" w:cs="宋体"/>
          <w:b/>
          <w:bCs/>
          <w:color w:val="auto"/>
          <w:sz w:val="28"/>
          <w:szCs w:val="28"/>
          <w:highlight w:val="none"/>
          <w:lang w:val="en"/>
        </w:rPr>
      </w:pPr>
      <w:r>
        <w:rPr>
          <w:rFonts w:hint="eastAsia" w:ascii="宋体" w:hAnsi="宋体" w:cs="宋体"/>
          <w:b/>
          <w:bCs/>
          <w:color w:val="auto"/>
          <w:sz w:val="28"/>
          <w:szCs w:val="28"/>
          <w:highlight w:val="none"/>
        </w:rPr>
        <w:t>（二）定标会议主要议程（参考）</w:t>
      </w:r>
    </w:p>
    <w:p w14:paraId="04343B23">
      <w:pPr>
        <w:pStyle w:val="37"/>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1</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定标委员会组长宣读定标委员会组建情况及组长、成员名单、宣读定标纪律，定标委员会成员签订承诺书。</w:t>
      </w:r>
    </w:p>
    <w:p w14:paraId="4AF2DE0E">
      <w:pPr>
        <w:pStyle w:val="37"/>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2</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招标项目负责人向定标委员会介绍项目情况、招标情况、评标情况。已对中标候选人进行考察、质询的，还应介绍考察、质询情况。同时提供相关资料（包括：招标文件、开标记录、评标报告、定标要素的基本情况表、涉及定标的其它资料）。</w:t>
      </w:r>
    </w:p>
    <w:p w14:paraId="1733F317">
      <w:pPr>
        <w:pStyle w:val="37"/>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3</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投票。按照招标文件规定的投票规则进行投票。</w:t>
      </w:r>
    </w:p>
    <w:p w14:paraId="24D83956">
      <w:pPr>
        <w:pStyle w:val="37"/>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 w:eastAsia="zh-CN" w:bidi="ar"/>
        </w:rPr>
        <w:t>4</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唱票。唱出定标委员会成员投票结果及投票理由。</w:t>
      </w:r>
    </w:p>
    <w:p w14:paraId="16AD9D03">
      <w:pPr>
        <w:pStyle w:val="37"/>
        <w:autoSpaceDN/>
        <w:spacing w:line="596" w:lineRule="exact"/>
        <w:ind w:firstLine="420" w:firstLineChars="200"/>
        <w:jc w:val="both"/>
        <w:rPr>
          <w:rFonts w:hint="eastAsia" w:ascii="宋体" w:hAnsi="宋体" w:eastAsia="宋体" w:cs="宋体"/>
          <w:color w:val="auto"/>
          <w:szCs w:val="24"/>
          <w:highlight w:val="none"/>
          <w:lang w:eastAsia="zh-CN" w:bidi="ar"/>
        </w:rPr>
      </w:pPr>
      <w:r>
        <w:rPr>
          <w:rFonts w:hint="eastAsia" w:ascii="宋体" w:hAnsi="宋体" w:eastAsia="宋体" w:cs="宋体"/>
          <w:color w:val="auto"/>
          <w:kern w:val="2"/>
          <w:szCs w:val="24"/>
          <w:highlight w:val="none"/>
          <w:lang w:val="en" w:eastAsia="zh-CN" w:bidi="ar"/>
        </w:rPr>
        <w:t>5</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定标。</w:t>
      </w:r>
    </w:p>
    <w:p w14:paraId="646E9C14">
      <w:pPr>
        <w:pStyle w:val="37"/>
        <w:autoSpaceDN/>
        <w:spacing w:line="596" w:lineRule="exact"/>
        <w:ind w:firstLine="420" w:firstLineChars="200"/>
        <w:jc w:val="both"/>
        <w:rPr>
          <w:rFonts w:hint="eastAsia" w:ascii="宋体" w:hAnsi="宋体" w:eastAsia="宋体" w:cs="宋体"/>
          <w:color w:val="auto"/>
          <w:kern w:val="2"/>
          <w:szCs w:val="24"/>
          <w:highlight w:val="none"/>
          <w:lang w:eastAsia="zh-CN"/>
        </w:rPr>
      </w:pPr>
      <w:r>
        <w:rPr>
          <w:rFonts w:hint="eastAsia" w:ascii="宋体" w:hAnsi="宋体" w:eastAsia="宋体" w:cs="宋体"/>
          <w:color w:val="auto"/>
          <w:szCs w:val="24"/>
          <w:highlight w:val="none"/>
          <w:lang w:eastAsia="zh-CN" w:bidi="ar"/>
        </w:rPr>
        <w:t>6.根据定标结果形成书面定标报告。</w:t>
      </w:r>
    </w:p>
    <w:p w14:paraId="3570E4D4">
      <w:pPr>
        <w:spacing w:line="628" w:lineRule="exact"/>
        <w:jc w:val="center"/>
        <w:rPr>
          <w:rFonts w:hint="eastAsia" w:ascii="宋体" w:hAnsi="宋体" w:cs="宋体"/>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28"/>
          <w:szCs w:val="28"/>
          <w:highlight w:val="none"/>
          <w:lang w:bidi="ar"/>
        </w:rPr>
        <w:t>（三）</w:t>
      </w:r>
      <w:r>
        <w:rPr>
          <w:rFonts w:hint="eastAsia" w:ascii="宋体" w:hAnsi="宋体" w:cs="宋体"/>
          <w:b/>
          <w:bCs/>
          <w:color w:val="auto"/>
          <w:sz w:val="28"/>
          <w:szCs w:val="28"/>
          <w:highlight w:val="none"/>
        </w:rPr>
        <w:t>定标委员会成员承诺书</w:t>
      </w:r>
    </w:p>
    <w:p w14:paraId="60AD79A5">
      <w:pPr>
        <w:autoSpaceDE w:val="0"/>
        <w:spacing w:line="628"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我自愿担任本项目的定标委员会成员，在此郑重承诺：</w:t>
      </w:r>
    </w:p>
    <w:p w14:paraId="4861C524">
      <w:pPr>
        <w:pStyle w:val="76"/>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1.严格遵守《中华人民共和国招标投标法》《中华人民共和国</w:t>
      </w:r>
      <w:r>
        <w:rPr>
          <w:rFonts w:hint="eastAsia" w:ascii="宋体" w:hAnsi="宋体" w:eastAsia="宋体" w:cs="宋体"/>
          <w:color w:val="auto"/>
          <w:kern w:val="2"/>
          <w:sz w:val="24"/>
          <w:szCs w:val="24"/>
          <w:highlight w:val="none"/>
          <w:lang w:eastAsia="zh-Hans"/>
        </w:rPr>
        <w:t>保守国家秘密</w:t>
      </w:r>
      <w:r>
        <w:rPr>
          <w:rFonts w:hint="eastAsia" w:ascii="宋体" w:hAnsi="宋体" w:eastAsia="宋体" w:cs="宋体"/>
          <w:color w:val="auto"/>
          <w:kern w:val="2"/>
          <w:sz w:val="24"/>
          <w:szCs w:val="24"/>
          <w:highlight w:val="none"/>
          <w:lang w:eastAsia="zh-CN"/>
        </w:rPr>
        <w:t>法》等相关法律法规规章及制度要求，维护国家利益、公共利益和他人利益。</w:t>
      </w:r>
    </w:p>
    <w:p w14:paraId="0032335E">
      <w:pPr>
        <w:pStyle w:val="76"/>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2.客观公正地履行职责，遵守职业道德，</w:t>
      </w:r>
      <w:r>
        <w:rPr>
          <w:rFonts w:hint="eastAsia" w:ascii="宋体" w:hAnsi="宋体" w:eastAsia="宋体" w:cs="宋体"/>
          <w:color w:val="auto"/>
          <w:sz w:val="24"/>
          <w:szCs w:val="24"/>
          <w:highlight w:val="none"/>
          <w:lang w:eastAsia="zh-CN"/>
        </w:rPr>
        <w:t>独立、负责地为本项目提供真实、可靠合理的定标意见，</w:t>
      </w:r>
      <w:r>
        <w:rPr>
          <w:rFonts w:hint="eastAsia" w:ascii="宋体" w:hAnsi="宋体" w:eastAsia="宋体" w:cs="宋体"/>
          <w:color w:val="auto"/>
          <w:kern w:val="2"/>
          <w:sz w:val="24"/>
          <w:szCs w:val="24"/>
          <w:highlight w:val="none"/>
          <w:lang w:eastAsia="zh-CN"/>
        </w:rPr>
        <w:t>并对提出的评审意见承担个人责任。</w:t>
      </w:r>
    </w:p>
    <w:p w14:paraId="263C0648">
      <w:pPr>
        <w:pStyle w:val="37"/>
        <w:spacing w:line="628" w:lineRule="exact"/>
        <w:ind w:firstLine="396" w:firstLineChars="200"/>
        <w:jc w:val="both"/>
        <w:rPr>
          <w:rFonts w:hint="eastAsia" w:ascii="宋体" w:hAnsi="宋体" w:eastAsia="宋体" w:cs="宋体"/>
          <w:color w:val="auto"/>
          <w:spacing w:val="-6"/>
          <w:kern w:val="2"/>
          <w:szCs w:val="24"/>
          <w:highlight w:val="none"/>
          <w:lang w:eastAsia="zh-CN"/>
        </w:rPr>
      </w:pPr>
      <w:r>
        <w:rPr>
          <w:rFonts w:hint="eastAsia" w:ascii="宋体" w:hAnsi="宋体" w:eastAsia="宋体" w:cs="宋体"/>
          <w:color w:val="auto"/>
          <w:spacing w:val="-6"/>
          <w:kern w:val="2"/>
          <w:szCs w:val="24"/>
          <w:highlight w:val="none"/>
          <w:lang w:eastAsia="zh-CN" w:bidi="ar"/>
        </w:rPr>
        <w:t>3.履行相关保密义务，不透露定标委员会成员名单、中标人推荐以及与定标有关的其他情况，保守定标过程中所有商业秘密。</w:t>
      </w:r>
    </w:p>
    <w:p w14:paraId="0029D402">
      <w:pPr>
        <w:pStyle w:val="37"/>
        <w:spacing w:line="628" w:lineRule="exact"/>
        <w:ind w:firstLine="420" w:firstLineChars="200"/>
        <w:jc w:val="both"/>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lang w:eastAsia="zh-CN" w:bidi="ar"/>
        </w:rPr>
        <w:t>4.遵守定标纪律，不私下接触投标人或者其他利害关系人，不收受他人的财物或者其他好处，自觉抵制定标过程中一切不正当要求。</w:t>
      </w:r>
    </w:p>
    <w:p w14:paraId="3D2F12FF">
      <w:pPr>
        <w:pStyle w:val="37"/>
        <w:spacing w:line="628" w:lineRule="exact"/>
        <w:ind w:firstLine="420" w:firstLineChars="200"/>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lang w:eastAsia="zh-CN" w:bidi="ar"/>
        </w:rPr>
        <w:t>5.严格遵守定标委员会成员回避制度，当发现自己与投标人有</w:t>
      </w:r>
      <w:r>
        <w:rPr>
          <w:rFonts w:hint="eastAsia" w:ascii="宋体" w:hAnsi="宋体" w:eastAsia="宋体" w:cs="宋体"/>
          <w:color w:val="auto"/>
          <w:kern w:val="2"/>
          <w:szCs w:val="24"/>
          <w:highlight w:val="none"/>
          <w:lang w:val="en-US" w:eastAsia="zh-CN" w:bidi="ar"/>
        </w:rPr>
        <w:t>利害</w:t>
      </w:r>
      <w:r>
        <w:rPr>
          <w:rFonts w:hint="eastAsia" w:ascii="宋体" w:hAnsi="宋体" w:eastAsia="宋体" w:cs="宋体"/>
          <w:color w:val="auto"/>
          <w:kern w:val="2"/>
          <w:szCs w:val="24"/>
          <w:highlight w:val="none"/>
          <w:lang w:eastAsia="zh-CN" w:bidi="ar"/>
        </w:rPr>
        <w:t>关系时，绝不隐瞒，主动回避。</w:t>
      </w:r>
    </w:p>
    <w:p w14:paraId="04827B73">
      <w:pPr>
        <w:pStyle w:val="76"/>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6.自觉抵制招投标违法违规行为，积极配合有关部门的调查取证工作。</w:t>
      </w:r>
    </w:p>
    <w:p w14:paraId="1732F4A6">
      <w:pPr>
        <w:pStyle w:val="76"/>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7.自觉服从行政监督部门的监督和管理。</w:t>
      </w:r>
    </w:p>
    <w:p w14:paraId="76435C0F">
      <w:pPr>
        <w:pStyle w:val="76"/>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以上承诺如有违反，本人愿意接受有关行政机关依法做出的行政处罚和处分。</w:t>
      </w:r>
    </w:p>
    <w:p w14:paraId="19896AA2">
      <w:pPr>
        <w:pStyle w:val="37"/>
        <w:widowControl w:val="0"/>
        <w:autoSpaceDN/>
        <w:spacing w:line="628" w:lineRule="exact"/>
        <w:ind w:firstLine="3150" w:firstLineChars="15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承诺人：</w:t>
      </w:r>
    </w:p>
    <w:p w14:paraId="4FBAD732">
      <w:pPr>
        <w:pStyle w:val="37"/>
        <w:widowControl w:val="0"/>
        <w:autoSpaceDN/>
        <w:spacing w:line="628" w:lineRule="exact"/>
        <w:ind w:firstLine="3150" w:firstLineChars="15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承诺日期：</w:t>
      </w:r>
    </w:p>
    <w:p w14:paraId="6643C0EB">
      <w:pPr>
        <w:spacing w:before="0" w:beforeLines="-2147483648" w:after="0" w:afterLines="-2147483648" w:line="579" w:lineRule="exact"/>
        <w:jc w:val="left"/>
        <w:rPr>
          <w:rFonts w:hint="eastAsia" w:ascii="宋体" w:hAnsi="宋体" w:cs="宋体"/>
          <w:b/>
          <w:bCs/>
          <w:color w:val="auto"/>
          <w:sz w:val="28"/>
          <w:szCs w:val="28"/>
          <w:highlight w:val="none"/>
        </w:rPr>
      </w:pPr>
      <w:r>
        <w:rPr>
          <w:rFonts w:hint="eastAsia" w:ascii="宋体" w:hAnsi="宋体" w:cs="宋体"/>
          <w:color w:val="auto"/>
          <w:sz w:val="24"/>
          <w:highlight w:val="none"/>
          <w:lang w:bidi="ar"/>
        </w:rPr>
        <w:t xml:space="preserve"> </w:t>
      </w:r>
      <w:r>
        <w:rPr>
          <w:rFonts w:hint="eastAsia" w:ascii="宋体" w:hAnsi="宋体" w:cs="宋体"/>
          <w:color w:val="auto"/>
          <w:sz w:val="32"/>
          <w:szCs w:val="32"/>
          <w:highlight w:val="none"/>
          <w:lang w:val="en-US" w:eastAsia="zh-CN" w:bidi="ar"/>
        </w:rPr>
        <w:t xml:space="preserve">             </w:t>
      </w:r>
      <w:r>
        <w:rPr>
          <w:rFonts w:hint="eastAsia" w:ascii="宋体" w:hAnsi="宋体" w:cs="宋体"/>
          <w:b/>
          <w:bCs/>
          <w:color w:val="auto"/>
          <w:sz w:val="28"/>
          <w:szCs w:val="28"/>
          <w:highlight w:val="none"/>
          <w:lang w:bidi="ar"/>
        </w:rPr>
        <w:t>（四）</w:t>
      </w:r>
      <w:r>
        <w:rPr>
          <w:rFonts w:hint="eastAsia" w:ascii="宋体" w:hAnsi="宋体" w:cs="宋体"/>
          <w:b/>
          <w:bCs/>
          <w:color w:val="auto"/>
          <w:sz w:val="28"/>
          <w:szCs w:val="28"/>
          <w:highlight w:val="none"/>
        </w:rPr>
        <w:t>定标委员会成员定标投票表</w:t>
      </w:r>
    </w:p>
    <w:tbl>
      <w:tblPr>
        <w:tblStyle w:val="41"/>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7381"/>
      </w:tblGrid>
      <w:tr w14:paraId="4894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71EE3C2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项目名称</w:t>
            </w:r>
          </w:p>
        </w:tc>
        <w:tc>
          <w:tcPr>
            <w:tcW w:w="7381" w:type="dxa"/>
            <w:tcBorders>
              <w:top w:val="single" w:color="auto" w:sz="4" w:space="0"/>
              <w:left w:val="nil"/>
              <w:bottom w:val="single" w:color="auto" w:sz="4" w:space="0"/>
              <w:right w:val="single" w:color="auto" w:sz="4" w:space="0"/>
            </w:tcBorders>
            <w:noWrap w:val="0"/>
            <w:vAlign w:val="center"/>
          </w:tcPr>
          <w:p w14:paraId="653F0122">
            <w:pPr>
              <w:spacing w:line="400" w:lineRule="exact"/>
              <w:jc w:val="center"/>
              <w:rPr>
                <w:rFonts w:hint="eastAsia" w:ascii="宋体" w:hAnsi="宋体" w:cs="宋体"/>
                <w:b/>
                <w:color w:val="auto"/>
                <w:szCs w:val="21"/>
                <w:highlight w:val="none"/>
              </w:rPr>
            </w:pPr>
          </w:p>
        </w:tc>
      </w:tr>
      <w:tr w14:paraId="1294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09F6384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定标办法</w:t>
            </w:r>
          </w:p>
        </w:tc>
        <w:tc>
          <w:tcPr>
            <w:tcW w:w="7381" w:type="dxa"/>
            <w:tcBorders>
              <w:top w:val="single" w:color="auto" w:sz="4" w:space="0"/>
              <w:left w:val="nil"/>
              <w:bottom w:val="single" w:color="auto" w:sz="4" w:space="0"/>
              <w:right w:val="single" w:color="auto" w:sz="4" w:space="0"/>
            </w:tcBorders>
            <w:noWrap w:val="0"/>
            <w:vAlign w:val="center"/>
          </w:tcPr>
          <w:p w14:paraId="7F8EC542">
            <w:pPr>
              <w:spacing w:line="400" w:lineRule="exact"/>
              <w:jc w:val="center"/>
              <w:rPr>
                <w:rFonts w:hint="eastAsia" w:ascii="宋体" w:hAnsi="宋体" w:cs="宋体"/>
                <w:color w:val="auto"/>
                <w:szCs w:val="21"/>
                <w:highlight w:val="none"/>
              </w:rPr>
            </w:pPr>
          </w:p>
        </w:tc>
      </w:tr>
      <w:tr w14:paraId="4684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5BBF670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中标候选人</w:t>
            </w:r>
          </w:p>
        </w:tc>
        <w:tc>
          <w:tcPr>
            <w:tcW w:w="7381" w:type="dxa"/>
            <w:tcBorders>
              <w:top w:val="single" w:color="auto" w:sz="4" w:space="0"/>
              <w:left w:val="nil"/>
              <w:bottom w:val="single" w:color="auto" w:sz="4" w:space="0"/>
              <w:right w:val="single" w:color="auto" w:sz="4" w:space="0"/>
            </w:tcBorders>
            <w:noWrap w:val="0"/>
            <w:vAlign w:val="center"/>
          </w:tcPr>
          <w:p w14:paraId="786BA228">
            <w:pPr>
              <w:spacing w:line="400" w:lineRule="exact"/>
              <w:jc w:val="center"/>
              <w:rPr>
                <w:rFonts w:hint="eastAsia" w:ascii="宋体" w:hAnsi="宋体" w:cs="宋体"/>
                <w:b/>
                <w:color w:val="auto"/>
                <w:szCs w:val="21"/>
                <w:highlight w:val="none"/>
              </w:rPr>
            </w:pPr>
          </w:p>
        </w:tc>
      </w:tr>
      <w:tr w14:paraId="4793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4E9A4BD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定标要素</w:t>
            </w:r>
          </w:p>
        </w:tc>
        <w:tc>
          <w:tcPr>
            <w:tcW w:w="7381" w:type="dxa"/>
            <w:tcBorders>
              <w:top w:val="nil"/>
              <w:left w:val="nil"/>
              <w:bottom w:val="single" w:color="auto" w:sz="4" w:space="0"/>
              <w:right w:val="single" w:color="auto" w:sz="4" w:space="0"/>
            </w:tcBorders>
            <w:noWrap w:val="0"/>
            <w:vAlign w:val="center"/>
          </w:tcPr>
          <w:p w14:paraId="3CA7380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需按照招标文件中选择的定标要素填写</w:t>
            </w:r>
            <w:r>
              <w:rPr>
                <w:rFonts w:hint="eastAsia" w:ascii="宋体" w:hAnsi="宋体" w:cs="宋体"/>
                <w:color w:val="auto"/>
                <w:szCs w:val="21"/>
                <w:highlight w:val="none"/>
                <w:lang w:bidi="ar"/>
              </w:rPr>
              <w:t>）</w:t>
            </w:r>
          </w:p>
          <w:p w14:paraId="04F3DC44">
            <w:pPr>
              <w:rPr>
                <w:color w:val="auto"/>
                <w:highlight w:val="none"/>
              </w:rPr>
            </w:pPr>
          </w:p>
          <w:p w14:paraId="3D1CD315">
            <w:pPr>
              <w:rPr>
                <w:color w:val="auto"/>
                <w:highlight w:val="none"/>
              </w:rPr>
            </w:pPr>
          </w:p>
          <w:p w14:paraId="6E00D7C8">
            <w:pPr>
              <w:rPr>
                <w:color w:val="auto"/>
                <w:highlight w:val="none"/>
              </w:rPr>
            </w:pPr>
          </w:p>
          <w:p w14:paraId="11DCF241">
            <w:pPr>
              <w:rPr>
                <w:color w:val="auto"/>
                <w:highlight w:val="none"/>
              </w:rPr>
            </w:pPr>
          </w:p>
          <w:p w14:paraId="7108C83A">
            <w:pPr>
              <w:rPr>
                <w:color w:val="auto"/>
                <w:highlight w:val="none"/>
              </w:rPr>
            </w:pPr>
          </w:p>
          <w:p w14:paraId="2DE218FC">
            <w:pPr>
              <w:rPr>
                <w:color w:val="auto"/>
                <w:highlight w:val="none"/>
              </w:rPr>
            </w:pPr>
          </w:p>
          <w:p w14:paraId="3A85FB3A">
            <w:pPr>
              <w:rPr>
                <w:color w:val="auto"/>
                <w:highlight w:val="none"/>
              </w:rPr>
            </w:pPr>
          </w:p>
          <w:p w14:paraId="39239D98">
            <w:pPr>
              <w:spacing w:line="400" w:lineRule="exact"/>
              <w:jc w:val="left"/>
              <w:rPr>
                <w:rFonts w:hint="eastAsia" w:ascii="宋体" w:hAnsi="宋体" w:cs="宋体"/>
                <w:color w:val="auto"/>
                <w:szCs w:val="21"/>
                <w:highlight w:val="none"/>
              </w:rPr>
            </w:pPr>
          </w:p>
        </w:tc>
      </w:tr>
      <w:tr w14:paraId="4AED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6BFCD574">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推荐中标</w:t>
            </w:r>
          </w:p>
          <w:p w14:paraId="7C01B380">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lang w:bidi="ar"/>
              </w:rPr>
              <w:t>人及理由</w:t>
            </w:r>
          </w:p>
        </w:tc>
        <w:tc>
          <w:tcPr>
            <w:tcW w:w="7381" w:type="dxa"/>
            <w:tcBorders>
              <w:top w:val="single" w:color="auto" w:sz="4" w:space="0"/>
              <w:left w:val="nil"/>
              <w:bottom w:val="single" w:color="auto" w:sz="4" w:space="0"/>
              <w:right w:val="single" w:color="auto" w:sz="4" w:space="0"/>
            </w:tcBorders>
            <w:noWrap w:val="0"/>
            <w:vAlign w:val="top"/>
          </w:tcPr>
          <w:p w14:paraId="28F0F8CA">
            <w:pPr>
              <w:spacing w:line="400" w:lineRule="exact"/>
              <w:rPr>
                <w:rFonts w:hint="eastAsia" w:ascii="宋体" w:hAnsi="宋体" w:cs="宋体"/>
                <w:b/>
                <w:color w:val="auto"/>
                <w:szCs w:val="21"/>
                <w:highlight w:val="none"/>
              </w:rPr>
            </w:pPr>
          </w:p>
        </w:tc>
      </w:tr>
    </w:tbl>
    <w:p w14:paraId="5B1773B1">
      <w:pPr>
        <w:spacing w:line="240" w:lineRule="atLeast"/>
        <w:rPr>
          <w:rFonts w:hint="eastAsia" w:ascii="宋体" w:hAnsi="宋体" w:cs="宋体"/>
          <w:color w:val="auto"/>
          <w:sz w:val="24"/>
          <w:highlight w:val="none"/>
        </w:rPr>
      </w:pPr>
      <w:r>
        <w:rPr>
          <w:rFonts w:hint="eastAsia" w:ascii="宋体" w:hAnsi="宋体" w:cs="宋体"/>
          <w:color w:val="auto"/>
          <w:sz w:val="24"/>
          <w:highlight w:val="none"/>
          <w:lang w:bidi="ar"/>
        </w:rPr>
        <w:t>定标委员会成员签字：                          日期：</w:t>
      </w:r>
    </w:p>
    <w:p w14:paraId="43EC2371">
      <w:pPr>
        <w:widowControl/>
        <w:jc w:val="left"/>
        <w:rPr>
          <w:rFonts w:eastAsia="黑体"/>
          <w:color w:val="auto"/>
          <w:sz w:val="30"/>
          <w:szCs w:val="30"/>
          <w:highlight w:val="none"/>
        </w:rPr>
      </w:pPr>
    </w:p>
    <w:p w14:paraId="0A4B6596">
      <w:pPr>
        <w:widowControl/>
        <w:jc w:val="left"/>
        <w:rPr>
          <w:rFonts w:eastAsia="黑体"/>
          <w:color w:val="auto"/>
          <w:sz w:val="30"/>
          <w:szCs w:val="30"/>
          <w:highlight w:val="none"/>
        </w:rPr>
      </w:pPr>
    </w:p>
    <w:p w14:paraId="75C1DA1E">
      <w:pPr>
        <w:spacing w:before="120" w:beforeLines="50" w:after="120" w:afterLines="50" w:line="596"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bidi="ar"/>
        </w:rPr>
        <w:t>（五）</w:t>
      </w:r>
      <w:r>
        <w:rPr>
          <w:rFonts w:hint="eastAsia" w:ascii="宋体" w:hAnsi="宋体" w:cs="宋体"/>
          <w:b/>
          <w:bCs/>
          <w:color w:val="auto"/>
          <w:sz w:val="28"/>
          <w:szCs w:val="28"/>
          <w:highlight w:val="none"/>
        </w:rPr>
        <w:t>定标委员会定标投票统计表</w:t>
      </w:r>
    </w:p>
    <w:p w14:paraId="00C02FF4">
      <w:pPr>
        <w:spacing w:line="240" w:lineRule="atLeast"/>
        <w:rPr>
          <w:rFonts w:hint="eastAsia" w:ascii="宋体" w:hAnsi="宋体" w:cs="宋体"/>
          <w:color w:val="auto"/>
          <w:sz w:val="24"/>
          <w:highlight w:val="none"/>
        </w:rPr>
      </w:pPr>
      <w:r>
        <w:rPr>
          <w:rFonts w:hint="eastAsia" w:ascii="宋体" w:hAnsi="宋体" w:cs="宋体"/>
          <w:color w:val="auto"/>
          <w:sz w:val="24"/>
          <w:highlight w:val="none"/>
          <w:lang w:bidi="ar"/>
        </w:rPr>
        <w:t>项目名称：</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1555"/>
        <w:gridCol w:w="1697"/>
        <w:gridCol w:w="1663"/>
        <w:gridCol w:w="1752"/>
      </w:tblGrid>
      <w:tr w14:paraId="12C5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4"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9D3F97A">
            <w:pPr>
              <w:snapToGrid w:val="0"/>
              <w:spacing w:line="400" w:lineRule="exact"/>
              <w:ind w:firstLine="840" w:firstLineChars="40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中标候选人</w:t>
            </w:r>
          </w:p>
          <w:p w14:paraId="65658C14">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定标委员会成员</w:t>
            </w:r>
          </w:p>
        </w:tc>
        <w:tc>
          <w:tcPr>
            <w:tcW w:w="1555" w:type="dxa"/>
            <w:tcBorders>
              <w:top w:val="single" w:color="auto" w:sz="4" w:space="0"/>
              <w:left w:val="nil"/>
              <w:bottom w:val="single" w:color="auto" w:sz="4" w:space="0"/>
              <w:right w:val="single" w:color="auto" w:sz="4" w:space="0"/>
            </w:tcBorders>
            <w:noWrap w:val="0"/>
            <w:vAlign w:val="top"/>
          </w:tcPr>
          <w:p w14:paraId="189574EC">
            <w:pPr>
              <w:spacing w:line="400" w:lineRule="exact"/>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top"/>
          </w:tcPr>
          <w:p w14:paraId="5BB2B62F">
            <w:pPr>
              <w:spacing w:line="400" w:lineRule="exact"/>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top"/>
          </w:tcPr>
          <w:p w14:paraId="4D7D827C">
            <w:pPr>
              <w:spacing w:line="400" w:lineRule="exact"/>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238ACEE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备注</w:t>
            </w:r>
          </w:p>
        </w:tc>
      </w:tr>
      <w:tr w14:paraId="0A2B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0BEA89E8">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299B268D">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1D6EE5F9">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6C15CD4E">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6779EBA2">
            <w:pPr>
              <w:spacing w:line="400" w:lineRule="exact"/>
              <w:rPr>
                <w:rFonts w:hint="eastAsia" w:ascii="宋体" w:hAnsi="宋体" w:cs="宋体"/>
                <w:color w:val="auto"/>
                <w:szCs w:val="21"/>
                <w:highlight w:val="none"/>
              </w:rPr>
            </w:pPr>
          </w:p>
        </w:tc>
      </w:tr>
      <w:tr w14:paraId="327A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224402C9">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79C42E71">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07FBAF84">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69A43BF2">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08A4B4BE">
            <w:pPr>
              <w:spacing w:line="400" w:lineRule="exact"/>
              <w:rPr>
                <w:rFonts w:hint="eastAsia" w:ascii="宋体" w:hAnsi="宋体" w:cs="宋体"/>
                <w:color w:val="auto"/>
                <w:szCs w:val="21"/>
                <w:highlight w:val="none"/>
              </w:rPr>
            </w:pPr>
          </w:p>
        </w:tc>
      </w:tr>
      <w:tr w14:paraId="34A6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6EECE2CB">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1EC1634B">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0F58DBF5">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12D60B2F">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6B82EC45">
            <w:pPr>
              <w:spacing w:line="400" w:lineRule="exact"/>
              <w:rPr>
                <w:rFonts w:hint="eastAsia" w:ascii="宋体" w:hAnsi="宋体" w:cs="宋体"/>
                <w:color w:val="auto"/>
                <w:szCs w:val="21"/>
                <w:highlight w:val="none"/>
              </w:rPr>
            </w:pPr>
          </w:p>
        </w:tc>
      </w:tr>
      <w:tr w14:paraId="77B2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0799756A">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67AB07C5">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196FD0D3">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59D0022D">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41E79EDE">
            <w:pPr>
              <w:spacing w:line="400" w:lineRule="exact"/>
              <w:rPr>
                <w:rFonts w:hint="eastAsia" w:ascii="宋体" w:hAnsi="宋体" w:cs="宋体"/>
                <w:color w:val="auto"/>
                <w:szCs w:val="21"/>
                <w:highlight w:val="none"/>
              </w:rPr>
            </w:pPr>
          </w:p>
        </w:tc>
      </w:tr>
      <w:tr w14:paraId="6430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70F832C8">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7F280A5D">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07D04580">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4D5260E5">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2F120D22">
            <w:pPr>
              <w:spacing w:line="400" w:lineRule="exact"/>
              <w:rPr>
                <w:rFonts w:hint="eastAsia" w:ascii="宋体" w:hAnsi="宋体" w:cs="宋体"/>
                <w:color w:val="auto"/>
                <w:szCs w:val="21"/>
                <w:highlight w:val="none"/>
              </w:rPr>
            </w:pPr>
          </w:p>
        </w:tc>
      </w:tr>
      <w:tr w14:paraId="591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42322712">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62B88BEC">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7D7A5D1F">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748C7FA1">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69FA8408">
            <w:pPr>
              <w:spacing w:line="400" w:lineRule="exact"/>
              <w:rPr>
                <w:rFonts w:hint="eastAsia" w:ascii="宋体" w:hAnsi="宋体" w:cs="宋体"/>
                <w:color w:val="auto"/>
                <w:szCs w:val="21"/>
                <w:highlight w:val="none"/>
              </w:rPr>
            </w:pPr>
          </w:p>
        </w:tc>
      </w:tr>
      <w:tr w14:paraId="65D6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7C990C9B">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3DE93EE3">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6070DE8B">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3765A2A6">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673B7297">
            <w:pPr>
              <w:spacing w:line="400" w:lineRule="exact"/>
              <w:rPr>
                <w:rFonts w:hint="eastAsia" w:ascii="宋体" w:hAnsi="宋体" w:cs="宋体"/>
                <w:color w:val="auto"/>
                <w:szCs w:val="21"/>
                <w:highlight w:val="none"/>
              </w:rPr>
            </w:pPr>
          </w:p>
        </w:tc>
      </w:tr>
      <w:tr w14:paraId="320D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25E2A2C8">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11A0D7DA">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7A85910B">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3CBCB183">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72C7D1A3">
            <w:pPr>
              <w:spacing w:line="400" w:lineRule="exact"/>
              <w:rPr>
                <w:rFonts w:hint="eastAsia" w:ascii="宋体" w:hAnsi="宋体" w:cs="宋体"/>
                <w:color w:val="auto"/>
                <w:szCs w:val="21"/>
                <w:highlight w:val="none"/>
              </w:rPr>
            </w:pPr>
          </w:p>
        </w:tc>
      </w:tr>
      <w:tr w14:paraId="7B70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167DDC09">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0E37E4F7">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2845DF3F">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49EC174A">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48E1B2D6">
            <w:pPr>
              <w:spacing w:line="400" w:lineRule="exact"/>
              <w:rPr>
                <w:rFonts w:hint="eastAsia" w:ascii="宋体" w:hAnsi="宋体" w:cs="宋体"/>
                <w:color w:val="auto"/>
                <w:szCs w:val="21"/>
                <w:highlight w:val="none"/>
              </w:rPr>
            </w:pPr>
          </w:p>
        </w:tc>
      </w:tr>
      <w:tr w14:paraId="76B7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CAEA69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得票数</w:t>
            </w:r>
          </w:p>
        </w:tc>
        <w:tc>
          <w:tcPr>
            <w:tcW w:w="1555" w:type="dxa"/>
            <w:tcBorders>
              <w:top w:val="single" w:color="auto" w:sz="4" w:space="0"/>
              <w:left w:val="nil"/>
              <w:bottom w:val="single" w:color="auto" w:sz="4" w:space="0"/>
              <w:right w:val="single" w:color="auto" w:sz="4" w:space="0"/>
            </w:tcBorders>
            <w:noWrap w:val="0"/>
            <w:vAlign w:val="center"/>
          </w:tcPr>
          <w:p w14:paraId="1BF8D93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票</w:t>
            </w:r>
          </w:p>
        </w:tc>
        <w:tc>
          <w:tcPr>
            <w:tcW w:w="1697" w:type="dxa"/>
            <w:tcBorders>
              <w:top w:val="single" w:color="auto" w:sz="4" w:space="0"/>
              <w:left w:val="nil"/>
              <w:bottom w:val="single" w:color="auto" w:sz="4" w:space="0"/>
              <w:right w:val="single" w:color="auto" w:sz="4" w:space="0"/>
            </w:tcBorders>
            <w:noWrap w:val="0"/>
            <w:vAlign w:val="center"/>
          </w:tcPr>
          <w:p w14:paraId="1C95899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票</w:t>
            </w:r>
          </w:p>
        </w:tc>
        <w:tc>
          <w:tcPr>
            <w:tcW w:w="1663" w:type="dxa"/>
            <w:tcBorders>
              <w:top w:val="single" w:color="auto" w:sz="4" w:space="0"/>
              <w:left w:val="nil"/>
              <w:bottom w:val="single" w:color="auto" w:sz="4" w:space="0"/>
              <w:right w:val="single" w:color="auto" w:sz="4" w:space="0"/>
            </w:tcBorders>
            <w:noWrap w:val="0"/>
            <w:vAlign w:val="center"/>
          </w:tcPr>
          <w:p w14:paraId="66A3E4D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票</w:t>
            </w:r>
          </w:p>
        </w:tc>
        <w:tc>
          <w:tcPr>
            <w:tcW w:w="1752" w:type="dxa"/>
            <w:tcBorders>
              <w:top w:val="single" w:color="auto" w:sz="4" w:space="0"/>
              <w:left w:val="nil"/>
              <w:bottom w:val="single" w:color="auto" w:sz="4" w:space="0"/>
              <w:right w:val="single" w:color="auto" w:sz="4" w:space="0"/>
            </w:tcBorders>
            <w:noWrap w:val="0"/>
            <w:vAlign w:val="center"/>
          </w:tcPr>
          <w:p w14:paraId="62E2CCB8">
            <w:pPr>
              <w:spacing w:line="400" w:lineRule="exact"/>
              <w:jc w:val="center"/>
              <w:rPr>
                <w:rFonts w:hint="eastAsia" w:ascii="宋体" w:hAnsi="宋体" w:cs="宋体"/>
                <w:color w:val="auto"/>
                <w:szCs w:val="21"/>
                <w:highlight w:val="none"/>
              </w:rPr>
            </w:pPr>
          </w:p>
        </w:tc>
      </w:tr>
      <w:tr w14:paraId="78BB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70B7DE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确定中标人</w:t>
            </w:r>
          </w:p>
        </w:tc>
        <w:tc>
          <w:tcPr>
            <w:tcW w:w="6667" w:type="dxa"/>
            <w:gridSpan w:val="4"/>
            <w:tcBorders>
              <w:top w:val="single" w:color="auto" w:sz="4" w:space="0"/>
              <w:left w:val="nil"/>
              <w:bottom w:val="single" w:color="auto" w:sz="4" w:space="0"/>
              <w:right w:val="single" w:color="auto" w:sz="4" w:space="0"/>
            </w:tcBorders>
            <w:noWrap w:val="0"/>
            <w:vAlign w:val="center"/>
          </w:tcPr>
          <w:p w14:paraId="6419CA7F">
            <w:pPr>
              <w:spacing w:line="400" w:lineRule="exact"/>
              <w:jc w:val="center"/>
              <w:rPr>
                <w:rFonts w:hint="eastAsia" w:ascii="宋体" w:hAnsi="宋体" w:cs="宋体"/>
                <w:color w:val="auto"/>
                <w:szCs w:val="21"/>
                <w:highlight w:val="none"/>
              </w:rPr>
            </w:pPr>
          </w:p>
        </w:tc>
      </w:tr>
      <w:tr w14:paraId="1BC6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01D65FB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定标委员会</w:t>
            </w:r>
          </w:p>
          <w:p w14:paraId="7A2324B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（签名）</w:t>
            </w:r>
          </w:p>
        </w:tc>
        <w:tc>
          <w:tcPr>
            <w:tcW w:w="6667" w:type="dxa"/>
            <w:gridSpan w:val="4"/>
            <w:tcBorders>
              <w:top w:val="single" w:color="auto" w:sz="4" w:space="0"/>
              <w:left w:val="nil"/>
              <w:bottom w:val="single" w:color="auto" w:sz="4" w:space="0"/>
              <w:right w:val="single" w:color="auto" w:sz="4" w:space="0"/>
            </w:tcBorders>
            <w:noWrap w:val="0"/>
            <w:vAlign w:val="top"/>
          </w:tcPr>
          <w:p w14:paraId="6399CA37">
            <w:pPr>
              <w:spacing w:line="400" w:lineRule="exact"/>
              <w:jc w:val="center"/>
              <w:rPr>
                <w:rFonts w:hint="eastAsia" w:ascii="宋体" w:hAnsi="宋体" w:cs="宋体"/>
                <w:color w:val="auto"/>
                <w:szCs w:val="21"/>
                <w:highlight w:val="none"/>
              </w:rPr>
            </w:pPr>
          </w:p>
        </w:tc>
      </w:tr>
    </w:tbl>
    <w:p w14:paraId="50F20AA7">
      <w:pPr>
        <w:spacing w:line="240" w:lineRule="atLeast"/>
        <w:ind w:firstLine="0" w:firstLineChars="0"/>
        <w:jc w:val="center"/>
        <w:rPr>
          <w:rFonts w:hint="eastAsia" w:ascii="宋体" w:hAnsi="宋体" w:cs="宋体"/>
          <w:b/>
          <w:bCs/>
          <w:color w:val="auto"/>
          <w:sz w:val="28"/>
          <w:szCs w:val="28"/>
          <w:highlight w:val="none"/>
          <w:lang w:bidi="ar"/>
        </w:rPr>
      </w:pPr>
      <w:r>
        <w:rPr>
          <w:rFonts w:hint="eastAsia" w:ascii="宋体" w:hAnsi="宋体" w:cs="宋体"/>
          <w:color w:val="auto"/>
          <w:sz w:val="24"/>
          <w:highlight w:val="none"/>
          <w:lang w:bidi="ar"/>
        </w:rPr>
        <w:t>统计人（签字）：                   纪检监察部门监督人员（签字）：</w:t>
      </w:r>
      <w:r>
        <w:rPr>
          <w:rFonts w:hint="eastAsia" w:ascii="宋体" w:hAnsi="宋体" w:cs="宋体"/>
          <w:b/>
          <w:color w:val="auto"/>
          <w:sz w:val="24"/>
          <w:highlight w:val="none"/>
          <w:lang w:bidi="ar"/>
        </w:rPr>
        <w:br w:type="page"/>
      </w:r>
      <w:r>
        <w:rPr>
          <w:rFonts w:hint="eastAsia" w:ascii="宋体" w:hAnsi="宋体" w:cs="宋体"/>
          <w:b/>
          <w:color w:val="auto"/>
          <w:sz w:val="28"/>
          <w:szCs w:val="28"/>
          <w:highlight w:val="none"/>
          <w:lang w:bidi="ar"/>
        </w:rPr>
        <w:t>（六）</w:t>
      </w:r>
      <w:r>
        <w:rPr>
          <w:rFonts w:hint="eastAsia" w:ascii="宋体" w:hAnsi="宋体" w:cs="宋体"/>
          <w:b/>
          <w:bCs/>
          <w:color w:val="auto"/>
          <w:sz w:val="28"/>
          <w:szCs w:val="28"/>
          <w:highlight w:val="none"/>
          <w:lang w:bidi="ar"/>
        </w:rPr>
        <w:t>定标报告</w:t>
      </w:r>
    </w:p>
    <w:p w14:paraId="2B6991D7">
      <w:pPr>
        <w:spacing w:line="240" w:lineRule="atLeast"/>
        <w:jc w:val="both"/>
        <w:rPr>
          <w:rFonts w:hint="eastAsia" w:ascii="宋体" w:hAnsi="宋体" w:cs="宋体"/>
          <w:color w:val="auto"/>
          <w:sz w:val="24"/>
          <w:highlight w:val="none"/>
          <w:lang w:bidi="ar"/>
        </w:rPr>
      </w:pPr>
    </w:p>
    <w:p w14:paraId="6A53D8F4">
      <w:pPr>
        <w:spacing w:line="240" w:lineRule="atLeast"/>
        <w:jc w:val="both"/>
        <w:rPr>
          <w:rFonts w:hint="eastAsia" w:ascii="宋体" w:hAnsi="宋体" w:cs="宋体"/>
          <w:color w:val="auto"/>
          <w:sz w:val="24"/>
          <w:highlight w:val="none"/>
        </w:rPr>
      </w:pPr>
      <w:r>
        <w:rPr>
          <w:rFonts w:hint="eastAsia" w:ascii="宋体" w:hAnsi="宋体" w:cs="宋体"/>
          <w:color w:val="auto"/>
          <w:sz w:val="24"/>
          <w:highlight w:val="none"/>
          <w:lang w:bidi="ar"/>
        </w:rPr>
        <w:t xml:space="preserve">招标编号： </w:t>
      </w:r>
    </w:p>
    <w:p w14:paraId="13BA106B">
      <w:pPr>
        <w:spacing w:line="240" w:lineRule="atLeast"/>
        <w:jc w:val="both"/>
        <w:rPr>
          <w:rFonts w:hint="eastAsia" w:ascii="宋体" w:hAnsi="宋体" w:cs="宋体"/>
          <w:color w:val="auto"/>
          <w:sz w:val="24"/>
          <w:highlight w:val="none"/>
          <w:lang w:bidi="ar"/>
        </w:rPr>
      </w:pPr>
    </w:p>
    <w:p w14:paraId="7C893C4C">
      <w:pPr>
        <w:spacing w:line="240" w:lineRule="atLeast"/>
        <w:jc w:val="both"/>
        <w:rPr>
          <w:rFonts w:hint="eastAsia" w:ascii="宋体" w:hAnsi="宋体" w:cs="宋体"/>
          <w:color w:val="auto"/>
          <w:sz w:val="24"/>
          <w:highlight w:val="none"/>
          <w:lang w:bidi="ar"/>
        </w:rPr>
      </w:pPr>
    </w:p>
    <w:p w14:paraId="1E3006BF">
      <w:pPr>
        <w:spacing w:line="240" w:lineRule="atLeast"/>
        <w:jc w:val="both"/>
        <w:rPr>
          <w:rFonts w:hint="eastAsia" w:ascii="宋体" w:hAnsi="宋体" w:cs="宋体"/>
          <w:color w:val="auto"/>
          <w:sz w:val="24"/>
          <w:highlight w:val="none"/>
          <w:u w:val="single"/>
        </w:rPr>
      </w:pPr>
      <w:r>
        <w:rPr>
          <w:rFonts w:hint="eastAsia" w:ascii="宋体" w:hAnsi="宋体" w:cs="宋体"/>
          <w:color w:val="auto"/>
          <w:sz w:val="24"/>
          <w:highlight w:val="none"/>
          <w:lang w:bidi="ar"/>
        </w:rPr>
        <w:t>招标人：</w:t>
      </w:r>
      <w:r>
        <w:rPr>
          <w:rFonts w:hint="eastAsia" w:ascii="宋体" w:hAnsi="宋体" w:cs="宋体"/>
          <w:color w:val="auto"/>
          <w:sz w:val="24"/>
          <w:highlight w:val="none"/>
          <w:u w:val="single"/>
          <w:lang w:bidi="ar"/>
        </w:rPr>
        <w:t xml:space="preserve">                 （盖章）</w:t>
      </w:r>
    </w:p>
    <w:p w14:paraId="38D83A25">
      <w:pPr>
        <w:spacing w:line="240" w:lineRule="atLeast"/>
        <w:jc w:val="center"/>
        <w:rPr>
          <w:rFonts w:hint="eastAsia" w:ascii="宋体" w:hAnsi="宋体" w:cs="宋体"/>
          <w:color w:val="auto"/>
          <w:sz w:val="24"/>
          <w:highlight w:val="none"/>
          <w:u w:val="single"/>
        </w:rPr>
      </w:pPr>
    </w:p>
    <w:p w14:paraId="4723CF6F">
      <w:pPr>
        <w:spacing w:line="240" w:lineRule="atLeast"/>
        <w:jc w:val="center"/>
        <w:rPr>
          <w:rFonts w:hint="eastAsia" w:ascii="宋体" w:hAnsi="宋体" w:cs="宋体"/>
          <w:color w:val="auto"/>
          <w:sz w:val="24"/>
          <w:highlight w:val="none"/>
          <w:u w:val="single"/>
        </w:rPr>
      </w:pPr>
    </w:p>
    <w:p w14:paraId="56A11F2E">
      <w:pPr>
        <w:spacing w:line="240" w:lineRule="atLeast"/>
        <w:jc w:val="both"/>
        <w:rPr>
          <w:rFonts w:hint="eastAsia" w:ascii="宋体" w:hAnsi="宋体" w:cs="宋体"/>
          <w:color w:val="auto"/>
          <w:sz w:val="24"/>
          <w:highlight w:val="none"/>
          <w:u w:val="single"/>
        </w:rPr>
      </w:pPr>
      <w:r>
        <w:rPr>
          <w:rFonts w:hint="eastAsia" w:ascii="宋体" w:hAnsi="宋体" w:cs="宋体"/>
          <w:color w:val="auto"/>
          <w:sz w:val="24"/>
          <w:highlight w:val="none"/>
          <w:lang w:bidi="ar"/>
        </w:rPr>
        <w:t>定标委员会组长：</w:t>
      </w:r>
      <w:r>
        <w:rPr>
          <w:rFonts w:hint="eastAsia" w:ascii="宋体" w:hAnsi="宋体" w:cs="宋体"/>
          <w:color w:val="auto"/>
          <w:sz w:val="24"/>
          <w:highlight w:val="none"/>
          <w:u w:val="single"/>
          <w:lang w:bidi="ar"/>
        </w:rPr>
        <w:t xml:space="preserve">         （签名）</w:t>
      </w:r>
    </w:p>
    <w:p w14:paraId="1BA3472B">
      <w:pPr>
        <w:spacing w:line="240" w:lineRule="atLeast"/>
        <w:ind w:firstLine="720" w:firstLineChars="300"/>
        <w:rPr>
          <w:rFonts w:hint="eastAsia" w:ascii="宋体" w:hAnsi="宋体" w:cs="宋体"/>
          <w:color w:val="auto"/>
          <w:sz w:val="24"/>
          <w:highlight w:val="none"/>
        </w:rPr>
      </w:pPr>
    </w:p>
    <w:p w14:paraId="24FDA127">
      <w:pPr>
        <w:spacing w:line="240" w:lineRule="atLeast"/>
        <w:ind w:firstLine="720" w:firstLineChars="300"/>
        <w:rPr>
          <w:rFonts w:hint="eastAsia" w:ascii="宋体" w:hAnsi="宋体" w:cs="宋体"/>
          <w:color w:val="auto"/>
          <w:sz w:val="24"/>
          <w:highlight w:val="none"/>
        </w:rPr>
      </w:pPr>
    </w:p>
    <w:p w14:paraId="4DB8F8EA">
      <w:pPr>
        <w:spacing w:line="240" w:lineRule="atLeast"/>
        <w:jc w:val="both"/>
        <w:rPr>
          <w:rFonts w:hint="eastAsia" w:ascii="宋体" w:hAnsi="宋体" w:cs="宋体"/>
          <w:color w:val="auto"/>
          <w:sz w:val="24"/>
          <w:highlight w:val="none"/>
        </w:rPr>
      </w:pPr>
      <w:r>
        <w:rPr>
          <w:rFonts w:hint="eastAsia" w:ascii="宋体" w:hAnsi="宋体" w:cs="宋体"/>
          <w:color w:val="auto"/>
          <w:sz w:val="24"/>
          <w:highlight w:val="none"/>
          <w:lang w:bidi="ar"/>
        </w:rPr>
        <w:t>日期：</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09782A45">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563AA34E">
      <w:pPr>
        <w:spacing w:before="240" w:beforeLines="100" w:after="120" w:afterLines="50" w:line="100" w:lineRule="exact"/>
        <w:jc w:val="center"/>
        <w:rPr>
          <w:rFonts w:hint="eastAsia" w:ascii="宋体" w:hAnsi="宋体" w:cs="宋体"/>
          <w:color w:val="auto"/>
          <w:sz w:val="44"/>
          <w:szCs w:val="44"/>
          <w:highlight w:val="none"/>
          <w:lang w:bidi="ar"/>
        </w:rPr>
      </w:pPr>
    </w:p>
    <w:p w14:paraId="41D0E1B5">
      <w:pPr>
        <w:spacing w:before="240" w:beforeLines="100" w:after="120" w:afterLines="50" w:line="596" w:lineRule="exact"/>
        <w:jc w:val="center"/>
        <w:rPr>
          <w:rFonts w:hint="eastAsia" w:ascii="宋体" w:hAnsi="宋体" w:cs="宋体"/>
          <w:b/>
          <w:bCs/>
          <w:color w:val="auto"/>
          <w:sz w:val="28"/>
          <w:szCs w:val="28"/>
          <w:highlight w:val="none"/>
        </w:rPr>
      </w:pPr>
      <w:r>
        <w:rPr>
          <w:rFonts w:hint="eastAsia" w:ascii="宋体" w:hAnsi="宋体" w:cs="宋体"/>
          <w:color w:val="auto"/>
          <w:sz w:val="44"/>
          <w:szCs w:val="44"/>
          <w:highlight w:val="none"/>
          <w:lang w:bidi="ar"/>
        </w:rPr>
        <w:br w:type="page"/>
      </w:r>
      <w:r>
        <w:rPr>
          <w:rFonts w:hint="eastAsia" w:ascii="宋体" w:hAnsi="宋体" w:cs="宋体"/>
          <w:b/>
          <w:bCs/>
          <w:color w:val="auto"/>
          <w:sz w:val="28"/>
          <w:szCs w:val="28"/>
          <w:highlight w:val="none"/>
          <w:lang w:bidi="ar"/>
        </w:rPr>
        <w:t>定标报告</w:t>
      </w:r>
    </w:p>
    <w:p w14:paraId="5AAA257E">
      <w:pPr>
        <w:spacing w:line="579"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                                           </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日</w:t>
      </w:r>
    </w:p>
    <w:tbl>
      <w:tblPr>
        <w:tblStyle w:val="41"/>
        <w:tblW w:w="10005" w:type="dxa"/>
        <w:jc w:val="center"/>
        <w:tblLayout w:type="fixed"/>
        <w:tblCellMar>
          <w:top w:w="0" w:type="dxa"/>
          <w:left w:w="108" w:type="dxa"/>
          <w:bottom w:w="0" w:type="dxa"/>
          <w:right w:w="108" w:type="dxa"/>
        </w:tblCellMar>
      </w:tblPr>
      <w:tblGrid>
        <w:gridCol w:w="2224"/>
        <w:gridCol w:w="1658"/>
        <w:gridCol w:w="1942"/>
        <w:gridCol w:w="682"/>
        <w:gridCol w:w="1356"/>
        <w:gridCol w:w="2143"/>
      </w:tblGrid>
      <w:tr w14:paraId="5BD4B913">
        <w:tblPrEx>
          <w:tblCellMar>
            <w:top w:w="0" w:type="dxa"/>
            <w:left w:w="108" w:type="dxa"/>
            <w:bottom w:w="0" w:type="dxa"/>
            <w:right w:w="108" w:type="dxa"/>
          </w:tblCellMar>
        </w:tblPrEx>
        <w:trPr>
          <w:trHeight w:val="556" w:hRule="atLeast"/>
          <w:jc w:val="center"/>
        </w:trPr>
        <w:tc>
          <w:tcPr>
            <w:tcW w:w="2224" w:type="dxa"/>
            <w:vMerge w:val="restart"/>
            <w:tcBorders>
              <w:top w:val="single" w:color="auto" w:sz="4" w:space="0"/>
              <w:left w:val="single" w:color="auto" w:sz="4" w:space="0"/>
              <w:bottom w:val="single" w:color="auto" w:sz="4" w:space="0"/>
              <w:right w:val="single" w:color="auto" w:sz="4" w:space="0"/>
            </w:tcBorders>
            <w:noWrap w:val="0"/>
            <w:vAlign w:val="center"/>
          </w:tcPr>
          <w:p w14:paraId="7A8805DF">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定标概况</w:t>
            </w:r>
          </w:p>
        </w:tc>
        <w:tc>
          <w:tcPr>
            <w:tcW w:w="1658" w:type="dxa"/>
            <w:tcBorders>
              <w:top w:val="single" w:color="auto" w:sz="4" w:space="0"/>
              <w:left w:val="nil"/>
              <w:bottom w:val="single" w:color="auto" w:sz="4" w:space="0"/>
              <w:right w:val="single" w:color="auto" w:sz="4" w:space="0"/>
            </w:tcBorders>
            <w:noWrap w:val="0"/>
            <w:vAlign w:val="center"/>
          </w:tcPr>
          <w:p w14:paraId="0B05DED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项目名称</w:t>
            </w:r>
          </w:p>
        </w:tc>
        <w:tc>
          <w:tcPr>
            <w:tcW w:w="6123" w:type="dxa"/>
            <w:gridSpan w:val="4"/>
            <w:tcBorders>
              <w:top w:val="single" w:color="auto" w:sz="4" w:space="0"/>
              <w:left w:val="nil"/>
              <w:bottom w:val="single" w:color="auto" w:sz="4" w:space="0"/>
              <w:right w:val="single" w:color="auto" w:sz="4" w:space="0"/>
            </w:tcBorders>
            <w:noWrap w:val="0"/>
            <w:vAlign w:val="center"/>
          </w:tcPr>
          <w:p w14:paraId="7ADA48D9">
            <w:pPr>
              <w:spacing w:line="300" w:lineRule="exact"/>
              <w:jc w:val="center"/>
              <w:rPr>
                <w:rFonts w:hint="eastAsia" w:ascii="宋体" w:hAnsi="宋体" w:cs="宋体"/>
                <w:color w:val="auto"/>
                <w:szCs w:val="21"/>
                <w:highlight w:val="none"/>
              </w:rPr>
            </w:pPr>
          </w:p>
        </w:tc>
      </w:tr>
      <w:tr w14:paraId="42F70540">
        <w:tblPrEx>
          <w:tblCellMar>
            <w:top w:w="0" w:type="dxa"/>
            <w:left w:w="108" w:type="dxa"/>
            <w:bottom w:w="0" w:type="dxa"/>
            <w:right w:w="108" w:type="dxa"/>
          </w:tblCellMar>
        </w:tblPrEx>
        <w:trPr>
          <w:trHeight w:val="556" w:hRule="atLeast"/>
          <w:jc w:val="center"/>
        </w:trPr>
        <w:tc>
          <w:tcPr>
            <w:tcW w:w="2224" w:type="dxa"/>
            <w:vMerge w:val="continue"/>
            <w:tcBorders>
              <w:top w:val="single" w:color="auto" w:sz="4" w:space="0"/>
              <w:left w:val="single" w:color="auto" w:sz="4" w:space="0"/>
              <w:bottom w:val="single" w:color="auto" w:sz="4" w:space="0"/>
              <w:right w:val="single" w:color="auto" w:sz="4" w:space="0"/>
            </w:tcBorders>
            <w:noWrap w:val="0"/>
            <w:vAlign w:val="center"/>
          </w:tcPr>
          <w:p w14:paraId="678EB212">
            <w:pPr>
              <w:spacing w:line="300" w:lineRule="exact"/>
              <w:jc w:val="center"/>
              <w:rPr>
                <w:rFonts w:hint="eastAsia" w:ascii="宋体" w:hAnsi="宋体" w:cs="宋体"/>
                <w:color w:val="auto"/>
                <w:szCs w:val="21"/>
                <w:highlight w:val="none"/>
              </w:rPr>
            </w:pPr>
          </w:p>
        </w:tc>
        <w:tc>
          <w:tcPr>
            <w:tcW w:w="1658" w:type="dxa"/>
            <w:tcBorders>
              <w:top w:val="single" w:color="auto" w:sz="4" w:space="0"/>
              <w:left w:val="nil"/>
              <w:bottom w:val="single" w:color="auto" w:sz="4" w:space="0"/>
              <w:right w:val="single" w:color="auto" w:sz="4" w:space="0"/>
            </w:tcBorders>
            <w:noWrap w:val="0"/>
            <w:vAlign w:val="center"/>
          </w:tcPr>
          <w:p w14:paraId="5C5A6C92">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t>评标办法</w:t>
            </w:r>
          </w:p>
        </w:tc>
        <w:tc>
          <w:tcPr>
            <w:tcW w:w="2624" w:type="dxa"/>
            <w:gridSpan w:val="2"/>
            <w:tcBorders>
              <w:top w:val="single" w:color="auto" w:sz="4" w:space="0"/>
              <w:left w:val="nil"/>
              <w:bottom w:val="single" w:color="auto" w:sz="4" w:space="0"/>
              <w:right w:val="single" w:color="auto" w:sz="4" w:space="0"/>
            </w:tcBorders>
            <w:noWrap w:val="0"/>
            <w:vAlign w:val="center"/>
          </w:tcPr>
          <w:p w14:paraId="33019850">
            <w:pPr>
              <w:spacing w:line="300" w:lineRule="exact"/>
              <w:jc w:val="center"/>
              <w:rPr>
                <w:rFonts w:hint="eastAsia" w:ascii="宋体" w:hAnsi="宋体" w:cs="宋体"/>
                <w:color w:val="auto"/>
                <w:szCs w:val="21"/>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5F040BBE">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t>推荐中标候选人数量</w:t>
            </w:r>
          </w:p>
        </w:tc>
        <w:tc>
          <w:tcPr>
            <w:tcW w:w="2143" w:type="dxa"/>
            <w:tcBorders>
              <w:top w:val="single" w:color="auto" w:sz="4" w:space="0"/>
              <w:left w:val="nil"/>
              <w:bottom w:val="single" w:color="auto" w:sz="4" w:space="0"/>
              <w:right w:val="single" w:color="auto" w:sz="4" w:space="0"/>
            </w:tcBorders>
            <w:noWrap w:val="0"/>
            <w:vAlign w:val="center"/>
          </w:tcPr>
          <w:p w14:paraId="0B44C1C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名</w:t>
            </w:r>
          </w:p>
        </w:tc>
      </w:tr>
      <w:tr w14:paraId="585A9387">
        <w:tblPrEx>
          <w:tblCellMar>
            <w:top w:w="0" w:type="dxa"/>
            <w:left w:w="108" w:type="dxa"/>
            <w:bottom w:w="0" w:type="dxa"/>
            <w:right w:w="108" w:type="dxa"/>
          </w:tblCellMar>
        </w:tblPrEx>
        <w:trPr>
          <w:trHeight w:val="556" w:hRule="atLeast"/>
          <w:jc w:val="center"/>
        </w:trPr>
        <w:tc>
          <w:tcPr>
            <w:tcW w:w="2224" w:type="dxa"/>
            <w:vMerge w:val="continue"/>
            <w:tcBorders>
              <w:top w:val="single" w:color="auto" w:sz="4" w:space="0"/>
              <w:left w:val="single" w:color="auto" w:sz="4" w:space="0"/>
              <w:bottom w:val="single" w:color="auto" w:sz="4" w:space="0"/>
              <w:right w:val="single" w:color="auto" w:sz="4" w:space="0"/>
            </w:tcBorders>
            <w:noWrap w:val="0"/>
            <w:vAlign w:val="center"/>
          </w:tcPr>
          <w:p w14:paraId="180AF23B">
            <w:pPr>
              <w:spacing w:line="300" w:lineRule="exact"/>
              <w:jc w:val="center"/>
              <w:rPr>
                <w:rFonts w:hint="eastAsia" w:ascii="宋体" w:hAnsi="宋体" w:cs="宋体"/>
                <w:color w:val="auto"/>
                <w:szCs w:val="21"/>
                <w:highlight w:val="none"/>
              </w:rPr>
            </w:pPr>
          </w:p>
        </w:tc>
        <w:tc>
          <w:tcPr>
            <w:tcW w:w="1658" w:type="dxa"/>
            <w:tcBorders>
              <w:top w:val="single" w:color="auto" w:sz="4" w:space="0"/>
              <w:left w:val="nil"/>
              <w:bottom w:val="single" w:color="auto" w:sz="4" w:space="0"/>
              <w:right w:val="single" w:color="auto" w:sz="4" w:space="0"/>
            </w:tcBorders>
            <w:noWrap w:val="0"/>
            <w:vAlign w:val="center"/>
          </w:tcPr>
          <w:p w14:paraId="05104E8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是否质询</w:t>
            </w:r>
          </w:p>
        </w:tc>
        <w:tc>
          <w:tcPr>
            <w:tcW w:w="2624" w:type="dxa"/>
            <w:gridSpan w:val="2"/>
            <w:tcBorders>
              <w:top w:val="single" w:color="auto" w:sz="4" w:space="0"/>
              <w:left w:val="nil"/>
              <w:bottom w:val="single" w:color="auto" w:sz="4" w:space="0"/>
              <w:right w:val="single" w:color="auto" w:sz="4" w:space="0"/>
            </w:tcBorders>
            <w:noWrap w:val="0"/>
            <w:vAlign w:val="center"/>
          </w:tcPr>
          <w:p w14:paraId="75ACAC4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是</w:t>
            </w: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否</w:t>
            </w:r>
          </w:p>
        </w:tc>
        <w:tc>
          <w:tcPr>
            <w:tcW w:w="1356" w:type="dxa"/>
            <w:tcBorders>
              <w:top w:val="single" w:color="auto" w:sz="4" w:space="0"/>
              <w:left w:val="nil"/>
              <w:bottom w:val="single" w:color="auto" w:sz="4" w:space="0"/>
              <w:right w:val="single" w:color="auto" w:sz="4" w:space="0"/>
            </w:tcBorders>
            <w:noWrap w:val="0"/>
            <w:vAlign w:val="center"/>
          </w:tcPr>
          <w:p w14:paraId="2CBE5BE1">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t>是否考察</w:t>
            </w:r>
          </w:p>
        </w:tc>
        <w:tc>
          <w:tcPr>
            <w:tcW w:w="2143" w:type="dxa"/>
            <w:tcBorders>
              <w:top w:val="single" w:color="auto" w:sz="4" w:space="0"/>
              <w:left w:val="nil"/>
              <w:bottom w:val="single" w:color="auto" w:sz="4" w:space="0"/>
              <w:right w:val="single" w:color="auto" w:sz="4" w:space="0"/>
            </w:tcBorders>
            <w:noWrap w:val="0"/>
            <w:vAlign w:val="center"/>
          </w:tcPr>
          <w:p w14:paraId="5746678D">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是</w:t>
            </w: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否</w:t>
            </w:r>
          </w:p>
        </w:tc>
      </w:tr>
      <w:tr w14:paraId="14568D32">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5C62D3F8">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定标委员会名单</w:t>
            </w:r>
          </w:p>
        </w:tc>
        <w:tc>
          <w:tcPr>
            <w:tcW w:w="7781" w:type="dxa"/>
            <w:gridSpan w:val="5"/>
            <w:tcBorders>
              <w:top w:val="single" w:color="auto" w:sz="4" w:space="0"/>
              <w:left w:val="nil"/>
              <w:bottom w:val="single" w:color="auto" w:sz="4" w:space="0"/>
              <w:right w:val="single" w:color="auto" w:sz="4" w:space="0"/>
            </w:tcBorders>
            <w:noWrap w:val="0"/>
            <w:vAlign w:val="center"/>
          </w:tcPr>
          <w:p w14:paraId="0CD87365">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bidi="ar"/>
              </w:rPr>
              <w:t>附：定标委员会抽选结果、定标委员会全体成员名单</w:t>
            </w:r>
          </w:p>
        </w:tc>
      </w:tr>
      <w:tr w14:paraId="56BB5CB7">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4C5AAD10">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评标报告</w:t>
            </w:r>
          </w:p>
        </w:tc>
        <w:tc>
          <w:tcPr>
            <w:tcW w:w="7781" w:type="dxa"/>
            <w:gridSpan w:val="5"/>
            <w:tcBorders>
              <w:top w:val="single" w:color="auto" w:sz="4" w:space="0"/>
              <w:left w:val="nil"/>
              <w:bottom w:val="single" w:color="auto" w:sz="4" w:space="0"/>
              <w:right w:val="single" w:color="auto" w:sz="4" w:space="0"/>
            </w:tcBorders>
            <w:noWrap w:val="0"/>
            <w:vAlign w:val="center"/>
          </w:tcPr>
          <w:p w14:paraId="0863C7AC">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bidi="ar"/>
              </w:rPr>
              <w:t>附：评标报告、开标记录</w:t>
            </w:r>
          </w:p>
        </w:tc>
      </w:tr>
      <w:tr w14:paraId="62799E4F">
        <w:tblPrEx>
          <w:tblCellMar>
            <w:top w:w="0" w:type="dxa"/>
            <w:left w:w="108" w:type="dxa"/>
            <w:bottom w:w="0" w:type="dxa"/>
            <w:right w:w="108" w:type="dxa"/>
          </w:tblCellMar>
        </w:tblPrEx>
        <w:trPr>
          <w:trHeight w:val="2155"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14A02098">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定标要素</w:t>
            </w:r>
          </w:p>
        </w:tc>
        <w:tc>
          <w:tcPr>
            <w:tcW w:w="7781" w:type="dxa"/>
            <w:gridSpan w:val="5"/>
            <w:tcBorders>
              <w:top w:val="single" w:color="auto" w:sz="4" w:space="0"/>
              <w:left w:val="nil"/>
              <w:bottom w:val="single" w:color="auto" w:sz="4" w:space="0"/>
              <w:right w:val="single" w:color="auto" w:sz="4" w:space="0"/>
            </w:tcBorders>
            <w:noWrap w:val="0"/>
            <w:vAlign w:val="center"/>
          </w:tcPr>
          <w:p w14:paraId="137EC15C">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需按照招标文件中选择的定标要素填写</w:t>
            </w:r>
            <w:r>
              <w:rPr>
                <w:rFonts w:hint="eastAsia" w:ascii="宋体" w:hAnsi="宋体" w:cs="宋体"/>
                <w:color w:val="auto"/>
                <w:szCs w:val="21"/>
                <w:highlight w:val="none"/>
                <w:lang w:bidi="ar"/>
              </w:rPr>
              <w:t>）</w:t>
            </w:r>
          </w:p>
          <w:p w14:paraId="495E7CBB">
            <w:pPr>
              <w:rPr>
                <w:color w:val="auto"/>
                <w:highlight w:val="none"/>
              </w:rPr>
            </w:pPr>
          </w:p>
          <w:p w14:paraId="24E59CE1">
            <w:pPr>
              <w:rPr>
                <w:color w:val="auto"/>
                <w:highlight w:val="none"/>
              </w:rPr>
            </w:pPr>
          </w:p>
          <w:p w14:paraId="1997F528">
            <w:pPr>
              <w:rPr>
                <w:color w:val="auto"/>
                <w:highlight w:val="none"/>
              </w:rPr>
            </w:pPr>
          </w:p>
          <w:p w14:paraId="4B0700E3">
            <w:pPr>
              <w:rPr>
                <w:color w:val="auto"/>
                <w:highlight w:val="none"/>
              </w:rPr>
            </w:pPr>
          </w:p>
          <w:p w14:paraId="7C61E413">
            <w:pPr>
              <w:rPr>
                <w:color w:val="auto"/>
                <w:highlight w:val="none"/>
              </w:rPr>
            </w:pPr>
          </w:p>
          <w:p w14:paraId="4D8BAB9F">
            <w:pPr>
              <w:rPr>
                <w:color w:val="auto"/>
                <w:highlight w:val="none"/>
              </w:rPr>
            </w:pPr>
          </w:p>
          <w:p w14:paraId="061625D4">
            <w:pPr>
              <w:rPr>
                <w:color w:val="auto"/>
                <w:highlight w:val="none"/>
              </w:rPr>
            </w:pPr>
          </w:p>
          <w:p w14:paraId="6D7DAE52">
            <w:pPr>
              <w:spacing w:line="300" w:lineRule="exact"/>
              <w:jc w:val="left"/>
              <w:rPr>
                <w:rFonts w:hint="eastAsia" w:ascii="宋体" w:hAnsi="宋体" w:cs="宋体"/>
                <w:color w:val="auto"/>
                <w:szCs w:val="21"/>
                <w:highlight w:val="none"/>
              </w:rPr>
            </w:pPr>
          </w:p>
        </w:tc>
      </w:tr>
      <w:tr w14:paraId="28870967">
        <w:tblPrEx>
          <w:tblCellMar>
            <w:top w:w="0" w:type="dxa"/>
            <w:left w:w="108" w:type="dxa"/>
            <w:bottom w:w="0" w:type="dxa"/>
            <w:right w:w="108" w:type="dxa"/>
          </w:tblCellMar>
        </w:tblPrEx>
        <w:trPr>
          <w:trHeight w:val="1661"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37BE94A5">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  标</w:t>
            </w:r>
          </w:p>
          <w:p w14:paraId="1312189A">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办  法</w:t>
            </w:r>
          </w:p>
        </w:tc>
        <w:tc>
          <w:tcPr>
            <w:tcW w:w="7781" w:type="dxa"/>
            <w:gridSpan w:val="5"/>
            <w:tcBorders>
              <w:top w:val="single" w:color="auto" w:sz="4" w:space="0"/>
              <w:left w:val="nil"/>
              <w:bottom w:val="single" w:color="auto" w:sz="4" w:space="0"/>
              <w:right w:val="single" w:color="auto" w:sz="4" w:space="0"/>
            </w:tcBorders>
            <w:noWrap w:val="0"/>
            <w:vAlign w:val="top"/>
          </w:tcPr>
          <w:p w14:paraId="06598C7B">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需按照招标文件中选择的定标方法填写</w:t>
            </w:r>
            <w:r>
              <w:rPr>
                <w:rFonts w:hint="eastAsia" w:ascii="宋体" w:hAnsi="宋体" w:cs="宋体"/>
                <w:color w:val="auto"/>
                <w:szCs w:val="21"/>
                <w:highlight w:val="none"/>
                <w:lang w:bidi="ar"/>
              </w:rPr>
              <w:t>）</w:t>
            </w:r>
          </w:p>
          <w:p w14:paraId="4DEE1345">
            <w:pPr>
              <w:rPr>
                <w:color w:val="auto"/>
                <w:highlight w:val="none"/>
              </w:rPr>
            </w:pPr>
          </w:p>
          <w:p w14:paraId="1E9358FC">
            <w:pPr>
              <w:rPr>
                <w:color w:val="auto"/>
                <w:highlight w:val="none"/>
              </w:rPr>
            </w:pPr>
          </w:p>
          <w:p w14:paraId="4A530397">
            <w:pPr>
              <w:rPr>
                <w:color w:val="auto"/>
                <w:highlight w:val="none"/>
              </w:rPr>
            </w:pPr>
          </w:p>
          <w:p w14:paraId="5A8AD03C">
            <w:pPr>
              <w:spacing w:line="300" w:lineRule="exact"/>
              <w:jc w:val="left"/>
              <w:rPr>
                <w:rFonts w:hint="eastAsia" w:ascii="宋体" w:hAnsi="宋体" w:cs="宋体"/>
                <w:color w:val="auto"/>
                <w:szCs w:val="21"/>
                <w:highlight w:val="none"/>
              </w:rPr>
            </w:pPr>
          </w:p>
        </w:tc>
      </w:tr>
      <w:tr w14:paraId="290E186B">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04E93E7C">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中标候选人名单</w:t>
            </w:r>
          </w:p>
        </w:tc>
        <w:tc>
          <w:tcPr>
            <w:tcW w:w="7781" w:type="dxa"/>
            <w:gridSpan w:val="5"/>
            <w:tcBorders>
              <w:top w:val="single" w:color="auto" w:sz="4" w:space="0"/>
              <w:left w:val="nil"/>
              <w:bottom w:val="single" w:color="auto" w:sz="4" w:space="0"/>
              <w:right w:val="single" w:color="auto" w:sz="4" w:space="0"/>
            </w:tcBorders>
            <w:noWrap w:val="0"/>
            <w:vAlign w:val="center"/>
          </w:tcPr>
          <w:p w14:paraId="79696D8C">
            <w:pPr>
              <w:pStyle w:val="18"/>
              <w:autoSpaceDE/>
              <w:autoSpaceDN/>
              <w:spacing w:line="300" w:lineRule="exact"/>
              <w:ind w:left="0" w:leftChars="0"/>
              <w:rPr>
                <w:rFonts w:hint="eastAsia" w:ascii="宋体" w:hAnsi="宋体" w:eastAsia="宋体" w:cs="宋体"/>
                <w:color w:val="auto"/>
                <w:kern w:val="2"/>
                <w:highlight w:val="none"/>
              </w:rPr>
            </w:pPr>
          </w:p>
        </w:tc>
      </w:tr>
      <w:tr w14:paraId="590207A9">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370ABCBC">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中标人名单</w:t>
            </w:r>
          </w:p>
        </w:tc>
        <w:tc>
          <w:tcPr>
            <w:tcW w:w="7781" w:type="dxa"/>
            <w:gridSpan w:val="5"/>
            <w:tcBorders>
              <w:top w:val="single" w:color="auto" w:sz="4" w:space="0"/>
              <w:left w:val="nil"/>
              <w:bottom w:val="single" w:color="auto" w:sz="4" w:space="0"/>
              <w:right w:val="single" w:color="auto" w:sz="4" w:space="0"/>
            </w:tcBorders>
            <w:noWrap w:val="0"/>
            <w:vAlign w:val="top"/>
          </w:tcPr>
          <w:p w14:paraId="2156681A">
            <w:pPr>
              <w:pStyle w:val="18"/>
              <w:autoSpaceDE/>
              <w:autoSpaceDN/>
              <w:spacing w:line="300" w:lineRule="exact"/>
              <w:ind w:left="0" w:leftChars="0"/>
              <w:rPr>
                <w:rFonts w:hint="eastAsia" w:ascii="宋体" w:hAnsi="宋体" w:eastAsia="宋体" w:cs="宋体"/>
                <w:color w:val="auto"/>
                <w:kern w:val="2"/>
                <w:highlight w:val="none"/>
              </w:rPr>
            </w:pPr>
          </w:p>
          <w:p w14:paraId="6CF46E6E">
            <w:pPr>
              <w:pStyle w:val="18"/>
              <w:autoSpaceDE/>
              <w:autoSpaceDN/>
              <w:spacing w:line="300" w:lineRule="exact"/>
              <w:ind w:left="0" w:leftChars="0"/>
              <w:rPr>
                <w:rFonts w:hint="eastAsia" w:ascii="宋体" w:hAnsi="宋体" w:eastAsia="宋体" w:cs="宋体"/>
                <w:color w:val="auto"/>
                <w:kern w:val="2"/>
                <w:highlight w:val="none"/>
              </w:rPr>
            </w:pPr>
          </w:p>
        </w:tc>
      </w:tr>
      <w:tr w14:paraId="7A0C73E6">
        <w:tblPrEx>
          <w:tblCellMar>
            <w:top w:w="0" w:type="dxa"/>
            <w:left w:w="108" w:type="dxa"/>
            <w:bottom w:w="0" w:type="dxa"/>
            <w:right w:w="108" w:type="dxa"/>
          </w:tblCellMar>
        </w:tblPrEx>
        <w:trPr>
          <w:trHeight w:val="2759"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6AA61FD0">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定标办法</w:t>
            </w:r>
          </w:p>
          <w:p w14:paraId="2BC3C2BE">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操作概况</w:t>
            </w:r>
          </w:p>
        </w:tc>
        <w:tc>
          <w:tcPr>
            <w:tcW w:w="7781" w:type="dxa"/>
            <w:gridSpan w:val="5"/>
            <w:tcBorders>
              <w:top w:val="single" w:color="auto" w:sz="4" w:space="0"/>
              <w:left w:val="nil"/>
              <w:bottom w:val="single" w:color="auto" w:sz="4" w:space="0"/>
              <w:right w:val="single" w:color="auto" w:sz="4" w:space="0"/>
            </w:tcBorders>
            <w:noWrap w:val="0"/>
            <w:vAlign w:val="top"/>
          </w:tcPr>
          <w:p w14:paraId="0045235A">
            <w:pPr>
              <w:pStyle w:val="18"/>
              <w:autoSpaceDE/>
              <w:autoSpaceDN/>
              <w:spacing w:line="300" w:lineRule="exact"/>
              <w:ind w:left="0" w:leftChars="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（根据定标办法简单描述产生中标人及各候选人的票数情况，或定标委员会成员意见情况）</w:t>
            </w:r>
          </w:p>
        </w:tc>
      </w:tr>
      <w:tr w14:paraId="227532A4">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5C5BD393">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其它需说明的事宜</w:t>
            </w:r>
          </w:p>
        </w:tc>
        <w:tc>
          <w:tcPr>
            <w:tcW w:w="7781" w:type="dxa"/>
            <w:gridSpan w:val="5"/>
            <w:tcBorders>
              <w:top w:val="single" w:color="auto" w:sz="4" w:space="0"/>
              <w:left w:val="nil"/>
              <w:bottom w:val="single" w:color="auto" w:sz="4" w:space="0"/>
              <w:right w:val="single" w:color="auto" w:sz="4" w:space="0"/>
            </w:tcBorders>
            <w:noWrap w:val="0"/>
            <w:vAlign w:val="top"/>
          </w:tcPr>
          <w:p w14:paraId="74D4A7C9">
            <w:pPr>
              <w:pStyle w:val="18"/>
              <w:autoSpaceDE/>
              <w:autoSpaceDN/>
              <w:spacing w:line="300" w:lineRule="exact"/>
              <w:ind w:left="0" w:leftChars="0"/>
              <w:rPr>
                <w:rFonts w:hint="eastAsia" w:ascii="宋体" w:hAnsi="宋体" w:eastAsia="宋体" w:cs="宋体"/>
                <w:color w:val="auto"/>
                <w:kern w:val="2"/>
                <w:highlight w:val="none"/>
              </w:rPr>
            </w:pPr>
          </w:p>
        </w:tc>
      </w:tr>
      <w:tr w14:paraId="4F81B04A">
        <w:tblPrEx>
          <w:tblCellMar>
            <w:top w:w="0" w:type="dxa"/>
            <w:left w:w="108" w:type="dxa"/>
            <w:bottom w:w="0" w:type="dxa"/>
            <w:right w:w="108" w:type="dxa"/>
          </w:tblCellMar>
        </w:tblPrEx>
        <w:trPr>
          <w:trHeight w:val="556" w:hRule="atLeast"/>
          <w:jc w:val="center"/>
        </w:trPr>
        <w:tc>
          <w:tcPr>
            <w:tcW w:w="2224" w:type="dxa"/>
            <w:vMerge w:val="restart"/>
            <w:tcBorders>
              <w:top w:val="nil"/>
              <w:left w:val="single" w:color="auto" w:sz="4" w:space="0"/>
              <w:bottom w:val="single" w:color="auto" w:sz="4" w:space="0"/>
              <w:right w:val="single" w:color="auto" w:sz="4" w:space="0"/>
            </w:tcBorders>
            <w:noWrap w:val="0"/>
            <w:vAlign w:val="center"/>
          </w:tcPr>
          <w:p w14:paraId="0D86E20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定标委员会成员签字</w:t>
            </w:r>
          </w:p>
        </w:tc>
        <w:tc>
          <w:tcPr>
            <w:tcW w:w="3600" w:type="dxa"/>
            <w:gridSpan w:val="2"/>
            <w:tcBorders>
              <w:top w:val="single" w:color="auto" w:sz="4" w:space="0"/>
              <w:left w:val="nil"/>
              <w:bottom w:val="single" w:color="auto" w:sz="4" w:space="0"/>
              <w:right w:val="single" w:color="auto" w:sz="4" w:space="0"/>
            </w:tcBorders>
            <w:noWrap w:val="0"/>
            <w:vAlign w:val="center"/>
          </w:tcPr>
          <w:p w14:paraId="1B82CA2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4181" w:type="dxa"/>
            <w:gridSpan w:val="3"/>
            <w:tcBorders>
              <w:top w:val="single" w:color="auto" w:sz="4" w:space="0"/>
              <w:left w:val="nil"/>
              <w:bottom w:val="single" w:color="auto" w:sz="4" w:space="0"/>
              <w:right w:val="single" w:color="auto" w:sz="4" w:space="0"/>
            </w:tcBorders>
            <w:noWrap w:val="0"/>
            <w:vAlign w:val="center"/>
          </w:tcPr>
          <w:p w14:paraId="5B51FC4C">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060C506">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17BED698">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19D36777">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6F8738C3">
            <w:pPr>
              <w:pStyle w:val="18"/>
              <w:autoSpaceDE/>
              <w:autoSpaceDN/>
              <w:spacing w:line="300" w:lineRule="exact"/>
              <w:ind w:left="0" w:leftChars="0"/>
              <w:rPr>
                <w:rFonts w:hint="eastAsia" w:ascii="宋体" w:hAnsi="宋体" w:eastAsia="宋体" w:cs="宋体"/>
                <w:color w:val="auto"/>
                <w:kern w:val="2"/>
                <w:highlight w:val="none"/>
              </w:rPr>
            </w:pPr>
          </w:p>
        </w:tc>
      </w:tr>
      <w:tr w14:paraId="0726CA0E">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7680D102">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13E02D07">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64479ED6">
            <w:pPr>
              <w:pStyle w:val="18"/>
              <w:autoSpaceDE/>
              <w:autoSpaceDN/>
              <w:spacing w:line="300" w:lineRule="exact"/>
              <w:ind w:left="0" w:leftChars="0"/>
              <w:rPr>
                <w:rFonts w:hint="eastAsia" w:ascii="宋体" w:hAnsi="宋体" w:eastAsia="宋体" w:cs="宋体"/>
                <w:color w:val="auto"/>
                <w:kern w:val="2"/>
                <w:highlight w:val="none"/>
              </w:rPr>
            </w:pPr>
          </w:p>
        </w:tc>
      </w:tr>
      <w:tr w14:paraId="67700A27">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74E7674A">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6D25F8E8">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648D2934">
            <w:pPr>
              <w:pStyle w:val="18"/>
              <w:autoSpaceDE/>
              <w:autoSpaceDN/>
              <w:spacing w:line="300" w:lineRule="exact"/>
              <w:ind w:left="0" w:leftChars="0"/>
              <w:rPr>
                <w:rFonts w:hint="eastAsia" w:ascii="宋体" w:hAnsi="宋体" w:eastAsia="宋体" w:cs="宋体"/>
                <w:color w:val="auto"/>
                <w:kern w:val="2"/>
                <w:highlight w:val="none"/>
              </w:rPr>
            </w:pPr>
          </w:p>
        </w:tc>
      </w:tr>
      <w:tr w14:paraId="104D17F9">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588C7A95">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416EAB9F">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1BC8A6DE">
            <w:pPr>
              <w:pStyle w:val="18"/>
              <w:autoSpaceDE/>
              <w:autoSpaceDN/>
              <w:spacing w:line="300" w:lineRule="exact"/>
              <w:ind w:left="0" w:leftChars="0"/>
              <w:rPr>
                <w:rFonts w:hint="eastAsia" w:ascii="宋体" w:hAnsi="宋体" w:eastAsia="宋体" w:cs="宋体"/>
                <w:color w:val="auto"/>
                <w:kern w:val="2"/>
                <w:highlight w:val="none"/>
              </w:rPr>
            </w:pPr>
          </w:p>
        </w:tc>
      </w:tr>
      <w:tr w14:paraId="39B96265">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2B2CB2B2">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3FFEC15F">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30119B36">
            <w:pPr>
              <w:pStyle w:val="18"/>
              <w:autoSpaceDE/>
              <w:autoSpaceDN/>
              <w:spacing w:line="300" w:lineRule="exact"/>
              <w:ind w:left="0" w:leftChars="0"/>
              <w:rPr>
                <w:rFonts w:hint="eastAsia" w:ascii="宋体" w:hAnsi="宋体" w:eastAsia="宋体" w:cs="宋体"/>
                <w:color w:val="auto"/>
                <w:kern w:val="2"/>
                <w:highlight w:val="none"/>
              </w:rPr>
            </w:pPr>
          </w:p>
        </w:tc>
      </w:tr>
    </w:tbl>
    <w:p w14:paraId="7965A2ED">
      <w:pPr>
        <w:pStyle w:val="18"/>
        <w:spacing w:after="0" w:line="400" w:lineRule="exact"/>
        <w:ind w:left="624" w:leftChars="0" w:hanging="624" w:hangingChars="26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注：1.采用票决法的，定标委员会投票时，应按文件规定的投票规则独立行使投票权；投票采用记名方式并需注明投票理由。</w:t>
      </w:r>
    </w:p>
    <w:p w14:paraId="0A5DDC66">
      <w:pPr>
        <w:autoSpaceDN w:val="0"/>
        <w:adjustRightInd w:val="0"/>
        <w:spacing w:line="400" w:lineRule="exact"/>
        <w:ind w:left="158" w:leftChars="75" w:firstLine="196" w:firstLineChars="82"/>
        <w:outlineLvl w:val="0"/>
        <w:rPr>
          <w:rFonts w:hint="eastAsia" w:ascii="宋体" w:hAnsi="宋体" w:cs="宋体"/>
          <w:color w:val="auto"/>
          <w:sz w:val="24"/>
          <w:highlight w:val="none"/>
          <w:lang w:bidi="ar"/>
        </w:rPr>
      </w:pPr>
      <w:r>
        <w:rPr>
          <w:rFonts w:hint="eastAsia" w:ascii="宋体" w:hAnsi="宋体" w:cs="宋体"/>
          <w:color w:val="auto"/>
          <w:sz w:val="24"/>
          <w:highlight w:val="none"/>
          <w:lang w:bidi="ar"/>
        </w:rPr>
        <w:t>2.定标报告及相关附件作为《招投标情况书面报告》的内容，在规定时间内报送</w:t>
      </w:r>
    </w:p>
    <w:p w14:paraId="187CCA8E">
      <w:pPr>
        <w:tabs>
          <w:tab w:val="left" w:pos="640"/>
        </w:tabs>
        <w:autoSpaceDN w:val="0"/>
        <w:adjustRightInd w:val="0"/>
        <w:spacing w:line="400" w:lineRule="exact"/>
        <w:ind w:left="158" w:leftChars="75" w:firstLine="379" w:firstLineChars="158"/>
        <w:outlineLvl w:val="0"/>
        <w:rPr>
          <w:rFonts w:hint="eastAsia" w:ascii="宋体" w:hAnsi="宋体" w:cs="宋体"/>
          <w:color w:val="auto"/>
          <w:sz w:val="24"/>
          <w:highlight w:val="none"/>
        </w:rPr>
      </w:pPr>
      <w:r>
        <w:rPr>
          <w:rFonts w:hint="eastAsia" w:ascii="宋体" w:hAnsi="宋体" w:cs="宋体"/>
          <w:color w:val="auto"/>
          <w:sz w:val="24"/>
          <w:highlight w:val="none"/>
          <w:lang w:bidi="ar"/>
        </w:rPr>
        <w:t>相关行政监督部门。</w:t>
      </w:r>
    </w:p>
    <w:p w14:paraId="1BD63513">
      <w:pPr>
        <w:tabs>
          <w:tab w:val="left" w:pos="640"/>
        </w:tabs>
        <w:autoSpaceDN w:val="0"/>
        <w:adjustRightInd w:val="0"/>
        <w:spacing w:line="400" w:lineRule="exact"/>
        <w:ind w:left="158" w:leftChars="75" w:firstLine="379" w:firstLineChars="158"/>
        <w:outlineLvl w:val="0"/>
        <w:rPr>
          <w:rFonts w:hint="eastAsia" w:ascii="宋体" w:hAnsi="宋体" w:cs="宋体"/>
          <w:color w:val="auto"/>
          <w:sz w:val="24"/>
          <w:highlight w:val="none"/>
        </w:rPr>
      </w:pPr>
    </w:p>
    <w:p w14:paraId="0D219EF1">
      <w:pPr>
        <w:rPr>
          <w:color w:val="auto"/>
          <w:highlight w:val="none"/>
        </w:rPr>
      </w:pPr>
    </w:p>
    <w:p w14:paraId="3B795514">
      <w:pPr>
        <w:rPr>
          <w:color w:val="auto"/>
          <w:highlight w:val="none"/>
        </w:rPr>
      </w:pPr>
    </w:p>
    <w:p w14:paraId="2E326699">
      <w:pPr>
        <w:rPr>
          <w:color w:val="auto"/>
          <w:highlight w:val="none"/>
        </w:rPr>
      </w:pPr>
    </w:p>
    <w:p w14:paraId="272F2C90">
      <w:pPr>
        <w:rPr>
          <w:color w:val="auto"/>
          <w:highlight w:val="none"/>
        </w:rPr>
      </w:pPr>
    </w:p>
    <w:p w14:paraId="63019E76">
      <w:pPr>
        <w:rPr>
          <w:color w:val="auto"/>
          <w:highlight w:val="none"/>
        </w:rPr>
      </w:pPr>
    </w:p>
    <w:p w14:paraId="5978F057">
      <w:pPr>
        <w:rPr>
          <w:color w:val="auto"/>
          <w:highlight w:val="none"/>
        </w:rPr>
      </w:pPr>
    </w:p>
    <w:p w14:paraId="4B438BD1">
      <w:pPr>
        <w:rPr>
          <w:color w:val="auto"/>
          <w:highlight w:val="none"/>
        </w:rPr>
      </w:pPr>
    </w:p>
    <w:p w14:paraId="61E1DA84">
      <w:pPr>
        <w:rPr>
          <w:color w:val="auto"/>
          <w:highlight w:val="none"/>
        </w:rPr>
      </w:pPr>
    </w:p>
    <w:p w14:paraId="2354DEF0">
      <w:pPr>
        <w:rPr>
          <w:color w:val="auto"/>
          <w:highlight w:val="none"/>
        </w:rPr>
      </w:pPr>
    </w:p>
    <w:p w14:paraId="6BF12300">
      <w:pPr>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中标候选人表（采用评定分离法确定中标候选人）</w:t>
      </w:r>
    </w:p>
    <w:p w14:paraId="2F5B1B91">
      <w:pPr>
        <w:spacing w:line="440" w:lineRule="exact"/>
        <w:ind w:left="267"/>
        <w:rPr>
          <w:rFonts w:hint="eastAsia" w:ascii="宋体" w:hAnsi="宋体" w:eastAsia="宋体" w:cs="宋体"/>
          <w:color w:val="auto"/>
          <w:sz w:val="24"/>
          <w:highlight w:val="none"/>
        </w:rPr>
      </w:pPr>
    </w:p>
    <w:p w14:paraId="07DD740C">
      <w:pPr>
        <w:spacing w:line="440" w:lineRule="exact"/>
        <w:ind w:left="267"/>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r>
        <w:rPr>
          <w:rFonts w:hint="eastAsia" w:ascii="宋体" w:hAnsi="宋体" w:eastAsia="宋体" w:cs="宋体"/>
          <w:color w:val="auto"/>
          <w:sz w:val="24"/>
          <w:highlight w:val="none"/>
          <w:u w:val="single"/>
        </w:rPr>
        <w:t xml:space="preserve">             </w:t>
      </w:r>
    </w:p>
    <w:tbl>
      <w:tblPr>
        <w:tblStyle w:val="41"/>
        <w:tblW w:w="84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5"/>
        <w:gridCol w:w="3294"/>
      </w:tblGrid>
      <w:tr w14:paraId="33DEC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06675105">
            <w:pPr>
              <w:pStyle w:val="225"/>
              <w:widowControl w:val="0"/>
              <w:spacing w:line="228"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中标候选人</w:t>
            </w:r>
          </w:p>
        </w:tc>
        <w:tc>
          <w:tcPr>
            <w:tcW w:w="3294" w:type="dxa"/>
            <w:noWrap w:val="0"/>
            <w:vAlign w:val="center"/>
          </w:tcPr>
          <w:p w14:paraId="35CECED9">
            <w:pPr>
              <w:pStyle w:val="225"/>
              <w:widowControl w:val="0"/>
              <w:spacing w:line="226"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投标报价（万元）</w:t>
            </w:r>
          </w:p>
        </w:tc>
      </w:tr>
      <w:tr w14:paraId="3AACE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1B83074C">
            <w:pPr>
              <w:jc w:val="center"/>
              <w:rPr>
                <w:rFonts w:hint="eastAsia" w:ascii="宋体" w:hAnsi="宋体" w:eastAsia="宋体" w:cs="宋体"/>
                <w:color w:val="auto"/>
                <w:szCs w:val="21"/>
                <w:highlight w:val="none"/>
              </w:rPr>
            </w:pPr>
          </w:p>
        </w:tc>
        <w:tc>
          <w:tcPr>
            <w:tcW w:w="3294" w:type="dxa"/>
            <w:noWrap w:val="0"/>
            <w:vAlign w:val="center"/>
          </w:tcPr>
          <w:p w14:paraId="6B7ACA05">
            <w:pPr>
              <w:jc w:val="center"/>
              <w:rPr>
                <w:rFonts w:hint="eastAsia" w:ascii="宋体" w:hAnsi="宋体" w:eastAsia="宋体" w:cs="宋体"/>
                <w:color w:val="auto"/>
                <w:szCs w:val="21"/>
                <w:highlight w:val="none"/>
              </w:rPr>
            </w:pPr>
          </w:p>
        </w:tc>
      </w:tr>
      <w:tr w14:paraId="4836E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2DA751C4">
            <w:pPr>
              <w:jc w:val="center"/>
              <w:rPr>
                <w:rFonts w:hint="eastAsia" w:ascii="宋体" w:hAnsi="宋体" w:eastAsia="宋体" w:cs="宋体"/>
                <w:color w:val="auto"/>
                <w:szCs w:val="21"/>
                <w:highlight w:val="none"/>
              </w:rPr>
            </w:pPr>
          </w:p>
        </w:tc>
        <w:tc>
          <w:tcPr>
            <w:tcW w:w="3294" w:type="dxa"/>
            <w:noWrap w:val="0"/>
            <w:vAlign w:val="center"/>
          </w:tcPr>
          <w:p w14:paraId="26706772">
            <w:pPr>
              <w:jc w:val="center"/>
              <w:rPr>
                <w:rFonts w:hint="eastAsia" w:ascii="宋体" w:hAnsi="宋体" w:eastAsia="宋体" w:cs="宋体"/>
                <w:color w:val="auto"/>
                <w:szCs w:val="21"/>
                <w:highlight w:val="none"/>
              </w:rPr>
            </w:pPr>
          </w:p>
        </w:tc>
      </w:tr>
      <w:tr w14:paraId="6AA49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57A6C5D2">
            <w:pPr>
              <w:jc w:val="center"/>
              <w:rPr>
                <w:rFonts w:hint="eastAsia" w:ascii="宋体" w:hAnsi="宋体" w:eastAsia="宋体" w:cs="宋体"/>
                <w:color w:val="auto"/>
                <w:szCs w:val="21"/>
                <w:highlight w:val="none"/>
              </w:rPr>
            </w:pPr>
          </w:p>
        </w:tc>
        <w:tc>
          <w:tcPr>
            <w:tcW w:w="3294" w:type="dxa"/>
            <w:noWrap w:val="0"/>
            <w:vAlign w:val="center"/>
          </w:tcPr>
          <w:p w14:paraId="15B680E5">
            <w:pPr>
              <w:jc w:val="center"/>
              <w:rPr>
                <w:rFonts w:hint="eastAsia" w:ascii="宋体" w:hAnsi="宋体" w:eastAsia="宋体" w:cs="宋体"/>
                <w:color w:val="auto"/>
                <w:szCs w:val="21"/>
                <w:highlight w:val="none"/>
              </w:rPr>
            </w:pPr>
          </w:p>
        </w:tc>
      </w:tr>
    </w:tbl>
    <w:p w14:paraId="29592A25">
      <w:pPr>
        <w:spacing w:line="360" w:lineRule="auto"/>
        <w:ind w:firstLine="420" w:firstLineChars="200"/>
        <w:rPr>
          <w:rFonts w:hint="eastAsia" w:ascii="宋体" w:hAnsi="宋体" w:eastAsia="宋体" w:cs="宋体"/>
          <w:color w:val="auto"/>
          <w:highlight w:val="none"/>
        </w:rPr>
      </w:pPr>
    </w:p>
    <w:p w14:paraId="009FC4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签订合同前要处理的事宜：               </w:t>
      </w:r>
    </w:p>
    <w:p w14:paraId="5C5641C8">
      <w:pPr>
        <w:spacing w:line="360" w:lineRule="auto"/>
        <w:ind w:firstLine="420" w:firstLineChars="200"/>
        <w:rPr>
          <w:rFonts w:hint="eastAsia" w:ascii="宋体" w:hAnsi="宋体" w:eastAsia="宋体" w:cs="宋体"/>
          <w:color w:val="auto"/>
          <w:highlight w:val="none"/>
        </w:rPr>
      </w:pPr>
    </w:p>
    <w:p w14:paraId="033260DA">
      <w:pPr>
        <w:spacing w:line="360" w:lineRule="auto"/>
        <w:ind w:firstLine="420" w:firstLineChars="200"/>
        <w:rPr>
          <w:rFonts w:hint="eastAsia" w:ascii="宋体" w:hAnsi="宋体" w:eastAsia="宋体" w:cs="宋体"/>
          <w:color w:val="auto"/>
          <w:highlight w:val="none"/>
        </w:rPr>
      </w:pPr>
    </w:p>
    <w:p w14:paraId="7E4DC098">
      <w:pPr>
        <w:spacing w:line="360" w:lineRule="auto"/>
        <w:ind w:firstLine="420" w:firstLineChars="200"/>
        <w:rPr>
          <w:rFonts w:hint="eastAsia" w:ascii="宋体" w:hAnsi="宋体" w:eastAsia="宋体" w:cs="宋体"/>
          <w:color w:val="auto"/>
          <w:highlight w:val="none"/>
        </w:rPr>
      </w:pPr>
    </w:p>
    <w:p w14:paraId="35A362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评标委员会全体成员签字：               </w:t>
      </w:r>
    </w:p>
    <w:p w14:paraId="24E107A5">
      <w:pPr>
        <w:spacing w:line="360" w:lineRule="auto"/>
        <w:ind w:firstLine="420" w:firstLineChars="200"/>
        <w:rPr>
          <w:rFonts w:hint="eastAsia" w:ascii="宋体" w:hAnsi="宋体" w:eastAsia="宋体" w:cs="宋体"/>
          <w:color w:val="auto"/>
          <w:highlight w:val="none"/>
        </w:rPr>
      </w:pPr>
    </w:p>
    <w:p w14:paraId="517703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2BC2537E">
      <w:pPr>
        <w:widowControl/>
        <w:jc w:val="left"/>
        <w:rPr>
          <w:rFonts w:eastAsia="黑体"/>
          <w:color w:val="auto"/>
          <w:sz w:val="30"/>
          <w:szCs w:val="30"/>
          <w:highlight w:val="none"/>
        </w:rPr>
        <w:sectPr>
          <w:footerReference r:id="rId8" w:type="first"/>
          <w:pgSz w:w="11906" w:h="16838"/>
          <w:pgMar w:top="1417" w:right="1440" w:bottom="1417" w:left="1440" w:header="850" w:footer="850" w:gutter="0"/>
          <w:cols w:space="720" w:num="1"/>
          <w:titlePg/>
          <w:docGrid w:type="lines" w:linePitch="315" w:charSpace="0"/>
        </w:sectPr>
      </w:pPr>
    </w:p>
    <w:p w14:paraId="2BDDC578">
      <w:pPr>
        <w:pStyle w:val="3"/>
        <w:spacing w:before="0" w:after="0" w:line="360" w:lineRule="auto"/>
        <w:rPr>
          <w:color w:val="auto"/>
          <w:sz w:val="30"/>
          <w:highlight w:val="none"/>
        </w:rPr>
      </w:pPr>
      <w:bookmarkStart w:id="229" w:name="_Toc211498608"/>
      <w:bookmarkStart w:id="230" w:name="_Toc80006099"/>
      <w:r>
        <w:rPr>
          <w:rFonts w:hint="eastAsia"/>
          <w:color w:val="auto"/>
          <w:sz w:val="30"/>
          <w:highlight w:val="none"/>
        </w:rPr>
        <w:t>附件2-4：中标候选人公示</w:t>
      </w:r>
      <w:bookmarkEnd w:id="229"/>
    </w:p>
    <w:p w14:paraId="0B62B598">
      <w:pPr>
        <w:spacing w:line="49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u w:val="single"/>
        </w:rPr>
        <w:t xml:space="preserve">                      </w:t>
      </w:r>
      <w:r>
        <w:rPr>
          <w:rFonts w:hint="eastAsia" w:ascii="宋体" w:hAnsi="宋体" w:cs="宋体"/>
          <w:b/>
          <w:color w:val="auto"/>
          <w:kern w:val="0"/>
          <w:sz w:val="28"/>
          <w:szCs w:val="28"/>
          <w:highlight w:val="none"/>
        </w:rPr>
        <w:t>（项目名称）</w:t>
      </w:r>
    </w:p>
    <w:p w14:paraId="56FCBB52">
      <w:pPr>
        <w:spacing w:line="49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中标候选人公示（采用排序法确定中标候选人）</w:t>
      </w:r>
    </w:p>
    <w:p w14:paraId="3D98F311">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受</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的委托，代理</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工程施工招标，</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（北京时间）在</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进行了公开开标，在</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监督下，依法组建的评标委员会按照招标文件确定的评标原则和评标办法进行了细致的评审，并推荐本项目中标候选人排名如下：</w:t>
      </w:r>
    </w:p>
    <w:tbl>
      <w:tblPr>
        <w:tblStyle w:val="41"/>
        <w:tblW w:w="507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48"/>
        <w:gridCol w:w="771"/>
        <w:gridCol w:w="246"/>
        <w:gridCol w:w="1039"/>
        <w:gridCol w:w="1710"/>
        <w:gridCol w:w="2055"/>
        <w:gridCol w:w="2311"/>
      </w:tblGrid>
      <w:tr w14:paraId="795AC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691" w:type="pct"/>
            <w:gridSpan w:val="4"/>
            <w:tcBorders>
              <w:tl2br w:val="nil"/>
              <w:tr2bl w:val="nil"/>
            </w:tcBorders>
            <w:tcMar>
              <w:left w:w="108" w:type="dxa"/>
              <w:right w:w="108" w:type="dxa"/>
            </w:tcMar>
            <w:vAlign w:val="center"/>
          </w:tcPr>
          <w:p w14:paraId="7C41E31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c>
          <w:tcPr>
            <w:tcW w:w="930" w:type="pct"/>
            <w:tcBorders>
              <w:tl2br w:val="nil"/>
              <w:tr2bl w:val="nil"/>
            </w:tcBorders>
            <w:tcMar>
              <w:left w:w="108" w:type="dxa"/>
              <w:right w:w="108" w:type="dxa"/>
            </w:tcMar>
            <w:vAlign w:val="center"/>
          </w:tcPr>
          <w:p w14:paraId="011FB20D">
            <w:pPr>
              <w:tabs>
                <w:tab w:val="left" w:pos="313"/>
                <w:tab w:val="center" w:pos="1366"/>
              </w:tabs>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第一中标候选人</w:t>
            </w:r>
          </w:p>
        </w:tc>
        <w:tc>
          <w:tcPr>
            <w:tcW w:w="1118" w:type="pct"/>
            <w:tcBorders>
              <w:tl2br w:val="nil"/>
              <w:tr2bl w:val="nil"/>
            </w:tcBorders>
            <w:tcMar>
              <w:left w:w="108" w:type="dxa"/>
              <w:right w:w="108" w:type="dxa"/>
            </w:tcMar>
            <w:vAlign w:val="center"/>
          </w:tcPr>
          <w:p w14:paraId="763A0AF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第二中标候选人</w:t>
            </w:r>
          </w:p>
        </w:tc>
        <w:tc>
          <w:tcPr>
            <w:tcW w:w="1258" w:type="pct"/>
            <w:tcBorders>
              <w:tl2br w:val="nil"/>
              <w:tr2bl w:val="nil"/>
            </w:tcBorders>
            <w:tcMar>
              <w:left w:w="108" w:type="dxa"/>
              <w:right w:w="108" w:type="dxa"/>
            </w:tcMar>
            <w:vAlign w:val="center"/>
          </w:tcPr>
          <w:p w14:paraId="2026BB6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第三中标候选人</w:t>
            </w:r>
          </w:p>
        </w:tc>
      </w:tr>
      <w:tr w14:paraId="152A1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1691" w:type="pct"/>
            <w:gridSpan w:val="4"/>
            <w:tcBorders>
              <w:tl2br w:val="nil"/>
              <w:tr2bl w:val="nil"/>
            </w:tcBorders>
            <w:tcMar>
              <w:left w:w="108" w:type="dxa"/>
              <w:right w:w="108" w:type="dxa"/>
            </w:tcMar>
            <w:vAlign w:val="center"/>
          </w:tcPr>
          <w:p w14:paraId="3CC2408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中标候选人名称</w:t>
            </w:r>
          </w:p>
        </w:tc>
        <w:tc>
          <w:tcPr>
            <w:tcW w:w="930" w:type="pct"/>
            <w:tcBorders>
              <w:tl2br w:val="nil"/>
              <w:tr2bl w:val="nil"/>
            </w:tcBorders>
            <w:tcMar>
              <w:left w:w="108" w:type="dxa"/>
              <w:right w:w="108" w:type="dxa"/>
            </w:tcMar>
            <w:vAlign w:val="center"/>
          </w:tcPr>
          <w:p w14:paraId="7035CD05">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473E9B6">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1A4B6F5">
            <w:pPr>
              <w:widowControl/>
              <w:spacing w:line="320" w:lineRule="exact"/>
              <w:jc w:val="center"/>
              <w:rPr>
                <w:rFonts w:hint="eastAsia" w:ascii="宋体" w:hAnsi="宋体" w:cs="宋体"/>
                <w:color w:val="auto"/>
                <w:szCs w:val="21"/>
                <w:highlight w:val="none"/>
              </w:rPr>
            </w:pPr>
          </w:p>
        </w:tc>
      </w:tr>
      <w:tr w14:paraId="0332E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1691" w:type="pct"/>
            <w:gridSpan w:val="4"/>
            <w:tcBorders>
              <w:tl2br w:val="nil"/>
              <w:tr2bl w:val="nil"/>
            </w:tcBorders>
            <w:tcMar>
              <w:left w:w="108" w:type="dxa"/>
              <w:right w:w="108" w:type="dxa"/>
            </w:tcMar>
            <w:vAlign w:val="center"/>
          </w:tcPr>
          <w:p w14:paraId="2F7D3934">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投标报价（元）</w:t>
            </w:r>
          </w:p>
        </w:tc>
        <w:tc>
          <w:tcPr>
            <w:tcW w:w="930" w:type="pct"/>
            <w:tcBorders>
              <w:tl2br w:val="nil"/>
              <w:tr2bl w:val="nil"/>
            </w:tcBorders>
            <w:tcMar>
              <w:left w:w="108" w:type="dxa"/>
              <w:right w:w="108" w:type="dxa"/>
            </w:tcMar>
            <w:vAlign w:val="center"/>
          </w:tcPr>
          <w:p w14:paraId="3B15CFF2">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7760736F">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C498A44">
            <w:pPr>
              <w:widowControl/>
              <w:spacing w:line="320" w:lineRule="exact"/>
              <w:jc w:val="center"/>
              <w:rPr>
                <w:rFonts w:hint="eastAsia" w:ascii="宋体" w:hAnsi="宋体" w:cs="宋体"/>
                <w:color w:val="auto"/>
                <w:szCs w:val="21"/>
                <w:highlight w:val="none"/>
              </w:rPr>
            </w:pPr>
          </w:p>
        </w:tc>
      </w:tr>
      <w:tr w14:paraId="4E8EC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2682278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质量目标</w:t>
            </w:r>
          </w:p>
        </w:tc>
        <w:tc>
          <w:tcPr>
            <w:tcW w:w="930" w:type="pct"/>
            <w:tcBorders>
              <w:tl2br w:val="nil"/>
              <w:tr2bl w:val="nil"/>
            </w:tcBorders>
            <w:tcMar>
              <w:left w:w="108" w:type="dxa"/>
              <w:right w:w="108" w:type="dxa"/>
            </w:tcMar>
            <w:vAlign w:val="center"/>
          </w:tcPr>
          <w:p w14:paraId="58250E70">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37721B0">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D424205">
            <w:pPr>
              <w:spacing w:line="320" w:lineRule="exact"/>
              <w:jc w:val="center"/>
              <w:rPr>
                <w:rFonts w:hint="eastAsia" w:ascii="宋体" w:hAnsi="宋体" w:cs="宋体"/>
                <w:color w:val="auto"/>
                <w:szCs w:val="21"/>
                <w:highlight w:val="none"/>
              </w:rPr>
            </w:pPr>
          </w:p>
        </w:tc>
      </w:tr>
      <w:tr w14:paraId="2FE38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27BA53F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环保目标（如有）</w:t>
            </w:r>
          </w:p>
        </w:tc>
        <w:tc>
          <w:tcPr>
            <w:tcW w:w="930" w:type="pct"/>
            <w:tcBorders>
              <w:tl2br w:val="nil"/>
              <w:tr2bl w:val="nil"/>
            </w:tcBorders>
            <w:tcMar>
              <w:left w:w="108" w:type="dxa"/>
              <w:right w:w="108" w:type="dxa"/>
            </w:tcMar>
            <w:vAlign w:val="center"/>
          </w:tcPr>
          <w:p w14:paraId="48B7CFC5">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3754CB6">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6DDF3DE">
            <w:pPr>
              <w:spacing w:line="320" w:lineRule="exact"/>
              <w:jc w:val="center"/>
              <w:rPr>
                <w:rFonts w:hint="eastAsia" w:ascii="宋体" w:hAnsi="宋体" w:cs="宋体"/>
                <w:color w:val="auto"/>
                <w:szCs w:val="21"/>
                <w:highlight w:val="none"/>
              </w:rPr>
            </w:pPr>
          </w:p>
        </w:tc>
      </w:tr>
      <w:tr w14:paraId="6B6FD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0" w:hRule="atLeast"/>
          <w:jc w:val="center"/>
        </w:trPr>
        <w:tc>
          <w:tcPr>
            <w:tcW w:w="1691" w:type="pct"/>
            <w:gridSpan w:val="4"/>
            <w:tcBorders>
              <w:tl2br w:val="nil"/>
              <w:tr2bl w:val="nil"/>
            </w:tcBorders>
            <w:tcMar>
              <w:left w:w="108" w:type="dxa"/>
              <w:right w:w="108" w:type="dxa"/>
            </w:tcMar>
            <w:vAlign w:val="center"/>
          </w:tcPr>
          <w:p w14:paraId="202B3E5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安全目标（如有）</w:t>
            </w:r>
          </w:p>
        </w:tc>
        <w:tc>
          <w:tcPr>
            <w:tcW w:w="930" w:type="pct"/>
            <w:tcBorders>
              <w:tl2br w:val="nil"/>
              <w:tr2bl w:val="nil"/>
            </w:tcBorders>
            <w:tcMar>
              <w:left w:w="108" w:type="dxa"/>
              <w:right w:w="108" w:type="dxa"/>
            </w:tcMar>
            <w:vAlign w:val="center"/>
          </w:tcPr>
          <w:p w14:paraId="09659A4B">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70B611D8">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E288D04">
            <w:pPr>
              <w:spacing w:line="320" w:lineRule="exact"/>
              <w:jc w:val="center"/>
              <w:rPr>
                <w:rFonts w:hint="eastAsia" w:ascii="宋体" w:hAnsi="宋体" w:cs="宋体"/>
                <w:color w:val="auto"/>
                <w:szCs w:val="21"/>
                <w:highlight w:val="none"/>
              </w:rPr>
            </w:pPr>
          </w:p>
        </w:tc>
      </w:tr>
      <w:tr w14:paraId="35B30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691" w:type="pct"/>
            <w:gridSpan w:val="4"/>
            <w:tcBorders>
              <w:tl2br w:val="nil"/>
              <w:tr2bl w:val="nil"/>
            </w:tcBorders>
            <w:tcMar>
              <w:left w:w="108" w:type="dxa"/>
              <w:right w:w="108" w:type="dxa"/>
            </w:tcMar>
            <w:vAlign w:val="center"/>
          </w:tcPr>
          <w:p w14:paraId="310B1A9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工期（日历天）</w:t>
            </w:r>
          </w:p>
        </w:tc>
        <w:tc>
          <w:tcPr>
            <w:tcW w:w="930" w:type="pct"/>
            <w:tcBorders>
              <w:tl2br w:val="nil"/>
              <w:tr2bl w:val="nil"/>
            </w:tcBorders>
            <w:tcMar>
              <w:left w:w="108" w:type="dxa"/>
              <w:right w:w="108" w:type="dxa"/>
            </w:tcMar>
            <w:vAlign w:val="center"/>
          </w:tcPr>
          <w:p w14:paraId="5E25D27A">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DEA2314">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1D20A5C7">
            <w:pPr>
              <w:spacing w:line="320" w:lineRule="exact"/>
              <w:jc w:val="center"/>
              <w:rPr>
                <w:rFonts w:hint="eastAsia" w:ascii="宋体" w:hAnsi="宋体" w:cs="宋体"/>
                <w:color w:val="auto"/>
                <w:szCs w:val="21"/>
                <w:highlight w:val="none"/>
              </w:rPr>
            </w:pPr>
          </w:p>
        </w:tc>
      </w:tr>
      <w:tr w14:paraId="55E65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restart"/>
            <w:tcBorders>
              <w:tl2br w:val="nil"/>
              <w:tr2bl w:val="nil"/>
            </w:tcBorders>
            <w:tcMar>
              <w:left w:w="108" w:type="dxa"/>
              <w:right w:w="108" w:type="dxa"/>
            </w:tcMar>
            <w:vAlign w:val="center"/>
          </w:tcPr>
          <w:p w14:paraId="6F1D2E5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详细评审得分情况</w:t>
            </w:r>
          </w:p>
        </w:tc>
        <w:tc>
          <w:tcPr>
            <w:tcW w:w="1120" w:type="pct"/>
            <w:gridSpan w:val="3"/>
            <w:tcBorders>
              <w:tl2br w:val="nil"/>
              <w:tr2bl w:val="nil"/>
            </w:tcBorders>
            <w:tcMar>
              <w:left w:w="108" w:type="dxa"/>
              <w:right w:w="108" w:type="dxa"/>
            </w:tcMar>
            <w:vAlign w:val="center"/>
          </w:tcPr>
          <w:p w14:paraId="15FEA66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w:t>
            </w:r>
          </w:p>
        </w:tc>
        <w:tc>
          <w:tcPr>
            <w:tcW w:w="930" w:type="pct"/>
            <w:tcBorders>
              <w:tl2br w:val="nil"/>
              <w:tr2bl w:val="nil"/>
            </w:tcBorders>
            <w:tcMar>
              <w:left w:w="108" w:type="dxa"/>
              <w:right w:w="108" w:type="dxa"/>
            </w:tcMar>
            <w:vAlign w:val="center"/>
          </w:tcPr>
          <w:p w14:paraId="3B72C4BA">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18D2B12D">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EB1AA3F">
            <w:pPr>
              <w:spacing w:line="320" w:lineRule="exact"/>
              <w:jc w:val="center"/>
              <w:rPr>
                <w:rFonts w:hint="eastAsia" w:ascii="宋体" w:hAnsi="宋体" w:cs="宋体"/>
                <w:color w:val="auto"/>
                <w:szCs w:val="21"/>
                <w:highlight w:val="none"/>
              </w:rPr>
            </w:pPr>
          </w:p>
        </w:tc>
      </w:tr>
      <w:tr w14:paraId="01948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continue"/>
            <w:tcBorders>
              <w:tl2br w:val="nil"/>
              <w:tr2bl w:val="nil"/>
            </w:tcBorders>
            <w:tcMar>
              <w:left w:w="108" w:type="dxa"/>
              <w:right w:w="108" w:type="dxa"/>
            </w:tcMar>
            <w:vAlign w:val="center"/>
          </w:tcPr>
          <w:p w14:paraId="41545F46">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2EBF9C1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商务评分</w:t>
            </w:r>
          </w:p>
        </w:tc>
        <w:tc>
          <w:tcPr>
            <w:tcW w:w="930" w:type="pct"/>
            <w:tcBorders>
              <w:tl2br w:val="nil"/>
              <w:tr2bl w:val="nil"/>
            </w:tcBorders>
            <w:tcMar>
              <w:left w:w="108" w:type="dxa"/>
              <w:right w:w="108" w:type="dxa"/>
            </w:tcMar>
            <w:vAlign w:val="center"/>
          </w:tcPr>
          <w:p w14:paraId="1CF613A6">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AD9B38C">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4C435F0">
            <w:pPr>
              <w:spacing w:line="320" w:lineRule="exact"/>
              <w:jc w:val="center"/>
              <w:rPr>
                <w:rFonts w:hint="eastAsia" w:ascii="宋体" w:hAnsi="宋体" w:cs="宋体"/>
                <w:color w:val="auto"/>
                <w:szCs w:val="21"/>
                <w:highlight w:val="none"/>
              </w:rPr>
            </w:pPr>
          </w:p>
        </w:tc>
      </w:tr>
      <w:tr w14:paraId="565C9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303FF909">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4663347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技术投标文件评分</w:t>
            </w:r>
          </w:p>
        </w:tc>
        <w:tc>
          <w:tcPr>
            <w:tcW w:w="930" w:type="pct"/>
            <w:tcBorders>
              <w:tl2br w:val="nil"/>
              <w:tr2bl w:val="nil"/>
            </w:tcBorders>
            <w:tcMar>
              <w:left w:w="108" w:type="dxa"/>
              <w:right w:w="108" w:type="dxa"/>
            </w:tcMar>
            <w:vAlign w:val="center"/>
          </w:tcPr>
          <w:p w14:paraId="2FC58F80">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F00C3A3">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4127435">
            <w:pPr>
              <w:spacing w:line="320" w:lineRule="exact"/>
              <w:jc w:val="center"/>
              <w:rPr>
                <w:rFonts w:hint="eastAsia" w:ascii="宋体" w:hAnsi="宋体" w:cs="宋体"/>
                <w:color w:val="auto"/>
                <w:szCs w:val="21"/>
                <w:highlight w:val="none"/>
              </w:rPr>
            </w:pPr>
          </w:p>
        </w:tc>
      </w:tr>
      <w:tr w14:paraId="79E93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continue"/>
            <w:tcBorders>
              <w:tl2br w:val="nil"/>
              <w:tr2bl w:val="nil"/>
            </w:tcBorders>
            <w:tcMar>
              <w:left w:w="108" w:type="dxa"/>
              <w:right w:w="108" w:type="dxa"/>
            </w:tcMar>
            <w:vAlign w:val="center"/>
          </w:tcPr>
          <w:p w14:paraId="5EB43C5C">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71DA89C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投标报价评分</w:t>
            </w:r>
          </w:p>
        </w:tc>
        <w:tc>
          <w:tcPr>
            <w:tcW w:w="930" w:type="pct"/>
            <w:tcBorders>
              <w:tl2br w:val="nil"/>
              <w:tr2bl w:val="nil"/>
            </w:tcBorders>
            <w:tcMar>
              <w:left w:w="108" w:type="dxa"/>
              <w:right w:w="108" w:type="dxa"/>
            </w:tcMar>
            <w:vAlign w:val="center"/>
          </w:tcPr>
          <w:p w14:paraId="281AD07A">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79162E42">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136FCFB3">
            <w:pPr>
              <w:spacing w:line="320" w:lineRule="exact"/>
              <w:jc w:val="center"/>
              <w:rPr>
                <w:rFonts w:hint="eastAsia" w:ascii="宋体" w:hAnsi="宋体" w:cs="宋体"/>
                <w:color w:val="auto"/>
                <w:szCs w:val="21"/>
                <w:highlight w:val="none"/>
              </w:rPr>
            </w:pPr>
          </w:p>
        </w:tc>
      </w:tr>
      <w:tr w14:paraId="289BC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571" w:type="pct"/>
            <w:vMerge w:val="restart"/>
            <w:tcBorders>
              <w:tl2br w:val="nil"/>
              <w:tr2bl w:val="nil"/>
            </w:tcBorders>
            <w:tcMar>
              <w:left w:w="108" w:type="dxa"/>
              <w:right w:w="108" w:type="dxa"/>
            </w:tcMar>
            <w:vAlign w:val="center"/>
          </w:tcPr>
          <w:p w14:paraId="73170C13">
            <w:pPr>
              <w:spacing w:line="320" w:lineRule="exact"/>
              <w:jc w:val="center"/>
              <w:rPr>
                <w:rFonts w:hint="eastAsia" w:ascii="宋体" w:hAnsi="宋体" w:cs="宋体"/>
                <w:color w:val="auto"/>
                <w:szCs w:val="21"/>
                <w:highlight w:val="none"/>
              </w:rPr>
            </w:pPr>
          </w:p>
          <w:p w14:paraId="623FFA61">
            <w:pPr>
              <w:spacing w:line="320" w:lineRule="exact"/>
              <w:jc w:val="center"/>
              <w:rPr>
                <w:rFonts w:hint="eastAsia" w:ascii="宋体" w:hAnsi="宋体" w:cs="宋体"/>
                <w:color w:val="auto"/>
                <w:szCs w:val="21"/>
                <w:highlight w:val="none"/>
              </w:rPr>
            </w:pPr>
          </w:p>
          <w:p w14:paraId="57EBB64D">
            <w:pPr>
              <w:spacing w:line="320" w:lineRule="exact"/>
              <w:jc w:val="center"/>
              <w:rPr>
                <w:rFonts w:hint="eastAsia" w:ascii="宋体" w:hAnsi="宋体" w:cs="宋体"/>
                <w:color w:val="auto"/>
                <w:szCs w:val="21"/>
                <w:highlight w:val="none"/>
              </w:rPr>
            </w:pPr>
          </w:p>
          <w:p w14:paraId="2D46D36A">
            <w:pPr>
              <w:spacing w:line="320" w:lineRule="exact"/>
              <w:jc w:val="center"/>
              <w:rPr>
                <w:rFonts w:hint="eastAsia" w:ascii="宋体" w:hAnsi="宋体" w:cs="宋体"/>
                <w:color w:val="auto"/>
                <w:szCs w:val="21"/>
                <w:highlight w:val="none"/>
              </w:rPr>
            </w:pPr>
          </w:p>
          <w:p w14:paraId="0FFB6B60">
            <w:pPr>
              <w:spacing w:line="320" w:lineRule="exact"/>
              <w:jc w:val="center"/>
              <w:rPr>
                <w:rFonts w:hint="eastAsia" w:ascii="宋体" w:hAnsi="宋体" w:cs="宋体"/>
                <w:color w:val="auto"/>
                <w:szCs w:val="21"/>
                <w:highlight w:val="none"/>
              </w:rPr>
            </w:pPr>
          </w:p>
          <w:p w14:paraId="05FB27D5">
            <w:pPr>
              <w:spacing w:line="320" w:lineRule="exact"/>
              <w:jc w:val="center"/>
              <w:rPr>
                <w:rFonts w:hint="eastAsia" w:ascii="宋体" w:hAnsi="宋体" w:cs="宋体"/>
                <w:color w:val="auto"/>
                <w:szCs w:val="21"/>
                <w:highlight w:val="none"/>
              </w:rPr>
            </w:pPr>
          </w:p>
          <w:p w14:paraId="2F9378EE">
            <w:pPr>
              <w:spacing w:line="320" w:lineRule="exact"/>
              <w:jc w:val="center"/>
              <w:rPr>
                <w:rFonts w:hint="eastAsia" w:ascii="宋体" w:hAnsi="宋体" w:cs="宋体"/>
                <w:color w:val="auto"/>
                <w:szCs w:val="21"/>
                <w:highlight w:val="none"/>
              </w:rPr>
            </w:pPr>
          </w:p>
          <w:p w14:paraId="1069B674">
            <w:pPr>
              <w:spacing w:line="320" w:lineRule="exact"/>
              <w:jc w:val="center"/>
              <w:rPr>
                <w:rFonts w:hint="eastAsia" w:ascii="宋体" w:hAnsi="宋体" w:cs="宋体"/>
                <w:color w:val="auto"/>
                <w:szCs w:val="21"/>
                <w:highlight w:val="none"/>
              </w:rPr>
            </w:pPr>
          </w:p>
          <w:p w14:paraId="15CEC9C0">
            <w:pPr>
              <w:spacing w:line="320" w:lineRule="exact"/>
              <w:jc w:val="center"/>
              <w:rPr>
                <w:rFonts w:hint="eastAsia" w:ascii="宋体" w:hAnsi="宋体" w:cs="宋体"/>
                <w:color w:val="auto"/>
                <w:szCs w:val="21"/>
                <w:highlight w:val="none"/>
              </w:rPr>
            </w:pPr>
          </w:p>
          <w:p w14:paraId="17D39BAA">
            <w:pPr>
              <w:spacing w:line="320" w:lineRule="exact"/>
              <w:jc w:val="center"/>
              <w:rPr>
                <w:rFonts w:hint="eastAsia" w:ascii="宋体" w:hAnsi="宋体" w:cs="宋体"/>
                <w:color w:val="auto"/>
                <w:szCs w:val="21"/>
                <w:highlight w:val="none"/>
              </w:rPr>
            </w:pPr>
          </w:p>
          <w:p w14:paraId="5A82D95B">
            <w:pPr>
              <w:spacing w:line="320" w:lineRule="exact"/>
              <w:jc w:val="center"/>
              <w:rPr>
                <w:rFonts w:hint="eastAsia" w:ascii="宋体" w:hAnsi="宋体" w:cs="宋体"/>
                <w:color w:val="auto"/>
                <w:szCs w:val="21"/>
                <w:highlight w:val="none"/>
              </w:rPr>
            </w:pPr>
          </w:p>
          <w:p w14:paraId="2FE89D7B">
            <w:pPr>
              <w:spacing w:line="320" w:lineRule="exact"/>
              <w:jc w:val="center"/>
              <w:rPr>
                <w:rFonts w:hint="eastAsia" w:ascii="宋体" w:hAnsi="宋体" w:cs="宋体"/>
                <w:color w:val="auto"/>
                <w:szCs w:val="21"/>
                <w:highlight w:val="none"/>
              </w:rPr>
            </w:pPr>
          </w:p>
          <w:p w14:paraId="5D0C0A84">
            <w:pPr>
              <w:spacing w:line="320" w:lineRule="exact"/>
              <w:jc w:val="center"/>
              <w:rPr>
                <w:rFonts w:hint="eastAsia" w:ascii="宋体" w:hAnsi="宋体" w:cs="宋体"/>
                <w:color w:val="auto"/>
                <w:szCs w:val="21"/>
                <w:highlight w:val="none"/>
              </w:rPr>
            </w:pPr>
          </w:p>
          <w:p w14:paraId="60109D66">
            <w:pPr>
              <w:spacing w:line="320" w:lineRule="exact"/>
              <w:jc w:val="center"/>
              <w:rPr>
                <w:rFonts w:hint="eastAsia" w:ascii="宋体" w:hAnsi="宋体" w:cs="宋体"/>
                <w:color w:val="auto"/>
                <w:szCs w:val="21"/>
                <w:highlight w:val="none"/>
              </w:rPr>
            </w:pPr>
          </w:p>
          <w:p w14:paraId="7566905C">
            <w:pPr>
              <w:spacing w:line="320" w:lineRule="exact"/>
              <w:jc w:val="center"/>
              <w:rPr>
                <w:rFonts w:hint="eastAsia" w:ascii="宋体" w:hAnsi="宋体" w:cs="宋体"/>
                <w:color w:val="auto"/>
                <w:szCs w:val="21"/>
                <w:highlight w:val="none"/>
              </w:rPr>
            </w:pPr>
          </w:p>
          <w:p w14:paraId="2B6386AE">
            <w:pPr>
              <w:spacing w:line="320" w:lineRule="exact"/>
              <w:jc w:val="center"/>
              <w:rPr>
                <w:rFonts w:hint="eastAsia" w:ascii="宋体" w:hAnsi="宋体" w:cs="宋体"/>
                <w:color w:val="auto"/>
                <w:szCs w:val="21"/>
                <w:highlight w:val="none"/>
              </w:rPr>
            </w:pPr>
          </w:p>
          <w:p w14:paraId="29A193B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1120" w:type="pct"/>
            <w:gridSpan w:val="3"/>
            <w:vMerge w:val="restart"/>
            <w:tcBorders>
              <w:tl2br w:val="nil"/>
              <w:tr2bl w:val="nil"/>
            </w:tcBorders>
            <w:tcMar>
              <w:left w:w="108" w:type="dxa"/>
              <w:right w:w="108" w:type="dxa"/>
            </w:tcMar>
            <w:vAlign w:val="center"/>
          </w:tcPr>
          <w:p w14:paraId="691ACB2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1</w:t>
            </w:r>
          </w:p>
        </w:tc>
        <w:tc>
          <w:tcPr>
            <w:tcW w:w="1710" w:type="dxa"/>
            <w:tcBorders>
              <w:tl2br w:val="nil"/>
              <w:tr2bl w:val="nil"/>
            </w:tcBorders>
            <w:tcMar>
              <w:left w:w="108" w:type="dxa"/>
              <w:right w:w="108" w:type="dxa"/>
            </w:tcMar>
            <w:vAlign w:val="center"/>
          </w:tcPr>
          <w:p w14:paraId="0643815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tl2br w:val="nil"/>
              <w:tr2bl w:val="nil"/>
            </w:tcBorders>
            <w:tcMar>
              <w:left w:w="108" w:type="dxa"/>
              <w:right w:w="108" w:type="dxa"/>
            </w:tcMar>
            <w:vAlign w:val="center"/>
          </w:tcPr>
          <w:p w14:paraId="3A1EBCA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tl2br w:val="nil"/>
              <w:tr2bl w:val="nil"/>
            </w:tcBorders>
            <w:tcMar>
              <w:left w:w="108" w:type="dxa"/>
              <w:right w:w="108" w:type="dxa"/>
            </w:tcMar>
            <w:vAlign w:val="center"/>
          </w:tcPr>
          <w:p w14:paraId="54A3184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66FBC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5" w:hRule="atLeast"/>
          <w:jc w:val="center"/>
        </w:trPr>
        <w:tc>
          <w:tcPr>
            <w:tcW w:w="571" w:type="pct"/>
            <w:vMerge w:val="continue"/>
            <w:tcBorders>
              <w:tl2br w:val="nil"/>
              <w:tr2bl w:val="nil"/>
            </w:tcBorders>
            <w:tcMar>
              <w:left w:w="108" w:type="dxa"/>
              <w:right w:w="108" w:type="dxa"/>
            </w:tcMar>
            <w:vAlign w:val="center"/>
          </w:tcPr>
          <w:p w14:paraId="7F4924CE">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3DC583B4">
            <w:pPr>
              <w:spacing w:line="320" w:lineRule="exact"/>
              <w:jc w:val="lef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06AE69C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055" w:type="dxa"/>
            <w:tcBorders>
              <w:tl2br w:val="nil"/>
              <w:tr2bl w:val="nil"/>
            </w:tcBorders>
            <w:tcMar>
              <w:left w:w="108" w:type="dxa"/>
              <w:right w:w="108" w:type="dxa"/>
            </w:tcMar>
            <w:vAlign w:val="center"/>
          </w:tcPr>
          <w:p w14:paraId="1694D9D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312" w:type="dxa"/>
            <w:tcBorders>
              <w:tl2br w:val="nil"/>
              <w:tr2bl w:val="nil"/>
            </w:tcBorders>
            <w:tcMar>
              <w:left w:w="108" w:type="dxa"/>
              <w:right w:w="108" w:type="dxa"/>
            </w:tcMar>
            <w:vAlign w:val="center"/>
          </w:tcPr>
          <w:p w14:paraId="48B0AE0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r>
      <w:tr w14:paraId="638EF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09450111">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6FB618C9">
            <w:pPr>
              <w:spacing w:line="320" w:lineRule="exact"/>
              <w:jc w:val="lef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6FEBD88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l2br w:val="nil"/>
              <w:tr2bl w:val="nil"/>
            </w:tcBorders>
            <w:tcMar>
              <w:left w:w="108" w:type="dxa"/>
              <w:right w:w="108" w:type="dxa"/>
            </w:tcMar>
            <w:vAlign w:val="center"/>
          </w:tcPr>
          <w:p w14:paraId="08F69CC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l2br w:val="nil"/>
              <w:tr2bl w:val="nil"/>
            </w:tcBorders>
            <w:tcMar>
              <w:left w:w="108" w:type="dxa"/>
              <w:right w:w="108" w:type="dxa"/>
            </w:tcMar>
            <w:vAlign w:val="center"/>
          </w:tcPr>
          <w:p w14:paraId="2453082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44ACF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68530216">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228D0367">
            <w:pPr>
              <w:spacing w:line="320" w:lineRule="exact"/>
              <w:jc w:val="lef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5969320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l2br w:val="nil"/>
              <w:tr2bl w:val="nil"/>
            </w:tcBorders>
            <w:tcMar>
              <w:left w:w="108" w:type="dxa"/>
              <w:right w:w="108" w:type="dxa"/>
            </w:tcMar>
            <w:vAlign w:val="center"/>
          </w:tcPr>
          <w:p w14:paraId="43C82A0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l2br w:val="nil"/>
              <w:tr2bl w:val="nil"/>
            </w:tcBorders>
            <w:tcMar>
              <w:left w:w="108" w:type="dxa"/>
              <w:right w:w="108" w:type="dxa"/>
            </w:tcMar>
            <w:vAlign w:val="center"/>
          </w:tcPr>
          <w:p w14:paraId="5DCC9A9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6EBEB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8" w:hRule="atLeast"/>
          <w:jc w:val="center"/>
        </w:trPr>
        <w:tc>
          <w:tcPr>
            <w:tcW w:w="571" w:type="pct"/>
            <w:vMerge w:val="continue"/>
            <w:tcBorders>
              <w:tl2br w:val="nil"/>
              <w:tr2bl w:val="nil"/>
            </w:tcBorders>
            <w:tcMar>
              <w:left w:w="108" w:type="dxa"/>
              <w:right w:w="108" w:type="dxa"/>
            </w:tcMar>
            <w:vAlign w:val="center"/>
          </w:tcPr>
          <w:p w14:paraId="0A14E1AA">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4AED1A2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2</w:t>
            </w:r>
          </w:p>
        </w:tc>
        <w:tc>
          <w:tcPr>
            <w:tcW w:w="1710" w:type="dxa"/>
            <w:tcBorders>
              <w:tl2br w:val="nil"/>
              <w:tr2bl w:val="nil"/>
            </w:tcBorders>
            <w:tcMar>
              <w:left w:w="108" w:type="dxa"/>
              <w:right w:w="108" w:type="dxa"/>
            </w:tcMar>
            <w:vAlign w:val="center"/>
          </w:tcPr>
          <w:p w14:paraId="11BDCE1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tl2br w:val="nil"/>
              <w:tr2bl w:val="nil"/>
            </w:tcBorders>
            <w:tcMar>
              <w:left w:w="108" w:type="dxa"/>
              <w:right w:w="108" w:type="dxa"/>
            </w:tcMar>
            <w:vAlign w:val="center"/>
          </w:tcPr>
          <w:p w14:paraId="61E8504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tl2br w:val="nil"/>
              <w:tr2bl w:val="nil"/>
            </w:tcBorders>
            <w:tcMar>
              <w:left w:w="108" w:type="dxa"/>
              <w:right w:w="108" w:type="dxa"/>
            </w:tcMar>
            <w:vAlign w:val="center"/>
          </w:tcPr>
          <w:p w14:paraId="360EE66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425FD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8" w:hRule="atLeast"/>
          <w:jc w:val="center"/>
        </w:trPr>
        <w:tc>
          <w:tcPr>
            <w:tcW w:w="571" w:type="pct"/>
            <w:vMerge w:val="continue"/>
            <w:tcBorders>
              <w:tl2br w:val="nil"/>
              <w:tr2bl w:val="nil"/>
            </w:tcBorders>
            <w:tcMar>
              <w:left w:w="108" w:type="dxa"/>
              <w:right w:w="108" w:type="dxa"/>
            </w:tcMar>
            <w:vAlign w:val="center"/>
          </w:tcPr>
          <w:p w14:paraId="66C5C40B">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26550191">
            <w:pPr>
              <w:spacing w:line="320" w:lineRule="exact"/>
              <w:jc w:val="center"/>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6A7486B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055" w:type="dxa"/>
            <w:tcBorders>
              <w:tl2br w:val="nil"/>
              <w:tr2bl w:val="nil"/>
            </w:tcBorders>
            <w:tcMar>
              <w:left w:w="108" w:type="dxa"/>
              <w:right w:w="108" w:type="dxa"/>
            </w:tcMar>
            <w:vAlign w:val="center"/>
          </w:tcPr>
          <w:p w14:paraId="2341779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312" w:type="dxa"/>
            <w:tcBorders>
              <w:tl2br w:val="nil"/>
              <w:tr2bl w:val="nil"/>
            </w:tcBorders>
            <w:tcMar>
              <w:left w:w="108" w:type="dxa"/>
              <w:right w:w="108" w:type="dxa"/>
            </w:tcMar>
            <w:vAlign w:val="center"/>
          </w:tcPr>
          <w:p w14:paraId="185BC16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r>
      <w:tr w14:paraId="55E03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6B56EE90">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55C7BAB8">
            <w:pPr>
              <w:spacing w:line="320" w:lineRule="exact"/>
              <w:jc w:val="center"/>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45B01D6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l2br w:val="nil"/>
              <w:tr2bl w:val="nil"/>
            </w:tcBorders>
            <w:tcMar>
              <w:left w:w="108" w:type="dxa"/>
              <w:right w:w="108" w:type="dxa"/>
            </w:tcMar>
            <w:vAlign w:val="center"/>
          </w:tcPr>
          <w:p w14:paraId="0D0F2FD9">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l2br w:val="nil"/>
              <w:tr2bl w:val="nil"/>
            </w:tcBorders>
            <w:tcMar>
              <w:left w:w="108" w:type="dxa"/>
              <w:right w:w="108" w:type="dxa"/>
            </w:tcMar>
            <w:vAlign w:val="center"/>
          </w:tcPr>
          <w:p w14:paraId="576C234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1FEEC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2C630ADD">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4B639C8D">
            <w:pPr>
              <w:spacing w:line="320" w:lineRule="exact"/>
              <w:jc w:val="lef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262C8FA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l2br w:val="nil"/>
              <w:tr2bl w:val="nil"/>
            </w:tcBorders>
            <w:tcMar>
              <w:left w:w="108" w:type="dxa"/>
              <w:right w:w="108" w:type="dxa"/>
            </w:tcMar>
            <w:vAlign w:val="center"/>
          </w:tcPr>
          <w:p w14:paraId="243FA06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l2br w:val="nil"/>
              <w:tr2bl w:val="nil"/>
            </w:tcBorders>
            <w:tcMar>
              <w:left w:w="108" w:type="dxa"/>
              <w:right w:w="108" w:type="dxa"/>
            </w:tcMar>
            <w:vAlign w:val="center"/>
          </w:tcPr>
          <w:p w14:paraId="1FC1D54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61BA4C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3" w:hRule="atLeast"/>
          <w:jc w:val="center"/>
        </w:trPr>
        <w:tc>
          <w:tcPr>
            <w:tcW w:w="571" w:type="pct"/>
            <w:vMerge w:val="continue"/>
            <w:tcBorders>
              <w:tl2br w:val="nil"/>
              <w:tr2bl w:val="nil"/>
            </w:tcBorders>
            <w:tcMar>
              <w:left w:w="108" w:type="dxa"/>
              <w:right w:w="108" w:type="dxa"/>
            </w:tcMar>
            <w:vAlign w:val="center"/>
          </w:tcPr>
          <w:p w14:paraId="6A0EB6DF">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1BF11DC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3</w:t>
            </w:r>
          </w:p>
        </w:tc>
        <w:tc>
          <w:tcPr>
            <w:tcW w:w="1710" w:type="dxa"/>
            <w:tcBorders>
              <w:bottom w:val="single" w:color="auto" w:sz="4" w:space="0"/>
              <w:tl2br w:val="nil"/>
              <w:tr2bl w:val="nil"/>
            </w:tcBorders>
            <w:tcMar>
              <w:left w:w="108" w:type="dxa"/>
              <w:right w:w="108" w:type="dxa"/>
            </w:tcMar>
            <w:vAlign w:val="center"/>
          </w:tcPr>
          <w:p w14:paraId="1A80EE1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bottom w:val="single" w:color="auto" w:sz="4" w:space="0"/>
              <w:tl2br w:val="nil"/>
              <w:tr2bl w:val="nil"/>
            </w:tcBorders>
            <w:tcMar>
              <w:left w:w="108" w:type="dxa"/>
              <w:right w:w="108" w:type="dxa"/>
            </w:tcMar>
            <w:vAlign w:val="center"/>
          </w:tcPr>
          <w:p w14:paraId="17F72009">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bottom w:val="single" w:color="auto" w:sz="4" w:space="0"/>
              <w:tl2br w:val="nil"/>
              <w:tr2bl w:val="nil"/>
            </w:tcBorders>
            <w:tcMar>
              <w:left w:w="108" w:type="dxa"/>
              <w:right w:w="108" w:type="dxa"/>
            </w:tcMar>
            <w:vAlign w:val="center"/>
          </w:tcPr>
          <w:p w14:paraId="1F86A6D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1D85C9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0" w:hRule="atLeast"/>
          <w:jc w:val="center"/>
        </w:trPr>
        <w:tc>
          <w:tcPr>
            <w:tcW w:w="571" w:type="pct"/>
            <w:vMerge w:val="continue"/>
            <w:tcBorders>
              <w:tl2br w:val="nil"/>
              <w:tr2bl w:val="nil"/>
            </w:tcBorders>
            <w:tcMar>
              <w:left w:w="108" w:type="dxa"/>
              <w:right w:w="108" w:type="dxa"/>
            </w:tcMar>
            <w:vAlign w:val="center"/>
          </w:tcPr>
          <w:p w14:paraId="54514733">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00820EED">
            <w:pPr>
              <w:spacing w:line="320" w:lineRule="exact"/>
              <w:jc w:val="center"/>
              <w:rPr>
                <w:rFonts w:hint="eastAsia" w:ascii="宋体" w:hAnsi="宋体" w:cs="宋体"/>
                <w:color w:val="auto"/>
                <w:szCs w:val="21"/>
                <w:highlight w:val="none"/>
              </w:rPr>
            </w:pPr>
          </w:p>
        </w:tc>
        <w:tc>
          <w:tcPr>
            <w:tcW w:w="1710" w:type="dxa"/>
            <w:tcBorders>
              <w:top w:val="single" w:color="auto" w:sz="4" w:space="0"/>
              <w:bottom w:val="single" w:color="auto" w:sz="4" w:space="0"/>
              <w:tl2br w:val="nil"/>
              <w:tr2bl w:val="nil"/>
            </w:tcBorders>
            <w:tcMar>
              <w:left w:w="108" w:type="dxa"/>
              <w:right w:w="108" w:type="dxa"/>
            </w:tcMar>
            <w:vAlign w:val="center"/>
          </w:tcPr>
          <w:p w14:paraId="4EA419E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055" w:type="dxa"/>
            <w:tcBorders>
              <w:top w:val="single" w:color="auto" w:sz="4" w:space="0"/>
              <w:bottom w:val="single" w:color="auto" w:sz="4" w:space="0"/>
              <w:tl2br w:val="nil"/>
              <w:tr2bl w:val="nil"/>
            </w:tcBorders>
            <w:tcMar>
              <w:left w:w="108" w:type="dxa"/>
              <w:right w:w="108" w:type="dxa"/>
            </w:tcMar>
            <w:vAlign w:val="center"/>
          </w:tcPr>
          <w:p w14:paraId="3A40963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312" w:type="dxa"/>
            <w:tcBorders>
              <w:top w:val="single" w:color="auto" w:sz="4" w:space="0"/>
              <w:bottom w:val="single" w:color="auto" w:sz="4" w:space="0"/>
              <w:tl2br w:val="nil"/>
              <w:tr2bl w:val="nil"/>
            </w:tcBorders>
            <w:tcMar>
              <w:left w:w="108" w:type="dxa"/>
              <w:right w:w="108" w:type="dxa"/>
            </w:tcMar>
            <w:vAlign w:val="center"/>
          </w:tcPr>
          <w:p w14:paraId="265A3E1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r>
      <w:tr w14:paraId="0871D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9" w:hRule="atLeast"/>
          <w:jc w:val="center"/>
        </w:trPr>
        <w:tc>
          <w:tcPr>
            <w:tcW w:w="571" w:type="pct"/>
            <w:vMerge w:val="continue"/>
            <w:tcBorders>
              <w:tl2br w:val="nil"/>
              <w:tr2bl w:val="nil"/>
            </w:tcBorders>
            <w:tcMar>
              <w:left w:w="108" w:type="dxa"/>
              <w:right w:w="108" w:type="dxa"/>
            </w:tcMar>
            <w:vAlign w:val="center"/>
          </w:tcPr>
          <w:p w14:paraId="5FB7C8DD">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5683E3C2">
            <w:pPr>
              <w:spacing w:line="320" w:lineRule="exact"/>
              <w:jc w:val="center"/>
              <w:rPr>
                <w:rFonts w:hint="eastAsia" w:ascii="宋体" w:hAnsi="宋体" w:cs="宋体"/>
                <w:color w:val="auto"/>
                <w:szCs w:val="21"/>
                <w:highlight w:val="none"/>
              </w:rPr>
            </w:pPr>
          </w:p>
        </w:tc>
        <w:tc>
          <w:tcPr>
            <w:tcW w:w="1710" w:type="dxa"/>
            <w:tcBorders>
              <w:top w:val="single" w:color="auto" w:sz="4" w:space="0"/>
              <w:bottom w:val="single" w:color="auto" w:sz="4" w:space="0"/>
              <w:tl2br w:val="nil"/>
              <w:tr2bl w:val="nil"/>
            </w:tcBorders>
            <w:tcMar>
              <w:left w:w="108" w:type="dxa"/>
              <w:right w:w="108" w:type="dxa"/>
            </w:tcMar>
            <w:vAlign w:val="center"/>
          </w:tcPr>
          <w:p w14:paraId="5925983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op w:val="single" w:color="auto" w:sz="4" w:space="0"/>
              <w:bottom w:val="single" w:color="auto" w:sz="4" w:space="0"/>
              <w:tl2br w:val="nil"/>
              <w:tr2bl w:val="nil"/>
            </w:tcBorders>
            <w:tcMar>
              <w:left w:w="108" w:type="dxa"/>
              <w:right w:w="108" w:type="dxa"/>
            </w:tcMar>
            <w:vAlign w:val="center"/>
          </w:tcPr>
          <w:p w14:paraId="71CCA14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op w:val="single" w:color="auto" w:sz="4" w:space="0"/>
              <w:bottom w:val="single" w:color="auto" w:sz="4" w:space="0"/>
              <w:tl2br w:val="nil"/>
              <w:tr2bl w:val="nil"/>
            </w:tcBorders>
            <w:tcMar>
              <w:left w:w="108" w:type="dxa"/>
              <w:right w:w="108" w:type="dxa"/>
            </w:tcMar>
            <w:vAlign w:val="center"/>
          </w:tcPr>
          <w:p w14:paraId="5262636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396E2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2" w:hRule="atLeast"/>
          <w:jc w:val="center"/>
        </w:trPr>
        <w:tc>
          <w:tcPr>
            <w:tcW w:w="571" w:type="pct"/>
            <w:vMerge w:val="continue"/>
            <w:tcBorders>
              <w:tl2br w:val="nil"/>
              <w:tr2bl w:val="nil"/>
            </w:tcBorders>
            <w:tcMar>
              <w:left w:w="108" w:type="dxa"/>
              <w:right w:w="108" w:type="dxa"/>
            </w:tcMar>
            <w:vAlign w:val="center"/>
          </w:tcPr>
          <w:p w14:paraId="24DDBFAA">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7EACDBAC">
            <w:pPr>
              <w:spacing w:line="320" w:lineRule="exact"/>
              <w:jc w:val="center"/>
              <w:rPr>
                <w:rFonts w:hint="eastAsia" w:ascii="宋体" w:hAnsi="宋体" w:cs="宋体"/>
                <w:color w:val="auto"/>
                <w:szCs w:val="21"/>
                <w:highlight w:val="none"/>
              </w:rPr>
            </w:pPr>
          </w:p>
        </w:tc>
        <w:tc>
          <w:tcPr>
            <w:tcW w:w="1710" w:type="dxa"/>
            <w:tcBorders>
              <w:top w:val="single" w:color="auto" w:sz="4" w:space="0"/>
              <w:tl2br w:val="nil"/>
              <w:tr2bl w:val="nil"/>
            </w:tcBorders>
            <w:tcMar>
              <w:left w:w="108" w:type="dxa"/>
              <w:right w:w="108" w:type="dxa"/>
            </w:tcMar>
            <w:vAlign w:val="center"/>
          </w:tcPr>
          <w:p w14:paraId="22F5AB6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op w:val="single" w:color="auto" w:sz="4" w:space="0"/>
              <w:tl2br w:val="nil"/>
              <w:tr2bl w:val="nil"/>
            </w:tcBorders>
            <w:tcMar>
              <w:left w:w="108" w:type="dxa"/>
              <w:right w:w="108" w:type="dxa"/>
            </w:tcMar>
            <w:vAlign w:val="center"/>
          </w:tcPr>
          <w:p w14:paraId="3601BF3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op w:val="single" w:color="auto" w:sz="4" w:space="0"/>
              <w:tl2br w:val="nil"/>
              <w:tr2bl w:val="nil"/>
            </w:tcBorders>
            <w:tcMar>
              <w:left w:w="108" w:type="dxa"/>
              <w:right w:w="108" w:type="dxa"/>
            </w:tcMar>
            <w:vAlign w:val="center"/>
          </w:tcPr>
          <w:p w14:paraId="2564D33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0B48A4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40E130B6">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6B4BEB37">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rPr>
              <w:t>信用评价加</w:t>
            </w:r>
            <w:r>
              <w:rPr>
                <w:rFonts w:hint="eastAsia" w:ascii="宋体" w:hAnsi="宋体" w:cs="宋体"/>
                <w:color w:val="auto"/>
                <w:szCs w:val="21"/>
                <w:highlight w:val="none"/>
                <w:lang w:eastAsia="zh"/>
              </w:rPr>
              <w:t>分</w:t>
            </w:r>
          </w:p>
        </w:tc>
        <w:tc>
          <w:tcPr>
            <w:tcW w:w="930" w:type="pct"/>
            <w:tcBorders>
              <w:tl2br w:val="nil"/>
              <w:tr2bl w:val="nil"/>
            </w:tcBorders>
            <w:tcMar>
              <w:left w:w="108" w:type="dxa"/>
              <w:right w:w="108" w:type="dxa"/>
            </w:tcMar>
            <w:vAlign w:val="center"/>
          </w:tcPr>
          <w:p w14:paraId="4D5B3DD1">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3BA09D5">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4106F11">
            <w:pPr>
              <w:spacing w:line="320" w:lineRule="exact"/>
              <w:jc w:val="center"/>
              <w:rPr>
                <w:rFonts w:hint="eastAsia" w:ascii="宋体" w:hAnsi="宋体" w:cs="宋体"/>
                <w:color w:val="auto"/>
                <w:szCs w:val="21"/>
                <w:highlight w:val="none"/>
              </w:rPr>
            </w:pPr>
          </w:p>
        </w:tc>
      </w:tr>
      <w:tr w14:paraId="111114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25E1955B">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79B0D819">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信用处罚扣分</w:t>
            </w:r>
          </w:p>
        </w:tc>
        <w:tc>
          <w:tcPr>
            <w:tcW w:w="930" w:type="pct"/>
            <w:tcBorders>
              <w:tl2br w:val="nil"/>
              <w:tr2bl w:val="nil"/>
            </w:tcBorders>
            <w:tcMar>
              <w:left w:w="108" w:type="dxa"/>
              <w:right w:w="108" w:type="dxa"/>
            </w:tcMar>
            <w:vAlign w:val="center"/>
          </w:tcPr>
          <w:p w14:paraId="6E2244D5">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164E8A26">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7A8C453">
            <w:pPr>
              <w:spacing w:line="320" w:lineRule="exact"/>
              <w:jc w:val="center"/>
              <w:rPr>
                <w:rFonts w:hint="eastAsia" w:ascii="宋体" w:hAnsi="宋体" w:cs="宋体"/>
                <w:color w:val="auto"/>
                <w:szCs w:val="21"/>
                <w:highlight w:val="none"/>
              </w:rPr>
            </w:pPr>
          </w:p>
        </w:tc>
      </w:tr>
      <w:tr w14:paraId="796E1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571" w:type="pct"/>
            <w:vMerge w:val="continue"/>
            <w:tcBorders>
              <w:tl2br w:val="nil"/>
              <w:tr2bl w:val="nil"/>
            </w:tcBorders>
            <w:tcMar>
              <w:left w:w="108" w:type="dxa"/>
              <w:right w:w="108" w:type="dxa"/>
            </w:tcMar>
            <w:vAlign w:val="center"/>
          </w:tcPr>
          <w:p w14:paraId="7E64F150">
            <w:pPr>
              <w:spacing w:line="320" w:lineRule="exact"/>
              <w:jc w:val="center"/>
              <w:rPr>
                <w:rFonts w:hint="eastAsia" w:ascii="宋体" w:hAnsi="宋体" w:cs="宋体"/>
                <w:color w:val="auto"/>
                <w:szCs w:val="21"/>
                <w:highlight w:val="none"/>
              </w:rPr>
            </w:pPr>
          </w:p>
        </w:tc>
        <w:tc>
          <w:tcPr>
            <w:tcW w:w="554" w:type="pct"/>
            <w:gridSpan w:val="2"/>
            <w:vMerge w:val="restart"/>
            <w:tcBorders>
              <w:right w:val="single" w:color="auto" w:sz="4" w:space="0"/>
              <w:tl2br w:val="nil"/>
              <w:tr2bl w:val="nil"/>
            </w:tcBorders>
            <w:tcMar>
              <w:left w:w="108" w:type="dxa"/>
              <w:right w:w="108" w:type="dxa"/>
            </w:tcMar>
            <w:vAlign w:val="center"/>
          </w:tcPr>
          <w:p w14:paraId="5886283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奖项加分（如有）</w:t>
            </w:r>
          </w:p>
        </w:tc>
        <w:tc>
          <w:tcPr>
            <w:tcW w:w="565" w:type="pct"/>
            <w:tcBorders>
              <w:left w:val="single" w:color="auto" w:sz="4" w:space="0"/>
              <w:bottom w:val="single" w:color="auto" w:sz="4" w:space="0"/>
              <w:tl2br w:val="nil"/>
              <w:tr2bl w:val="nil"/>
            </w:tcBorders>
            <w:tcMar>
              <w:left w:w="108" w:type="dxa"/>
              <w:right w:w="108" w:type="dxa"/>
            </w:tcMar>
            <w:vAlign w:val="center"/>
          </w:tcPr>
          <w:p w14:paraId="0F4B253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获奖名称</w:t>
            </w:r>
          </w:p>
        </w:tc>
        <w:tc>
          <w:tcPr>
            <w:tcW w:w="930" w:type="pct"/>
            <w:tcBorders>
              <w:bottom w:val="single" w:color="auto" w:sz="4" w:space="0"/>
              <w:tl2br w:val="nil"/>
              <w:tr2bl w:val="nil"/>
            </w:tcBorders>
            <w:tcMar>
              <w:left w:w="108" w:type="dxa"/>
              <w:right w:w="108" w:type="dxa"/>
            </w:tcMar>
            <w:vAlign w:val="center"/>
          </w:tcPr>
          <w:p w14:paraId="1482321C">
            <w:pPr>
              <w:spacing w:line="320" w:lineRule="exact"/>
              <w:jc w:val="center"/>
              <w:rPr>
                <w:rFonts w:hint="eastAsia" w:ascii="宋体" w:hAnsi="宋体" w:cs="宋体"/>
                <w:color w:val="auto"/>
                <w:szCs w:val="21"/>
                <w:highlight w:val="none"/>
              </w:rPr>
            </w:pPr>
          </w:p>
        </w:tc>
        <w:tc>
          <w:tcPr>
            <w:tcW w:w="1118" w:type="pct"/>
            <w:tcBorders>
              <w:bottom w:val="single" w:color="auto" w:sz="4" w:space="0"/>
              <w:tl2br w:val="nil"/>
              <w:tr2bl w:val="nil"/>
            </w:tcBorders>
            <w:tcMar>
              <w:left w:w="108" w:type="dxa"/>
              <w:right w:w="108" w:type="dxa"/>
            </w:tcMar>
            <w:vAlign w:val="center"/>
          </w:tcPr>
          <w:p w14:paraId="5116246A">
            <w:pPr>
              <w:spacing w:line="320" w:lineRule="exact"/>
              <w:jc w:val="center"/>
              <w:rPr>
                <w:rFonts w:hint="eastAsia" w:ascii="宋体" w:hAnsi="宋体" w:cs="宋体"/>
                <w:color w:val="auto"/>
                <w:szCs w:val="21"/>
                <w:highlight w:val="none"/>
              </w:rPr>
            </w:pPr>
          </w:p>
        </w:tc>
        <w:tc>
          <w:tcPr>
            <w:tcW w:w="1258" w:type="pct"/>
            <w:tcBorders>
              <w:bottom w:val="single" w:color="auto" w:sz="4" w:space="0"/>
              <w:tl2br w:val="nil"/>
              <w:tr2bl w:val="nil"/>
            </w:tcBorders>
            <w:tcMar>
              <w:left w:w="108" w:type="dxa"/>
              <w:right w:w="108" w:type="dxa"/>
            </w:tcMar>
            <w:vAlign w:val="center"/>
          </w:tcPr>
          <w:p w14:paraId="7A271D61">
            <w:pPr>
              <w:spacing w:line="320" w:lineRule="exact"/>
              <w:jc w:val="center"/>
              <w:rPr>
                <w:rFonts w:hint="eastAsia" w:ascii="宋体" w:hAnsi="宋体" w:cs="宋体"/>
                <w:color w:val="auto"/>
                <w:szCs w:val="21"/>
                <w:highlight w:val="none"/>
              </w:rPr>
            </w:pPr>
          </w:p>
        </w:tc>
      </w:tr>
      <w:tr w14:paraId="4774F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571" w:type="pct"/>
            <w:vMerge w:val="continue"/>
            <w:tcBorders>
              <w:tl2br w:val="nil"/>
              <w:tr2bl w:val="nil"/>
            </w:tcBorders>
            <w:tcMar>
              <w:left w:w="108" w:type="dxa"/>
              <w:right w:w="108" w:type="dxa"/>
            </w:tcMar>
            <w:vAlign w:val="center"/>
          </w:tcPr>
          <w:p w14:paraId="2147998A">
            <w:pPr>
              <w:spacing w:line="320" w:lineRule="exact"/>
              <w:jc w:val="center"/>
              <w:rPr>
                <w:rFonts w:hint="eastAsia" w:ascii="宋体" w:hAnsi="宋体" w:cs="宋体"/>
                <w:color w:val="auto"/>
                <w:szCs w:val="21"/>
                <w:highlight w:val="none"/>
              </w:rPr>
            </w:pPr>
          </w:p>
        </w:tc>
        <w:tc>
          <w:tcPr>
            <w:tcW w:w="554" w:type="pct"/>
            <w:gridSpan w:val="2"/>
            <w:vMerge w:val="continue"/>
            <w:tcBorders>
              <w:bottom w:val="single" w:color="auto" w:sz="4" w:space="0"/>
              <w:right w:val="single" w:color="auto" w:sz="4" w:space="0"/>
              <w:tl2br w:val="nil"/>
              <w:tr2bl w:val="nil"/>
            </w:tcBorders>
            <w:tcMar>
              <w:left w:w="108" w:type="dxa"/>
              <w:right w:w="108" w:type="dxa"/>
            </w:tcMar>
            <w:vAlign w:val="center"/>
          </w:tcPr>
          <w:p w14:paraId="3E9281A6">
            <w:pPr>
              <w:spacing w:line="320" w:lineRule="exact"/>
              <w:jc w:val="center"/>
              <w:rPr>
                <w:rFonts w:hint="eastAsia" w:ascii="宋体" w:hAnsi="宋体" w:cs="宋体"/>
                <w:color w:val="auto"/>
                <w:szCs w:val="21"/>
                <w:highlight w:val="none"/>
                <w:lang w:eastAsia="zh"/>
              </w:rPr>
            </w:pP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6CA832B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获奖时间</w:t>
            </w:r>
          </w:p>
        </w:tc>
        <w:tc>
          <w:tcPr>
            <w:tcW w:w="930" w:type="pct"/>
            <w:tcBorders>
              <w:top w:val="single" w:color="auto" w:sz="4" w:space="0"/>
              <w:tl2br w:val="nil"/>
              <w:tr2bl w:val="nil"/>
            </w:tcBorders>
            <w:tcMar>
              <w:left w:w="108" w:type="dxa"/>
              <w:right w:w="108" w:type="dxa"/>
            </w:tcMar>
            <w:vAlign w:val="center"/>
          </w:tcPr>
          <w:p w14:paraId="73D5F23C">
            <w:pPr>
              <w:spacing w:line="320" w:lineRule="exact"/>
              <w:jc w:val="center"/>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2ED3E587">
            <w:pPr>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7068757E">
            <w:pPr>
              <w:spacing w:line="320" w:lineRule="exact"/>
              <w:jc w:val="center"/>
              <w:rPr>
                <w:rFonts w:hint="eastAsia" w:ascii="宋体" w:hAnsi="宋体" w:cs="宋体"/>
                <w:color w:val="auto"/>
                <w:szCs w:val="21"/>
                <w:highlight w:val="none"/>
              </w:rPr>
            </w:pPr>
          </w:p>
        </w:tc>
      </w:tr>
      <w:tr w14:paraId="4D180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571" w:type="pct"/>
            <w:vMerge w:val="continue"/>
            <w:tcBorders>
              <w:tl2br w:val="nil"/>
              <w:tr2bl w:val="nil"/>
            </w:tcBorders>
            <w:tcMar>
              <w:left w:w="108" w:type="dxa"/>
              <w:right w:w="108" w:type="dxa"/>
            </w:tcMar>
            <w:vAlign w:val="center"/>
          </w:tcPr>
          <w:p w14:paraId="6D707022">
            <w:pPr>
              <w:spacing w:line="320" w:lineRule="exact"/>
              <w:jc w:val="center"/>
              <w:rPr>
                <w:rFonts w:hint="eastAsia" w:ascii="宋体" w:hAnsi="宋体" w:cs="宋体"/>
                <w:color w:val="auto"/>
                <w:szCs w:val="21"/>
                <w:highlight w:val="none"/>
              </w:rPr>
            </w:pPr>
          </w:p>
        </w:tc>
        <w:tc>
          <w:tcPr>
            <w:tcW w:w="1120" w:type="pct"/>
            <w:gridSpan w:val="3"/>
            <w:tcBorders>
              <w:top w:val="single" w:color="auto" w:sz="4" w:space="0"/>
              <w:tl2br w:val="nil"/>
              <w:tr2bl w:val="nil"/>
            </w:tcBorders>
            <w:tcMar>
              <w:left w:w="108" w:type="dxa"/>
              <w:right w:w="108" w:type="dxa"/>
            </w:tcMar>
            <w:vAlign w:val="center"/>
          </w:tcPr>
          <w:p w14:paraId="47FA365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930" w:type="pct"/>
            <w:tcBorders>
              <w:top w:val="single" w:color="auto" w:sz="4" w:space="0"/>
              <w:tl2br w:val="nil"/>
              <w:tr2bl w:val="nil"/>
            </w:tcBorders>
            <w:tcMar>
              <w:left w:w="108" w:type="dxa"/>
              <w:right w:w="108" w:type="dxa"/>
            </w:tcMar>
            <w:vAlign w:val="center"/>
          </w:tcPr>
          <w:p w14:paraId="6660EA2F">
            <w:pPr>
              <w:spacing w:line="320" w:lineRule="exact"/>
              <w:jc w:val="center"/>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7A4B134F">
            <w:pPr>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0E79959E">
            <w:pPr>
              <w:spacing w:line="320" w:lineRule="exact"/>
              <w:jc w:val="center"/>
              <w:rPr>
                <w:rFonts w:hint="eastAsia" w:ascii="宋体" w:hAnsi="宋体" w:cs="宋体"/>
                <w:color w:val="auto"/>
                <w:szCs w:val="21"/>
                <w:highlight w:val="none"/>
              </w:rPr>
            </w:pPr>
          </w:p>
        </w:tc>
      </w:tr>
      <w:tr w14:paraId="0CBF3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571" w:type="pct"/>
            <w:vMerge w:val="continue"/>
            <w:tcBorders>
              <w:tl2br w:val="nil"/>
              <w:tr2bl w:val="nil"/>
            </w:tcBorders>
            <w:tcMar>
              <w:left w:w="108" w:type="dxa"/>
              <w:right w:w="108" w:type="dxa"/>
            </w:tcMar>
            <w:vAlign w:val="center"/>
          </w:tcPr>
          <w:p w14:paraId="2BF10E85">
            <w:pPr>
              <w:spacing w:line="320" w:lineRule="exact"/>
              <w:jc w:val="center"/>
              <w:rPr>
                <w:rFonts w:hint="eastAsia" w:ascii="宋体" w:hAnsi="宋体" w:cs="宋体"/>
                <w:color w:val="auto"/>
                <w:szCs w:val="21"/>
                <w:highlight w:val="none"/>
              </w:rPr>
            </w:pPr>
          </w:p>
        </w:tc>
        <w:tc>
          <w:tcPr>
            <w:tcW w:w="554" w:type="pct"/>
            <w:gridSpan w:val="2"/>
            <w:vMerge w:val="restart"/>
            <w:tcBorders>
              <w:top w:val="single" w:color="auto" w:sz="4" w:space="0"/>
              <w:right w:val="single" w:color="auto" w:sz="4" w:space="0"/>
              <w:tl2br w:val="nil"/>
              <w:tr2bl w:val="nil"/>
            </w:tcBorders>
            <w:tcMar>
              <w:left w:w="108" w:type="dxa"/>
              <w:right w:w="108" w:type="dxa"/>
            </w:tcMar>
            <w:vAlign w:val="center"/>
          </w:tcPr>
          <w:p w14:paraId="08920994">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发明专利加分</w:t>
            </w:r>
            <w:r>
              <w:rPr>
                <w:rFonts w:hint="eastAsia" w:ascii="宋体" w:hAnsi="宋体" w:cs="宋体"/>
                <w:color w:val="auto"/>
                <w:szCs w:val="21"/>
                <w:highlight w:val="none"/>
              </w:rPr>
              <w:t>（不适用）</w:t>
            </w: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6C243F2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专利名称 </w:t>
            </w:r>
          </w:p>
        </w:tc>
        <w:tc>
          <w:tcPr>
            <w:tcW w:w="930" w:type="pct"/>
            <w:tcBorders>
              <w:top w:val="single" w:color="auto" w:sz="4" w:space="0"/>
              <w:bottom w:val="single" w:color="auto" w:sz="4" w:space="0"/>
              <w:tl2br w:val="nil"/>
              <w:tr2bl w:val="nil"/>
            </w:tcBorders>
            <w:tcMar>
              <w:left w:w="108" w:type="dxa"/>
              <w:right w:w="108" w:type="dxa"/>
            </w:tcMar>
            <w:vAlign w:val="center"/>
          </w:tcPr>
          <w:p w14:paraId="77B0439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bottom w:val="single" w:color="auto" w:sz="4" w:space="0"/>
              <w:tl2br w:val="nil"/>
              <w:tr2bl w:val="nil"/>
            </w:tcBorders>
            <w:tcMar>
              <w:left w:w="108" w:type="dxa"/>
              <w:right w:w="108" w:type="dxa"/>
            </w:tcMar>
            <w:vAlign w:val="center"/>
          </w:tcPr>
          <w:p w14:paraId="432DDFF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bottom w:val="single" w:color="auto" w:sz="4" w:space="0"/>
              <w:tl2br w:val="nil"/>
              <w:tr2bl w:val="nil"/>
            </w:tcBorders>
            <w:tcMar>
              <w:left w:w="108" w:type="dxa"/>
              <w:right w:w="108" w:type="dxa"/>
            </w:tcMar>
            <w:vAlign w:val="center"/>
          </w:tcPr>
          <w:p w14:paraId="7B26157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613E25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6" w:hRule="atLeast"/>
          <w:jc w:val="center"/>
        </w:trPr>
        <w:tc>
          <w:tcPr>
            <w:tcW w:w="571" w:type="pct"/>
            <w:vMerge w:val="continue"/>
            <w:tcBorders>
              <w:tl2br w:val="nil"/>
              <w:tr2bl w:val="nil"/>
            </w:tcBorders>
            <w:tcMar>
              <w:left w:w="108" w:type="dxa"/>
              <w:right w:w="108" w:type="dxa"/>
            </w:tcMar>
            <w:vAlign w:val="center"/>
          </w:tcPr>
          <w:p w14:paraId="05DA795B">
            <w:pPr>
              <w:spacing w:line="320" w:lineRule="exact"/>
              <w:jc w:val="center"/>
              <w:rPr>
                <w:rFonts w:hint="eastAsia" w:ascii="宋体" w:hAnsi="宋体" w:cs="宋体"/>
                <w:color w:val="auto"/>
                <w:szCs w:val="21"/>
                <w:highlight w:val="none"/>
              </w:rPr>
            </w:pPr>
          </w:p>
        </w:tc>
        <w:tc>
          <w:tcPr>
            <w:tcW w:w="554" w:type="pct"/>
            <w:gridSpan w:val="2"/>
            <w:vMerge w:val="continue"/>
            <w:tcBorders>
              <w:bottom w:val="single" w:color="auto" w:sz="4" w:space="0"/>
              <w:right w:val="single" w:color="auto" w:sz="4" w:space="0"/>
              <w:tl2br w:val="nil"/>
              <w:tr2bl w:val="nil"/>
            </w:tcBorders>
            <w:tcMar>
              <w:left w:w="108" w:type="dxa"/>
              <w:right w:w="108" w:type="dxa"/>
            </w:tcMar>
            <w:vAlign w:val="center"/>
          </w:tcPr>
          <w:p w14:paraId="72AB1ADC">
            <w:pPr>
              <w:spacing w:line="320" w:lineRule="exact"/>
              <w:jc w:val="center"/>
              <w:rPr>
                <w:rFonts w:hint="eastAsia" w:ascii="宋体" w:hAnsi="宋体" w:cs="宋体"/>
                <w:color w:val="auto"/>
                <w:szCs w:val="21"/>
                <w:highlight w:val="none"/>
                <w:lang w:eastAsia="zh"/>
              </w:rPr>
            </w:pP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7E6A60A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时间</w:t>
            </w:r>
          </w:p>
        </w:tc>
        <w:tc>
          <w:tcPr>
            <w:tcW w:w="930" w:type="pct"/>
            <w:tcBorders>
              <w:top w:val="single" w:color="auto" w:sz="4" w:space="0"/>
              <w:tl2br w:val="nil"/>
              <w:tr2bl w:val="nil"/>
            </w:tcBorders>
            <w:tcMar>
              <w:left w:w="108" w:type="dxa"/>
              <w:right w:w="108" w:type="dxa"/>
            </w:tcMar>
            <w:vAlign w:val="center"/>
          </w:tcPr>
          <w:p w14:paraId="6B971F9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tl2br w:val="nil"/>
              <w:tr2bl w:val="nil"/>
            </w:tcBorders>
            <w:tcMar>
              <w:left w:w="108" w:type="dxa"/>
              <w:right w:w="108" w:type="dxa"/>
            </w:tcMar>
            <w:vAlign w:val="center"/>
          </w:tcPr>
          <w:p w14:paraId="7D0A65C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tl2br w:val="nil"/>
              <w:tr2bl w:val="nil"/>
            </w:tcBorders>
            <w:tcMar>
              <w:left w:w="108" w:type="dxa"/>
              <w:right w:w="108" w:type="dxa"/>
            </w:tcMar>
            <w:vAlign w:val="center"/>
          </w:tcPr>
          <w:p w14:paraId="6594554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46B74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3" w:hRule="atLeast"/>
          <w:jc w:val="center"/>
        </w:trPr>
        <w:tc>
          <w:tcPr>
            <w:tcW w:w="571" w:type="pct"/>
            <w:vMerge w:val="continue"/>
            <w:tcBorders>
              <w:tl2br w:val="nil"/>
              <w:tr2bl w:val="nil"/>
            </w:tcBorders>
            <w:tcMar>
              <w:left w:w="108" w:type="dxa"/>
              <w:right w:w="108" w:type="dxa"/>
            </w:tcMar>
            <w:vAlign w:val="center"/>
          </w:tcPr>
          <w:p w14:paraId="642EFE9F">
            <w:pPr>
              <w:spacing w:line="320" w:lineRule="exact"/>
              <w:jc w:val="center"/>
              <w:rPr>
                <w:rFonts w:hint="eastAsia" w:ascii="宋体" w:hAnsi="宋体" w:cs="宋体"/>
                <w:color w:val="auto"/>
                <w:szCs w:val="21"/>
                <w:highlight w:val="none"/>
              </w:rPr>
            </w:pPr>
          </w:p>
        </w:tc>
        <w:tc>
          <w:tcPr>
            <w:tcW w:w="1120" w:type="pct"/>
            <w:gridSpan w:val="3"/>
            <w:tcBorders>
              <w:top w:val="single" w:color="auto" w:sz="4" w:space="0"/>
              <w:tl2br w:val="nil"/>
              <w:tr2bl w:val="nil"/>
            </w:tcBorders>
            <w:tcMar>
              <w:left w:w="108" w:type="dxa"/>
              <w:right w:w="108" w:type="dxa"/>
            </w:tcMar>
            <w:vAlign w:val="center"/>
          </w:tcPr>
          <w:p w14:paraId="212FC9BE">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rPr>
              <w:t xml:space="preserve"> ....</w:t>
            </w:r>
          </w:p>
        </w:tc>
        <w:tc>
          <w:tcPr>
            <w:tcW w:w="930" w:type="pct"/>
            <w:tcBorders>
              <w:top w:val="single" w:color="auto" w:sz="4" w:space="0"/>
              <w:tl2br w:val="nil"/>
              <w:tr2bl w:val="nil"/>
            </w:tcBorders>
            <w:tcMar>
              <w:left w:w="108" w:type="dxa"/>
              <w:right w:w="108" w:type="dxa"/>
            </w:tcMar>
            <w:vAlign w:val="center"/>
          </w:tcPr>
          <w:p w14:paraId="78E0B7C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tl2br w:val="nil"/>
              <w:tr2bl w:val="nil"/>
            </w:tcBorders>
            <w:tcMar>
              <w:left w:w="108" w:type="dxa"/>
              <w:right w:w="108" w:type="dxa"/>
            </w:tcMar>
            <w:vAlign w:val="center"/>
          </w:tcPr>
          <w:p w14:paraId="74887F8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tl2br w:val="nil"/>
              <w:tr2bl w:val="nil"/>
            </w:tcBorders>
            <w:tcMar>
              <w:left w:w="108" w:type="dxa"/>
              <w:right w:w="108" w:type="dxa"/>
            </w:tcMar>
            <w:vAlign w:val="center"/>
          </w:tcPr>
          <w:p w14:paraId="3F7E027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4B015B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34493A0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120" w:type="pct"/>
            <w:gridSpan w:val="3"/>
            <w:tcBorders>
              <w:tl2br w:val="nil"/>
              <w:tr2bl w:val="nil"/>
            </w:tcBorders>
            <w:tcMar>
              <w:left w:w="108" w:type="dxa"/>
              <w:right w:w="108" w:type="dxa"/>
            </w:tcMar>
            <w:vAlign w:val="center"/>
          </w:tcPr>
          <w:p w14:paraId="52EFB987">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6DF48EF8">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A692C88">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3BF2D0BC">
            <w:pPr>
              <w:spacing w:line="320" w:lineRule="exact"/>
              <w:jc w:val="center"/>
              <w:rPr>
                <w:rFonts w:hint="eastAsia" w:ascii="宋体" w:hAnsi="宋体" w:cs="宋体"/>
                <w:color w:val="auto"/>
                <w:szCs w:val="21"/>
                <w:highlight w:val="none"/>
              </w:rPr>
            </w:pPr>
          </w:p>
        </w:tc>
      </w:tr>
      <w:tr w14:paraId="549FF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1" w:hRule="atLeast"/>
          <w:jc w:val="center"/>
        </w:trPr>
        <w:tc>
          <w:tcPr>
            <w:tcW w:w="571" w:type="pct"/>
            <w:vMerge w:val="continue"/>
            <w:tcBorders>
              <w:tl2br w:val="nil"/>
              <w:tr2bl w:val="nil"/>
            </w:tcBorders>
            <w:tcMar>
              <w:left w:w="108" w:type="dxa"/>
              <w:right w:w="108" w:type="dxa"/>
            </w:tcMar>
            <w:vAlign w:val="center"/>
          </w:tcPr>
          <w:p w14:paraId="1A1F6AAB">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3429327F">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建造师证书</w:t>
            </w:r>
          </w:p>
        </w:tc>
        <w:tc>
          <w:tcPr>
            <w:tcW w:w="700" w:type="pct"/>
            <w:gridSpan w:val="2"/>
            <w:tcBorders>
              <w:tl2br w:val="nil"/>
              <w:tr2bl w:val="nil"/>
            </w:tcBorders>
            <w:tcMar>
              <w:left w:w="108" w:type="dxa"/>
              <w:right w:w="108" w:type="dxa"/>
            </w:tcMar>
            <w:vAlign w:val="center"/>
          </w:tcPr>
          <w:p w14:paraId="6FC118C0">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专业</w:t>
            </w:r>
          </w:p>
        </w:tc>
        <w:tc>
          <w:tcPr>
            <w:tcW w:w="930" w:type="pct"/>
            <w:tcBorders>
              <w:tl2br w:val="nil"/>
              <w:tr2bl w:val="nil"/>
            </w:tcBorders>
            <w:tcMar>
              <w:left w:w="108" w:type="dxa"/>
              <w:right w:w="108" w:type="dxa"/>
            </w:tcMar>
            <w:vAlign w:val="center"/>
          </w:tcPr>
          <w:p w14:paraId="1E413B84">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7C81BC5">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2F616BE2">
            <w:pPr>
              <w:spacing w:line="320" w:lineRule="exact"/>
              <w:jc w:val="center"/>
              <w:rPr>
                <w:rFonts w:hint="eastAsia" w:ascii="宋体" w:hAnsi="宋体" w:cs="宋体"/>
                <w:color w:val="auto"/>
                <w:szCs w:val="21"/>
                <w:highlight w:val="none"/>
              </w:rPr>
            </w:pPr>
          </w:p>
        </w:tc>
      </w:tr>
      <w:tr w14:paraId="6294F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2" w:hRule="atLeast"/>
          <w:jc w:val="center"/>
        </w:trPr>
        <w:tc>
          <w:tcPr>
            <w:tcW w:w="571" w:type="pct"/>
            <w:vMerge w:val="continue"/>
            <w:tcBorders>
              <w:tl2br w:val="nil"/>
              <w:tr2bl w:val="nil"/>
            </w:tcBorders>
            <w:tcMar>
              <w:left w:w="108" w:type="dxa"/>
              <w:right w:w="108" w:type="dxa"/>
            </w:tcMar>
            <w:vAlign w:val="center"/>
          </w:tcPr>
          <w:p w14:paraId="6F79229D">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52ECAAA4">
            <w:pPr>
              <w:widowControl/>
              <w:spacing w:line="320" w:lineRule="exact"/>
              <w:jc w:val="center"/>
              <w:rPr>
                <w:rFonts w:hint="eastAsia" w:ascii="宋体" w:hAnsi="宋体" w:cs="宋体"/>
                <w:color w:val="auto"/>
                <w:kern w:val="0"/>
                <w:szCs w:val="21"/>
                <w:highlight w:val="none"/>
                <w:lang w:bidi="ar"/>
              </w:rPr>
            </w:pPr>
          </w:p>
        </w:tc>
        <w:tc>
          <w:tcPr>
            <w:tcW w:w="700" w:type="pct"/>
            <w:gridSpan w:val="2"/>
            <w:tcBorders>
              <w:tl2br w:val="nil"/>
              <w:tr2bl w:val="nil"/>
            </w:tcBorders>
            <w:tcMar>
              <w:left w:w="108" w:type="dxa"/>
              <w:right w:w="108" w:type="dxa"/>
            </w:tcMar>
            <w:vAlign w:val="center"/>
          </w:tcPr>
          <w:p w14:paraId="1920F095">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级别</w:t>
            </w:r>
          </w:p>
        </w:tc>
        <w:tc>
          <w:tcPr>
            <w:tcW w:w="930" w:type="pct"/>
            <w:tcBorders>
              <w:tl2br w:val="nil"/>
              <w:tr2bl w:val="nil"/>
            </w:tcBorders>
            <w:tcMar>
              <w:left w:w="108" w:type="dxa"/>
              <w:right w:w="108" w:type="dxa"/>
            </w:tcMar>
            <w:vAlign w:val="center"/>
          </w:tcPr>
          <w:p w14:paraId="743C4C41">
            <w:pPr>
              <w:widowControl/>
              <w:jc w:val="left"/>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25CBC38F">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3583E3D7">
            <w:pPr>
              <w:spacing w:line="320" w:lineRule="exact"/>
              <w:jc w:val="center"/>
              <w:rPr>
                <w:rFonts w:hint="eastAsia" w:ascii="宋体" w:hAnsi="宋体" w:cs="宋体"/>
                <w:color w:val="auto"/>
                <w:szCs w:val="21"/>
                <w:highlight w:val="none"/>
              </w:rPr>
            </w:pPr>
          </w:p>
        </w:tc>
      </w:tr>
      <w:tr w14:paraId="1CF5CE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8" w:hRule="atLeast"/>
          <w:jc w:val="center"/>
        </w:trPr>
        <w:tc>
          <w:tcPr>
            <w:tcW w:w="571" w:type="pct"/>
            <w:vMerge w:val="continue"/>
            <w:tcBorders>
              <w:tl2br w:val="nil"/>
              <w:tr2bl w:val="nil"/>
            </w:tcBorders>
            <w:tcMar>
              <w:left w:w="108" w:type="dxa"/>
              <w:right w:w="108" w:type="dxa"/>
            </w:tcMar>
            <w:vAlign w:val="center"/>
          </w:tcPr>
          <w:p w14:paraId="155E2D2B">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73885B46">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职称证书（如有） </w:t>
            </w:r>
          </w:p>
        </w:tc>
        <w:tc>
          <w:tcPr>
            <w:tcW w:w="700" w:type="pct"/>
            <w:gridSpan w:val="2"/>
            <w:tcBorders>
              <w:bottom w:val="single" w:color="auto" w:sz="4" w:space="0"/>
              <w:tl2br w:val="nil"/>
              <w:tr2bl w:val="nil"/>
            </w:tcBorders>
            <w:tcMar>
              <w:left w:w="108" w:type="dxa"/>
              <w:right w:w="108" w:type="dxa"/>
            </w:tcMar>
            <w:vAlign w:val="center"/>
          </w:tcPr>
          <w:p w14:paraId="6A5CF3F0">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专业</w:t>
            </w:r>
          </w:p>
        </w:tc>
        <w:tc>
          <w:tcPr>
            <w:tcW w:w="930" w:type="pct"/>
            <w:tcBorders>
              <w:bottom w:val="single" w:color="auto" w:sz="4" w:space="0"/>
              <w:tl2br w:val="nil"/>
              <w:tr2bl w:val="nil"/>
            </w:tcBorders>
            <w:tcMar>
              <w:left w:w="108" w:type="dxa"/>
              <w:right w:w="108" w:type="dxa"/>
            </w:tcMar>
            <w:vAlign w:val="center"/>
          </w:tcPr>
          <w:p w14:paraId="0E367708">
            <w:pPr>
              <w:widowControl/>
              <w:jc w:val="left"/>
              <w:rPr>
                <w:rFonts w:hint="eastAsia" w:ascii="宋体" w:hAnsi="宋体" w:cs="宋体"/>
                <w:color w:val="auto"/>
                <w:szCs w:val="21"/>
                <w:highlight w:val="none"/>
              </w:rPr>
            </w:pPr>
          </w:p>
        </w:tc>
        <w:tc>
          <w:tcPr>
            <w:tcW w:w="1118" w:type="pct"/>
            <w:tcBorders>
              <w:bottom w:val="single" w:color="auto" w:sz="4" w:space="0"/>
              <w:tl2br w:val="nil"/>
              <w:tr2bl w:val="nil"/>
            </w:tcBorders>
            <w:tcMar>
              <w:left w:w="108" w:type="dxa"/>
              <w:right w:w="108" w:type="dxa"/>
            </w:tcMar>
            <w:vAlign w:val="center"/>
          </w:tcPr>
          <w:p w14:paraId="24B70584">
            <w:pPr>
              <w:widowControl/>
              <w:spacing w:line="320" w:lineRule="exact"/>
              <w:jc w:val="center"/>
              <w:rPr>
                <w:rFonts w:hint="eastAsia" w:ascii="宋体" w:hAnsi="宋体" w:cs="宋体"/>
                <w:color w:val="auto"/>
                <w:szCs w:val="21"/>
                <w:highlight w:val="none"/>
              </w:rPr>
            </w:pPr>
          </w:p>
        </w:tc>
        <w:tc>
          <w:tcPr>
            <w:tcW w:w="1258" w:type="pct"/>
            <w:tcBorders>
              <w:bottom w:val="single" w:color="auto" w:sz="4" w:space="0"/>
              <w:tl2br w:val="nil"/>
              <w:tr2bl w:val="nil"/>
            </w:tcBorders>
            <w:tcMar>
              <w:left w:w="108" w:type="dxa"/>
              <w:right w:w="108" w:type="dxa"/>
            </w:tcMar>
            <w:vAlign w:val="center"/>
          </w:tcPr>
          <w:p w14:paraId="2461441D">
            <w:pPr>
              <w:spacing w:line="320" w:lineRule="exact"/>
              <w:jc w:val="center"/>
              <w:rPr>
                <w:rFonts w:hint="eastAsia" w:ascii="宋体" w:hAnsi="宋体" w:cs="宋体"/>
                <w:color w:val="auto"/>
                <w:szCs w:val="21"/>
                <w:highlight w:val="none"/>
              </w:rPr>
            </w:pPr>
          </w:p>
        </w:tc>
      </w:tr>
      <w:tr w14:paraId="2FA66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2" w:hRule="atLeast"/>
          <w:jc w:val="center"/>
        </w:trPr>
        <w:tc>
          <w:tcPr>
            <w:tcW w:w="571" w:type="pct"/>
            <w:vMerge w:val="continue"/>
            <w:tcBorders>
              <w:tl2br w:val="nil"/>
              <w:tr2bl w:val="nil"/>
            </w:tcBorders>
            <w:tcMar>
              <w:left w:w="108" w:type="dxa"/>
              <w:right w:w="108" w:type="dxa"/>
            </w:tcMar>
            <w:vAlign w:val="center"/>
          </w:tcPr>
          <w:p w14:paraId="039215B1">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312C4AC4">
            <w:pPr>
              <w:widowControl/>
              <w:spacing w:line="320" w:lineRule="exact"/>
              <w:jc w:val="center"/>
              <w:rPr>
                <w:rFonts w:hint="eastAsia" w:ascii="宋体" w:hAnsi="宋体" w:cs="宋体"/>
                <w:color w:val="auto"/>
                <w:kern w:val="0"/>
                <w:szCs w:val="21"/>
                <w:highlight w:val="none"/>
                <w:lang w:bidi="ar"/>
              </w:rPr>
            </w:pPr>
          </w:p>
        </w:tc>
        <w:tc>
          <w:tcPr>
            <w:tcW w:w="700" w:type="pct"/>
            <w:gridSpan w:val="2"/>
            <w:tcBorders>
              <w:top w:val="single" w:color="auto" w:sz="4" w:space="0"/>
              <w:tl2br w:val="nil"/>
              <w:tr2bl w:val="nil"/>
            </w:tcBorders>
            <w:tcMar>
              <w:left w:w="108" w:type="dxa"/>
              <w:right w:w="108" w:type="dxa"/>
            </w:tcMar>
            <w:vAlign w:val="center"/>
          </w:tcPr>
          <w:p w14:paraId="2FE60036">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级别</w:t>
            </w:r>
          </w:p>
        </w:tc>
        <w:tc>
          <w:tcPr>
            <w:tcW w:w="930" w:type="pct"/>
            <w:tcBorders>
              <w:top w:val="single" w:color="auto" w:sz="4" w:space="0"/>
              <w:tl2br w:val="nil"/>
              <w:tr2bl w:val="nil"/>
            </w:tcBorders>
            <w:tcMar>
              <w:left w:w="108" w:type="dxa"/>
              <w:right w:w="108" w:type="dxa"/>
            </w:tcMar>
            <w:vAlign w:val="center"/>
          </w:tcPr>
          <w:p w14:paraId="590F13D8">
            <w:pPr>
              <w:widowControl/>
              <w:jc w:val="left"/>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50AE6E6E">
            <w:pPr>
              <w:widowControl/>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596B3EC6">
            <w:pPr>
              <w:spacing w:line="320" w:lineRule="exact"/>
              <w:jc w:val="center"/>
              <w:rPr>
                <w:rFonts w:hint="eastAsia" w:ascii="宋体" w:hAnsi="宋体" w:cs="宋体"/>
                <w:color w:val="auto"/>
                <w:szCs w:val="21"/>
                <w:highlight w:val="none"/>
              </w:rPr>
            </w:pPr>
          </w:p>
        </w:tc>
      </w:tr>
      <w:tr w14:paraId="0500CF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11F2A773">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57FF7E42">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（如有）</w:t>
            </w:r>
          </w:p>
        </w:tc>
        <w:tc>
          <w:tcPr>
            <w:tcW w:w="1710" w:type="dxa"/>
            <w:tcBorders>
              <w:tl2br w:val="nil"/>
              <w:tr2bl w:val="nil"/>
            </w:tcBorders>
            <w:tcMar>
              <w:left w:w="108" w:type="dxa"/>
              <w:right w:w="108" w:type="dxa"/>
            </w:tcMar>
            <w:vAlign w:val="center"/>
          </w:tcPr>
          <w:p w14:paraId="06B19F7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tl2br w:val="nil"/>
              <w:tr2bl w:val="nil"/>
            </w:tcBorders>
            <w:tcMar>
              <w:left w:w="108" w:type="dxa"/>
              <w:right w:w="108" w:type="dxa"/>
            </w:tcMar>
            <w:vAlign w:val="center"/>
          </w:tcPr>
          <w:p w14:paraId="2003F2B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tl2br w:val="nil"/>
              <w:tr2bl w:val="nil"/>
            </w:tcBorders>
            <w:tcMar>
              <w:left w:w="108" w:type="dxa"/>
              <w:right w:w="108" w:type="dxa"/>
            </w:tcMar>
            <w:vAlign w:val="center"/>
          </w:tcPr>
          <w:p w14:paraId="3A78DA9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39470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24CDADDA">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6E598FE3">
            <w:pPr>
              <w:widowControl/>
              <w:spacing w:line="320" w:lineRule="exac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3B5334C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055" w:type="dxa"/>
            <w:tcBorders>
              <w:tl2br w:val="nil"/>
              <w:tr2bl w:val="nil"/>
            </w:tcBorders>
            <w:tcMar>
              <w:left w:w="108" w:type="dxa"/>
              <w:right w:w="108" w:type="dxa"/>
            </w:tcMar>
            <w:vAlign w:val="center"/>
          </w:tcPr>
          <w:p w14:paraId="5949DF99">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312" w:type="dxa"/>
            <w:tcBorders>
              <w:tl2br w:val="nil"/>
              <w:tr2bl w:val="nil"/>
            </w:tcBorders>
            <w:tcMar>
              <w:left w:w="108" w:type="dxa"/>
              <w:right w:w="108" w:type="dxa"/>
            </w:tcMar>
            <w:vAlign w:val="center"/>
          </w:tcPr>
          <w:p w14:paraId="2B90443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r>
      <w:tr w14:paraId="29DC72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21267B05">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1310384B">
            <w:pPr>
              <w:widowControl/>
              <w:spacing w:line="320" w:lineRule="exac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019B406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l2br w:val="nil"/>
              <w:tr2bl w:val="nil"/>
            </w:tcBorders>
            <w:tcMar>
              <w:left w:w="108" w:type="dxa"/>
              <w:right w:w="108" w:type="dxa"/>
            </w:tcMar>
            <w:vAlign w:val="center"/>
          </w:tcPr>
          <w:p w14:paraId="305EB68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l2br w:val="nil"/>
              <w:tr2bl w:val="nil"/>
            </w:tcBorders>
            <w:tcMar>
              <w:left w:w="108" w:type="dxa"/>
              <w:right w:w="108" w:type="dxa"/>
            </w:tcMar>
            <w:vAlign w:val="center"/>
          </w:tcPr>
          <w:p w14:paraId="0A0824C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54572F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71" w:type="pct"/>
            <w:vMerge w:val="continue"/>
            <w:tcBorders>
              <w:tl2br w:val="nil"/>
              <w:tr2bl w:val="nil"/>
            </w:tcBorders>
            <w:tcMar>
              <w:left w:w="108" w:type="dxa"/>
              <w:right w:w="108" w:type="dxa"/>
            </w:tcMar>
            <w:vAlign w:val="center"/>
          </w:tcPr>
          <w:p w14:paraId="2555066B">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504A1F13">
            <w:pPr>
              <w:widowControl/>
              <w:spacing w:line="320" w:lineRule="exac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64BF2E1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l2br w:val="nil"/>
              <w:tr2bl w:val="nil"/>
            </w:tcBorders>
            <w:tcMar>
              <w:left w:w="108" w:type="dxa"/>
              <w:right w:w="108" w:type="dxa"/>
            </w:tcMar>
            <w:vAlign w:val="center"/>
          </w:tcPr>
          <w:p w14:paraId="1F3C164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l2br w:val="nil"/>
              <w:tr2bl w:val="nil"/>
            </w:tcBorders>
            <w:tcMar>
              <w:left w:w="108" w:type="dxa"/>
              <w:right w:w="108" w:type="dxa"/>
            </w:tcMar>
            <w:vAlign w:val="center"/>
          </w:tcPr>
          <w:p w14:paraId="0E2EA3E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1A79A8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7154413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技术负责人或总工程师（不适用）</w:t>
            </w:r>
          </w:p>
        </w:tc>
        <w:tc>
          <w:tcPr>
            <w:tcW w:w="1120" w:type="pct"/>
            <w:gridSpan w:val="3"/>
            <w:tcBorders>
              <w:tl2br w:val="nil"/>
              <w:tr2bl w:val="nil"/>
            </w:tcBorders>
            <w:tcMar>
              <w:left w:w="108" w:type="dxa"/>
              <w:right w:w="108" w:type="dxa"/>
            </w:tcMar>
            <w:vAlign w:val="center"/>
          </w:tcPr>
          <w:p w14:paraId="66E57283">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3B2193DA">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3219B873">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5EB1120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45A1B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590B96AB">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26489ECD">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相关证书</w:t>
            </w:r>
          </w:p>
        </w:tc>
        <w:tc>
          <w:tcPr>
            <w:tcW w:w="700" w:type="pct"/>
            <w:gridSpan w:val="2"/>
            <w:tcBorders>
              <w:tl2br w:val="nil"/>
              <w:tr2bl w:val="nil"/>
            </w:tcBorders>
            <w:tcMar>
              <w:left w:w="108" w:type="dxa"/>
              <w:right w:w="108" w:type="dxa"/>
            </w:tcMar>
            <w:vAlign w:val="center"/>
          </w:tcPr>
          <w:p w14:paraId="15A3A7F8">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930" w:type="pct"/>
            <w:tcBorders>
              <w:tl2br w:val="nil"/>
              <w:tr2bl w:val="nil"/>
            </w:tcBorders>
            <w:tcMar>
              <w:left w:w="108" w:type="dxa"/>
              <w:right w:w="108" w:type="dxa"/>
            </w:tcMar>
            <w:vAlign w:val="center"/>
          </w:tcPr>
          <w:p w14:paraId="12BB320A">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04A4FAD9">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6FEE525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480D0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continue"/>
            <w:tcBorders>
              <w:tl2br w:val="nil"/>
              <w:tr2bl w:val="nil"/>
            </w:tcBorders>
            <w:tcMar>
              <w:left w:w="108" w:type="dxa"/>
              <w:right w:w="108" w:type="dxa"/>
            </w:tcMar>
            <w:vAlign w:val="center"/>
          </w:tcPr>
          <w:p w14:paraId="6DF44AED">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5E31337C">
            <w:pPr>
              <w:widowControl/>
              <w:spacing w:line="320" w:lineRule="exact"/>
              <w:jc w:val="center"/>
              <w:rPr>
                <w:rFonts w:hint="eastAsia" w:ascii="宋体" w:hAnsi="宋体" w:cs="宋体"/>
                <w:color w:val="auto"/>
                <w:szCs w:val="21"/>
                <w:highlight w:val="none"/>
              </w:rPr>
            </w:pPr>
          </w:p>
        </w:tc>
        <w:tc>
          <w:tcPr>
            <w:tcW w:w="700" w:type="pct"/>
            <w:gridSpan w:val="2"/>
            <w:tcBorders>
              <w:tl2br w:val="nil"/>
              <w:tr2bl w:val="nil"/>
            </w:tcBorders>
            <w:tcMar>
              <w:left w:w="108" w:type="dxa"/>
              <w:right w:w="108" w:type="dxa"/>
            </w:tcMar>
            <w:vAlign w:val="center"/>
          </w:tcPr>
          <w:p w14:paraId="65A8AC75">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级别</w:t>
            </w:r>
          </w:p>
        </w:tc>
        <w:tc>
          <w:tcPr>
            <w:tcW w:w="930" w:type="pct"/>
            <w:tcBorders>
              <w:tl2br w:val="nil"/>
              <w:tr2bl w:val="nil"/>
            </w:tcBorders>
            <w:tcMar>
              <w:left w:w="108" w:type="dxa"/>
              <w:right w:w="108" w:type="dxa"/>
            </w:tcMar>
            <w:vAlign w:val="center"/>
          </w:tcPr>
          <w:p w14:paraId="25918B8A">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2F56CFB7">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5FEB6C6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1C5B3F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34018F5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安全负责人或专职安全员（不适用）</w:t>
            </w:r>
          </w:p>
        </w:tc>
        <w:tc>
          <w:tcPr>
            <w:tcW w:w="1120" w:type="pct"/>
            <w:gridSpan w:val="3"/>
            <w:tcBorders>
              <w:tl2br w:val="nil"/>
              <w:tr2bl w:val="nil"/>
            </w:tcBorders>
            <w:tcMar>
              <w:left w:w="108" w:type="dxa"/>
              <w:right w:w="108" w:type="dxa"/>
            </w:tcMar>
            <w:vAlign w:val="center"/>
          </w:tcPr>
          <w:p w14:paraId="60160C5D">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17BEB7EF">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2BB05E9C">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3C862A4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1C5C67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0ED7D7F5">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4A08C13F">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相关证书</w:t>
            </w:r>
          </w:p>
        </w:tc>
        <w:tc>
          <w:tcPr>
            <w:tcW w:w="700" w:type="pct"/>
            <w:gridSpan w:val="2"/>
            <w:tcBorders>
              <w:tl2br w:val="nil"/>
              <w:tr2bl w:val="nil"/>
            </w:tcBorders>
            <w:tcMar>
              <w:left w:w="108" w:type="dxa"/>
              <w:right w:w="108" w:type="dxa"/>
            </w:tcMar>
            <w:vAlign w:val="center"/>
          </w:tcPr>
          <w:p w14:paraId="0449A269">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930" w:type="pct"/>
            <w:tcBorders>
              <w:tl2br w:val="nil"/>
              <w:tr2bl w:val="nil"/>
            </w:tcBorders>
            <w:tcMar>
              <w:left w:w="108" w:type="dxa"/>
              <w:right w:w="108" w:type="dxa"/>
            </w:tcMar>
            <w:vAlign w:val="center"/>
          </w:tcPr>
          <w:p w14:paraId="0DD90F6E">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240C839C">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06F801C4">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3D293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7" w:hRule="atLeast"/>
          <w:jc w:val="center"/>
        </w:trPr>
        <w:tc>
          <w:tcPr>
            <w:tcW w:w="571" w:type="pct"/>
            <w:vMerge w:val="continue"/>
            <w:tcBorders>
              <w:tl2br w:val="nil"/>
              <w:tr2bl w:val="nil"/>
            </w:tcBorders>
            <w:tcMar>
              <w:left w:w="108" w:type="dxa"/>
              <w:right w:w="108" w:type="dxa"/>
            </w:tcMar>
            <w:vAlign w:val="center"/>
          </w:tcPr>
          <w:p w14:paraId="7DF1A5A5">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1C9D4F5C">
            <w:pPr>
              <w:widowControl/>
              <w:spacing w:line="320" w:lineRule="exact"/>
              <w:jc w:val="center"/>
              <w:rPr>
                <w:rFonts w:hint="eastAsia" w:ascii="宋体" w:hAnsi="宋体" w:cs="宋体"/>
                <w:color w:val="auto"/>
                <w:szCs w:val="21"/>
                <w:highlight w:val="none"/>
              </w:rPr>
            </w:pPr>
          </w:p>
        </w:tc>
        <w:tc>
          <w:tcPr>
            <w:tcW w:w="700" w:type="pct"/>
            <w:gridSpan w:val="2"/>
            <w:tcBorders>
              <w:tl2br w:val="nil"/>
              <w:tr2bl w:val="nil"/>
            </w:tcBorders>
            <w:tcMar>
              <w:left w:w="108" w:type="dxa"/>
              <w:right w:w="108" w:type="dxa"/>
            </w:tcMar>
            <w:vAlign w:val="center"/>
          </w:tcPr>
          <w:p w14:paraId="11FFFDC2">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编号</w:t>
            </w:r>
          </w:p>
        </w:tc>
        <w:tc>
          <w:tcPr>
            <w:tcW w:w="930" w:type="pct"/>
            <w:tcBorders>
              <w:tl2br w:val="nil"/>
              <w:tr2bl w:val="nil"/>
            </w:tcBorders>
            <w:tcMar>
              <w:left w:w="108" w:type="dxa"/>
              <w:right w:w="108" w:type="dxa"/>
            </w:tcMar>
            <w:vAlign w:val="center"/>
          </w:tcPr>
          <w:p w14:paraId="79E22F86">
            <w:pPr>
              <w:widowControl/>
              <w:ind w:firstLine="630" w:firstLineChars="3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38E56108">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7F6E90E4">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3ED64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2E902C2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投标担保信息</w:t>
            </w:r>
          </w:p>
        </w:tc>
        <w:tc>
          <w:tcPr>
            <w:tcW w:w="1120" w:type="pct"/>
            <w:gridSpan w:val="3"/>
            <w:tcBorders>
              <w:tl2br w:val="nil"/>
              <w:tr2bl w:val="nil"/>
            </w:tcBorders>
            <w:vAlign w:val="center"/>
          </w:tcPr>
          <w:p w14:paraId="1C13171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担保方式</w:t>
            </w:r>
          </w:p>
        </w:tc>
        <w:tc>
          <w:tcPr>
            <w:tcW w:w="930" w:type="pct"/>
            <w:tcBorders>
              <w:tl2br w:val="nil"/>
              <w:tr2bl w:val="nil"/>
            </w:tcBorders>
            <w:tcMar>
              <w:left w:w="108" w:type="dxa"/>
              <w:right w:w="108" w:type="dxa"/>
            </w:tcMar>
            <w:vAlign w:val="center"/>
          </w:tcPr>
          <w:p w14:paraId="31F65F39">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3F9C3612">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EEC2951">
            <w:pPr>
              <w:spacing w:line="320" w:lineRule="exact"/>
              <w:jc w:val="center"/>
              <w:rPr>
                <w:rFonts w:hint="eastAsia" w:ascii="宋体" w:hAnsi="宋体" w:cs="宋体"/>
                <w:color w:val="auto"/>
                <w:szCs w:val="21"/>
                <w:highlight w:val="none"/>
              </w:rPr>
            </w:pPr>
          </w:p>
        </w:tc>
      </w:tr>
      <w:tr w14:paraId="642335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2EAF7641">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6E3E187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担保机构</w:t>
            </w:r>
          </w:p>
        </w:tc>
        <w:tc>
          <w:tcPr>
            <w:tcW w:w="930" w:type="pct"/>
            <w:tcBorders>
              <w:tl2br w:val="nil"/>
              <w:tr2bl w:val="nil"/>
            </w:tcBorders>
            <w:tcMar>
              <w:left w:w="108" w:type="dxa"/>
              <w:right w:w="108" w:type="dxa"/>
            </w:tcMar>
            <w:vAlign w:val="center"/>
          </w:tcPr>
          <w:p w14:paraId="216CE551">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E87B4CD">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53E106E">
            <w:pPr>
              <w:spacing w:line="320" w:lineRule="exact"/>
              <w:jc w:val="center"/>
              <w:rPr>
                <w:rFonts w:hint="eastAsia" w:ascii="宋体" w:hAnsi="宋体" w:cs="宋体"/>
                <w:color w:val="auto"/>
                <w:szCs w:val="21"/>
                <w:highlight w:val="none"/>
              </w:rPr>
            </w:pPr>
          </w:p>
        </w:tc>
      </w:tr>
      <w:tr w14:paraId="6A98B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7" w:hRule="atLeast"/>
          <w:jc w:val="center"/>
        </w:trPr>
        <w:tc>
          <w:tcPr>
            <w:tcW w:w="571" w:type="pct"/>
            <w:vMerge w:val="continue"/>
            <w:tcBorders>
              <w:tl2br w:val="nil"/>
              <w:tr2bl w:val="nil"/>
            </w:tcBorders>
            <w:tcMar>
              <w:left w:w="108" w:type="dxa"/>
              <w:right w:w="108" w:type="dxa"/>
            </w:tcMar>
            <w:vAlign w:val="center"/>
          </w:tcPr>
          <w:p w14:paraId="0BA4B950">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49DF4C5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经营地址</w:t>
            </w:r>
          </w:p>
        </w:tc>
        <w:tc>
          <w:tcPr>
            <w:tcW w:w="930" w:type="pct"/>
            <w:tcBorders>
              <w:tl2br w:val="nil"/>
              <w:tr2bl w:val="nil"/>
            </w:tcBorders>
            <w:tcMar>
              <w:left w:w="108" w:type="dxa"/>
              <w:right w:w="108" w:type="dxa"/>
            </w:tcMar>
            <w:vAlign w:val="center"/>
          </w:tcPr>
          <w:p w14:paraId="0E24F51C">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2A89A7B">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1731020">
            <w:pPr>
              <w:spacing w:line="320" w:lineRule="exact"/>
              <w:jc w:val="center"/>
              <w:rPr>
                <w:rFonts w:hint="eastAsia" w:ascii="宋体" w:hAnsi="宋体" w:cs="宋体"/>
                <w:color w:val="auto"/>
                <w:szCs w:val="21"/>
                <w:highlight w:val="none"/>
              </w:rPr>
            </w:pPr>
          </w:p>
        </w:tc>
      </w:tr>
      <w:tr w14:paraId="548E20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jc w:val="center"/>
        </w:trPr>
        <w:tc>
          <w:tcPr>
            <w:tcW w:w="571" w:type="pct"/>
            <w:vMerge w:val="continue"/>
            <w:tcBorders>
              <w:tl2br w:val="nil"/>
              <w:tr2bl w:val="nil"/>
            </w:tcBorders>
            <w:tcMar>
              <w:left w:w="108" w:type="dxa"/>
              <w:right w:w="108" w:type="dxa"/>
            </w:tcMar>
            <w:vAlign w:val="center"/>
          </w:tcPr>
          <w:p w14:paraId="7E940138">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3139051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930" w:type="pct"/>
            <w:tcBorders>
              <w:tl2br w:val="nil"/>
              <w:tr2bl w:val="nil"/>
            </w:tcBorders>
            <w:tcMar>
              <w:left w:w="108" w:type="dxa"/>
              <w:right w:w="108" w:type="dxa"/>
            </w:tcMar>
            <w:vAlign w:val="center"/>
          </w:tcPr>
          <w:p w14:paraId="001BD0A2">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090AEEDD">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023CBDC9">
            <w:pPr>
              <w:spacing w:line="320" w:lineRule="exact"/>
              <w:jc w:val="center"/>
              <w:rPr>
                <w:rFonts w:hint="eastAsia" w:ascii="宋体" w:hAnsi="宋体" w:cs="宋体"/>
                <w:color w:val="auto"/>
                <w:szCs w:val="21"/>
                <w:highlight w:val="none"/>
              </w:rPr>
            </w:pPr>
          </w:p>
        </w:tc>
      </w:tr>
    </w:tbl>
    <w:p w14:paraId="713CB122">
      <w:pPr>
        <w:spacing w:line="490" w:lineRule="exact"/>
        <w:ind w:firstLine="422" w:firstLineChars="200"/>
        <w:jc w:val="center"/>
        <w:rPr>
          <w:rFonts w:hint="eastAsia" w:ascii="宋体" w:hAnsi="宋体" w:cs="宋体"/>
          <w:color w:val="auto"/>
          <w:kern w:val="0"/>
          <w:szCs w:val="21"/>
          <w:highlight w:val="none"/>
        </w:rPr>
      </w:pPr>
      <w:r>
        <w:rPr>
          <w:rFonts w:hint="eastAsia" w:ascii="宋体" w:hAnsi="宋体" w:cs="宋体"/>
          <w:b/>
          <w:bCs/>
          <w:color w:val="auto"/>
          <w:szCs w:val="21"/>
          <w:highlight w:val="none"/>
          <w:shd w:val="clear" w:color="auto" w:fill="FFFFFF"/>
        </w:rPr>
        <w:t>被否决投标的投标人情况：</w:t>
      </w:r>
    </w:p>
    <w:tbl>
      <w:tblPr>
        <w:tblStyle w:val="42"/>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779"/>
        <w:gridCol w:w="3468"/>
      </w:tblGrid>
      <w:tr w14:paraId="6921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51C5B2B1">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序号</w:t>
            </w:r>
          </w:p>
        </w:tc>
        <w:tc>
          <w:tcPr>
            <w:tcW w:w="4779" w:type="dxa"/>
            <w:vAlign w:val="center"/>
          </w:tcPr>
          <w:p w14:paraId="78DB9FA7">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投标人名称</w:t>
            </w:r>
          </w:p>
        </w:tc>
        <w:tc>
          <w:tcPr>
            <w:tcW w:w="3468" w:type="dxa"/>
            <w:vAlign w:val="center"/>
          </w:tcPr>
          <w:p w14:paraId="426AA52D">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否决依据和原因</w:t>
            </w:r>
          </w:p>
        </w:tc>
      </w:tr>
      <w:tr w14:paraId="36EA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3373359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79" w:type="dxa"/>
            <w:vAlign w:val="center"/>
          </w:tcPr>
          <w:p w14:paraId="6BD33FD1">
            <w:pPr>
              <w:spacing w:line="360" w:lineRule="auto"/>
              <w:jc w:val="center"/>
              <w:rPr>
                <w:rFonts w:hint="eastAsia" w:ascii="宋体" w:hAnsi="宋体" w:cs="宋体"/>
                <w:color w:val="auto"/>
                <w:szCs w:val="21"/>
                <w:highlight w:val="none"/>
              </w:rPr>
            </w:pPr>
          </w:p>
        </w:tc>
        <w:tc>
          <w:tcPr>
            <w:tcW w:w="3468" w:type="dxa"/>
            <w:vAlign w:val="center"/>
          </w:tcPr>
          <w:p w14:paraId="7F777AA0">
            <w:pPr>
              <w:spacing w:line="360" w:lineRule="auto"/>
              <w:jc w:val="center"/>
              <w:rPr>
                <w:rFonts w:hint="eastAsia" w:ascii="宋体" w:hAnsi="宋体" w:cs="宋体"/>
                <w:color w:val="auto"/>
                <w:szCs w:val="21"/>
                <w:highlight w:val="none"/>
              </w:rPr>
            </w:pPr>
          </w:p>
        </w:tc>
      </w:tr>
      <w:tr w14:paraId="2739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4ECB1C6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779" w:type="dxa"/>
            <w:vAlign w:val="center"/>
          </w:tcPr>
          <w:p w14:paraId="3E6C1B01">
            <w:pPr>
              <w:spacing w:line="360" w:lineRule="auto"/>
              <w:jc w:val="center"/>
              <w:rPr>
                <w:rFonts w:hint="eastAsia" w:ascii="宋体" w:hAnsi="宋体" w:cs="宋体"/>
                <w:color w:val="auto"/>
                <w:szCs w:val="21"/>
                <w:highlight w:val="none"/>
              </w:rPr>
            </w:pPr>
          </w:p>
        </w:tc>
        <w:tc>
          <w:tcPr>
            <w:tcW w:w="3468" w:type="dxa"/>
            <w:vAlign w:val="center"/>
          </w:tcPr>
          <w:p w14:paraId="78E0BE6F">
            <w:pPr>
              <w:spacing w:line="360" w:lineRule="auto"/>
              <w:jc w:val="center"/>
              <w:rPr>
                <w:rFonts w:hint="eastAsia" w:ascii="宋体" w:hAnsi="宋体" w:cs="宋体"/>
                <w:color w:val="auto"/>
                <w:szCs w:val="21"/>
                <w:highlight w:val="none"/>
              </w:rPr>
            </w:pPr>
          </w:p>
        </w:tc>
      </w:tr>
      <w:tr w14:paraId="6A47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3E87A0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4779" w:type="dxa"/>
            <w:vAlign w:val="center"/>
          </w:tcPr>
          <w:p w14:paraId="1B617F3D">
            <w:pPr>
              <w:spacing w:line="360" w:lineRule="auto"/>
              <w:jc w:val="center"/>
              <w:rPr>
                <w:rFonts w:hint="eastAsia" w:ascii="宋体" w:hAnsi="宋体" w:cs="宋体"/>
                <w:color w:val="auto"/>
                <w:szCs w:val="21"/>
                <w:highlight w:val="none"/>
              </w:rPr>
            </w:pPr>
          </w:p>
        </w:tc>
        <w:tc>
          <w:tcPr>
            <w:tcW w:w="3468" w:type="dxa"/>
            <w:vAlign w:val="center"/>
          </w:tcPr>
          <w:p w14:paraId="5C540A81">
            <w:pPr>
              <w:spacing w:line="360" w:lineRule="auto"/>
              <w:jc w:val="center"/>
              <w:rPr>
                <w:rFonts w:hint="eastAsia" w:ascii="宋体" w:hAnsi="宋体" w:cs="宋体"/>
                <w:color w:val="auto"/>
                <w:szCs w:val="21"/>
                <w:highlight w:val="none"/>
              </w:rPr>
            </w:pPr>
          </w:p>
        </w:tc>
      </w:tr>
      <w:tr w14:paraId="467E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29A31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4779" w:type="dxa"/>
            <w:vAlign w:val="center"/>
          </w:tcPr>
          <w:p w14:paraId="1159155F">
            <w:pPr>
              <w:spacing w:line="360" w:lineRule="auto"/>
              <w:jc w:val="center"/>
              <w:rPr>
                <w:rFonts w:hint="eastAsia" w:ascii="宋体" w:hAnsi="宋体" w:cs="宋体"/>
                <w:color w:val="auto"/>
                <w:szCs w:val="21"/>
                <w:highlight w:val="none"/>
              </w:rPr>
            </w:pPr>
          </w:p>
        </w:tc>
        <w:tc>
          <w:tcPr>
            <w:tcW w:w="3468" w:type="dxa"/>
            <w:vAlign w:val="center"/>
          </w:tcPr>
          <w:p w14:paraId="65911BB3">
            <w:pPr>
              <w:spacing w:line="360" w:lineRule="auto"/>
              <w:jc w:val="center"/>
              <w:rPr>
                <w:rFonts w:hint="eastAsia" w:ascii="宋体" w:hAnsi="宋体" w:cs="宋体"/>
                <w:color w:val="auto"/>
                <w:szCs w:val="21"/>
                <w:highlight w:val="none"/>
              </w:rPr>
            </w:pPr>
          </w:p>
        </w:tc>
      </w:tr>
    </w:tbl>
    <w:p w14:paraId="2D945881">
      <w:pPr>
        <w:shd w:val="clear" w:color="auto" w:fill="FFFFFF"/>
        <w:spacing w:line="360" w:lineRule="auto"/>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kern w:val="0"/>
          <w:szCs w:val="21"/>
          <w:highlight w:val="none"/>
        </w:rPr>
        <w:t>公示期：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日始至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时止（北京时间）。公示期间，投标人和其他利害关系人如有异议，应按照</w:t>
      </w:r>
      <w:r>
        <w:rPr>
          <w:rFonts w:hint="eastAsia" w:ascii="宋体" w:hAnsi="宋体" w:cs="宋体"/>
          <w:color w:val="auto"/>
          <w:kern w:val="0"/>
          <w:szCs w:val="21"/>
          <w:highlight w:val="none"/>
          <w:u w:val="single"/>
        </w:rPr>
        <w:t>《工程建设项目招标投标活动投诉处理办法》、《关于印发〈湖南省招标投标活动投诉处理办法〉的通知》（湘发改法规规〔2024〕419号）</w:t>
      </w:r>
      <w:r>
        <w:rPr>
          <w:rFonts w:hint="eastAsia" w:ascii="宋体" w:hAnsi="宋体" w:cs="宋体"/>
          <w:color w:val="auto"/>
          <w:kern w:val="0"/>
          <w:szCs w:val="21"/>
          <w:highlight w:val="none"/>
        </w:rPr>
        <w:t>提出异议或投</w:t>
      </w:r>
      <w:r>
        <w:rPr>
          <w:rFonts w:hint="eastAsia" w:ascii="宋体" w:hAnsi="宋体" w:cs="宋体"/>
          <w:bCs/>
          <w:color w:val="auto"/>
          <w:kern w:val="0"/>
          <w:szCs w:val="21"/>
          <w:highlight w:val="none"/>
        </w:rPr>
        <w:t>诉</w:t>
      </w:r>
      <w:r>
        <w:rPr>
          <w:rFonts w:hint="eastAsia" w:ascii="宋体" w:hAnsi="宋体" w:cs="宋体"/>
          <w:color w:val="auto"/>
          <w:szCs w:val="21"/>
          <w:highlight w:val="none"/>
          <w:shd w:val="clear" w:color="auto" w:fill="FFFFFF"/>
        </w:rPr>
        <w:t>。公示期满对中标候选人若无异议，招标人将确定第一中标候选人为该项目的中标人。</w:t>
      </w:r>
    </w:p>
    <w:p w14:paraId="3471C677">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行政监督：</w:t>
      </w:r>
      <w:r>
        <w:rPr>
          <w:rFonts w:hint="eastAsia" w:ascii="宋体" w:hAnsi="宋体" w:cs="宋体"/>
          <w:bCs/>
          <w:color w:val="auto"/>
          <w:kern w:val="0"/>
          <w:szCs w:val="21"/>
          <w:highlight w:val="none"/>
          <w:u w:val="single"/>
        </w:rPr>
        <w:t>（名称、地址、联系人及联系方式）</w:t>
      </w:r>
    </w:p>
    <w:p w14:paraId="0E842197">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 标 人：</w:t>
      </w:r>
      <w:r>
        <w:rPr>
          <w:rFonts w:hint="eastAsia" w:ascii="宋体" w:hAnsi="宋体" w:cs="宋体"/>
          <w:bCs/>
          <w:color w:val="auto"/>
          <w:kern w:val="0"/>
          <w:szCs w:val="21"/>
          <w:highlight w:val="none"/>
          <w:u w:val="single"/>
        </w:rPr>
        <w:t>（名称、地址、联系人及联系方式）</w:t>
      </w:r>
    </w:p>
    <w:p w14:paraId="2AB60E85">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招标代理：</w:t>
      </w:r>
      <w:r>
        <w:rPr>
          <w:rFonts w:hint="eastAsia" w:ascii="宋体" w:hAnsi="宋体" w:cs="宋体"/>
          <w:bCs/>
          <w:color w:val="auto"/>
          <w:kern w:val="0"/>
          <w:szCs w:val="21"/>
          <w:highlight w:val="none"/>
          <w:u w:val="single"/>
        </w:rPr>
        <w:t>（名称、地址、联系人及联系方式）</w:t>
      </w:r>
    </w:p>
    <w:p w14:paraId="7411C816">
      <w:pPr>
        <w:spacing w:line="490" w:lineRule="exact"/>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时    间：</w:t>
      </w:r>
      <w:r>
        <w:rPr>
          <w:rFonts w:hint="eastAsia" w:ascii="宋体" w:hAnsi="宋体" w:cs="宋体"/>
          <w:bCs/>
          <w:color w:val="auto"/>
          <w:kern w:val="0"/>
          <w:szCs w:val="21"/>
          <w:highlight w:val="none"/>
          <w:u w:val="single"/>
        </w:rPr>
        <w:t xml:space="preserve">                                </w:t>
      </w:r>
    </w:p>
    <w:p w14:paraId="0A2AA48A">
      <w:pPr>
        <w:ind w:firstLine="420" w:firstLineChars="200"/>
        <w:rPr>
          <w:color w:val="auto"/>
          <w:highlight w:val="none"/>
        </w:rPr>
      </w:pPr>
      <w:r>
        <w:rPr>
          <w:rFonts w:hint="eastAsia"/>
          <w:color w:val="auto"/>
          <w:highlight w:val="none"/>
        </w:rPr>
        <w:t>说明：全省统一的招标投标信用评价体系建立后，上表中“</w:t>
      </w:r>
      <w:r>
        <w:rPr>
          <w:rFonts w:hint="eastAsia" w:ascii="宋体" w:hAnsi="宋体" w:cs="宋体"/>
          <w:color w:val="auto"/>
          <w:szCs w:val="21"/>
          <w:highlight w:val="none"/>
        </w:rPr>
        <w:t>信用评价加</w:t>
      </w:r>
      <w:r>
        <w:rPr>
          <w:rFonts w:hint="eastAsia" w:ascii="宋体" w:hAnsi="宋体" w:cs="宋体"/>
          <w:color w:val="auto"/>
          <w:szCs w:val="21"/>
          <w:highlight w:val="none"/>
          <w:lang w:eastAsia="zh"/>
        </w:rPr>
        <w:t>分</w:t>
      </w:r>
      <w:r>
        <w:rPr>
          <w:rFonts w:hint="eastAsia"/>
          <w:color w:val="auto"/>
          <w:highlight w:val="none"/>
        </w:rPr>
        <w:t>、信用处罚扣分”栏应根据《湖南省工程建设项目招标投标信用评价管理办法》的相关规定修改。</w:t>
      </w:r>
    </w:p>
    <w:p w14:paraId="686A9FF9">
      <w:pPr>
        <w:spacing w:line="490" w:lineRule="exact"/>
        <w:ind w:firstLine="0" w:firstLineChars="0"/>
        <w:rPr>
          <w:rFonts w:hint="eastAsia" w:ascii="宋体" w:hAnsi="宋体" w:cs="宋体"/>
          <w:bCs/>
          <w:color w:val="auto"/>
          <w:kern w:val="0"/>
          <w:szCs w:val="21"/>
          <w:highlight w:val="none"/>
          <w:u w:val="none"/>
        </w:rPr>
      </w:pPr>
    </w:p>
    <w:p w14:paraId="57024EB4">
      <w:pPr>
        <w:snapToGrid w:val="0"/>
        <w:spacing w:line="360" w:lineRule="auto"/>
        <w:jc w:val="left"/>
        <w:rPr>
          <w:rStyle w:val="54"/>
          <w:rFonts w:hint="eastAsia" w:ascii="宋体" w:hAnsi="宋体" w:cs="宋体"/>
          <w:b w:val="0"/>
          <w:color w:val="auto"/>
          <w:szCs w:val="21"/>
          <w:highlight w:val="none"/>
        </w:rPr>
      </w:pPr>
      <w:bookmarkStart w:id="231" w:name="_Toc152045584"/>
      <w:bookmarkStart w:id="232" w:name="_Toc152042361"/>
      <w:bookmarkStart w:id="233" w:name="_Toc144974551"/>
      <w:r>
        <w:rPr>
          <w:rFonts w:hint="eastAsia" w:ascii="宋体" w:hAnsi="宋体" w:cs="宋体"/>
          <w:color w:val="auto"/>
          <w:szCs w:val="21"/>
          <w:highlight w:val="none"/>
        </w:rPr>
        <w:br w:type="page"/>
      </w:r>
      <w:bookmarkEnd w:id="231"/>
      <w:bookmarkEnd w:id="232"/>
      <w:bookmarkEnd w:id="233"/>
      <w:bookmarkStart w:id="234" w:name="_Toc176959155"/>
      <w:bookmarkStart w:id="235" w:name="_Toc176958708"/>
      <w:bookmarkStart w:id="236" w:name="_Toc7236"/>
      <w:bookmarkStart w:id="237" w:name="_Toc7112"/>
      <w:bookmarkStart w:id="238" w:name="_Toc176960426"/>
      <w:bookmarkStart w:id="239" w:name="_Toc14144"/>
      <w:bookmarkStart w:id="240" w:name="_Toc176279400"/>
      <w:bookmarkStart w:id="241" w:name="_Toc176959813"/>
      <w:bookmarkStart w:id="242" w:name="_Toc176279095"/>
      <w:bookmarkStart w:id="243" w:name="_Toc1024"/>
      <w:bookmarkStart w:id="244" w:name="_Toc176959506"/>
    </w:p>
    <w:p w14:paraId="0A0B3F37">
      <w:pPr>
        <w:spacing w:line="49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u w:val="single"/>
        </w:rPr>
        <w:t xml:space="preserve">                      </w:t>
      </w:r>
      <w:r>
        <w:rPr>
          <w:rFonts w:hint="eastAsia" w:ascii="宋体" w:hAnsi="宋体" w:cs="宋体"/>
          <w:b/>
          <w:color w:val="auto"/>
          <w:kern w:val="0"/>
          <w:sz w:val="28"/>
          <w:szCs w:val="28"/>
          <w:highlight w:val="none"/>
        </w:rPr>
        <w:t>（项目名称）</w:t>
      </w:r>
    </w:p>
    <w:p w14:paraId="7757223D">
      <w:pPr>
        <w:spacing w:line="49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中标候选人公示（采用评定分离法确定中标候选人）</w:t>
      </w:r>
    </w:p>
    <w:p w14:paraId="75A0447D">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受</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的委托，代理</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工程施工招标，</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（北京时间）在</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进行了公开开标，在</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监督下，依法组建的评标委员会按照招标文件确定的评标原则和评标办法进行了细致的评审，并推荐本项目中标候选人如下：</w:t>
      </w:r>
    </w:p>
    <w:tbl>
      <w:tblPr>
        <w:tblStyle w:val="41"/>
        <w:tblW w:w="507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48"/>
        <w:gridCol w:w="771"/>
        <w:gridCol w:w="246"/>
        <w:gridCol w:w="1039"/>
        <w:gridCol w:w="1711"/>
        <w:gridCol w:w="2055"/>
        <w:gridCol w:w="2311"/>
      </w:tblGrid>
      <w:tr w14:paraId="54FC2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691" w:type="pct"/>
            <w:gridSpan w:val="4"/>
            <w:tcBorders>
              <w:tl2br w:val="nil"/>
              <w:tr2bl w:val="nil"/>
            </w:tcBorders>
            <w:tcMar>
              <w:left w:w="108" w:type="dxa"/>
              <w:right w:w="108" w:type="dxa"/>
            </w:tcMar>
            <w:vAlign w:val="center"/>
          </w:tcPr>
          <w:p w14:paraId="42BBDF4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c>
          <w:tcPr>
            <w:tcW w:w="930" w:type="pct"/>
            <w:tcBorders>
              <w:tl2br w:val="nil"/>
              <w:tr2bl w:val="nil"/>
            </w:tcBorders>
            <w:tcMar>
              <w:left w:w="108" w:type="dxa"/>
              <w:right w:w="108" w:type="dxa"/>
            </w:tcMar>
            <w:vAlign w:val="center"/>
          </w:tcPr>
          <w:p w14:paraId="111EDFD7">
            <w:pPr>
              <w:tabs>
                <w:tab w:val="left" w:pos="313"/>
                <w:tab w:val="center" w:pos="1366"/>
              </w:tabs>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c>
          <w:tcPr>
            <w:tcW w:w="1118" w:type="pct"/>
            <w:tcBorders>
              <w:tl2br w:val="nil"/>
              <w:tr2bl w:val="nil"/>
            </w:tcBorders>
            <w:tcMar>
              <w:left w:w="108" w:type="dxa"/>
              <w:right w:w="108" w:type="dxa"/>
            </w:tcMar>
            <w:vAlign w:val="center"/>
          </w:tcPr>
          <w:p w14:paraId="5FCE6F0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c>
          <w:tcPr>
            <w:tcW w:w="1258" w:type="pct"/>
            <w:tcBorders>
              <w:tl2br w:val="nil"/>
              <w:tr2bl w:val="nil"/>
            </w:tcBorders>
            <w:tcMar>
              <w:left w:w="108" w:type="dxa"/>
              <w:right w:w="108" w:type="dxa"/>
            </w:tcMar>
            <w:vAlign w:val="center"/>
          </w:tcPr>
          <w:p w14:paraId="4C2EBF6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r>
      <w:tr w14:paraId="5F34D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1691" w:type="pct"/>
            <w:gridSpan w:val="4"/>
            <w:tcBorders>
              <w:tl2br w:val="nil"/>
              <w:tr2bl w:val="nil"/>
            </w:tcBorders>
            <w:tcMar>
              <w:left w:w="108" w:type="dxa"/>
              <w:right w:w="108" w:type="dxa"/>
            </w:tcMar>
            <w:vAlign w:val="center"/>
          </w:tcPr>
          <w:p w14:paraId="5529C6D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中标候选人名称</w:t>
            </w:r>
          </w:p>
        </w:tc>
        <w:tc>
          <w:tcPr>
            <w:tcW w:w="930" w:type="pct"/>
            <w:tcBorders>
              <w:tl2br w:val="nil"/>
              <w:tr2bl w:val="nil"/>
            </w:tcBorders>
            <w:tcMar>
              <w:left w:w="108" w:type="dxa"/>
              <w:right w:w="108" w:type="dxa"/>
            </w:tcMar>
            <w:vAlign w:val="center"/>
          </w:tcPr>
          <w:p w14:paraId="7106E07F">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1EDCCB0">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4DCF31A">
            <w:pPr>
              <w:widowControl/>
              <w:spacing w:line="320" w:lineRule="exact"/>
              <w:jc w:val="center"/>
              <w:rPr>
                <w:rFonts w:hint="eastAsia" w:ascii="宋体" w:hAnsi="宋体" w:cs="宋体"/>
                <w:color w:val="auto"/>
                <w:szCs w:val="21"/>
                <w:highlight w:val="none"/>
              </w:rPr>
            </w:pPr>
          </w:p>
        </w:tc>
      </w:tr>
      <w:tr w14:paraId="4173E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1691" w:type="pct"/>
            <w:gridSpan w:val="4"/>
            <w:tcBorders>
              <w:tl2br w:val="nil"/>
              <w:tr2bl w:val="nil"/>
            </w:tcBorders>
            <w:tcMar>
              <w:left w:w="108" w:type="dxa"/>
              <w:right w:w="108" w:type="dxa"/>
            </w:tcMar>
            <w:vAlign w:val="center"/>
          </w:tcPr>
          <w:p w14:paraId="1E3BFE5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投标报价（元）</w:t>
            </w:r>
          </w:p>
        </w:tc>
        <w:tc>
          <w:tcPr>
            <w:tcW w:w="930" w:type="pct"/>
            <w:tcBorders>
              <w:tl2br w:val="nil"/>
              <w:tr2bl w:val="nil"/>
            </w:tcBorders>
            <w:tcMar>
              <w:left w:w="108" w:type="dxa"/>
              <w:right w:w="108" w:type="dxa"/>
            </w:tcMar>
            <w:vAlign w:val="center"/>
          </w:tcPr>
          <w:p w14:paraId="13743BF7">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7454512D">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79B415E">
            <w:pPr>
              <w:widowControl/>
              <w:spacing w:line="320" w:lineRule="exact"/>
              <w:jc w:val="center"/>
              <w:rPr>
                <w:rFonts w:hint="eastAsia" w:ascii="宋体" w:hAnsi="宋体" w:cs="宋体"/>
                <w:color w:val="auto"/>
                <w:szCs w:val="21"/>
                <w:highlight w:val="none"/>
              </w:rPr>
            </w:pPr>
          </w:p>
        </w:tc>
      </w:tr>
      <w:tr w14:paraId="085194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5E6F1B7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质量目标</w:t>
            </w:r>
          </w:p>
        </w:tc>
        <w:tc>
          <w:tcPr>
            <w:tcW w:w="930" w:type="pct"/>
            <w:tcBorders>
              <w:tl2br w:val="nil"/>
              <w:tr2bl w:val="nil"/>
            </w:tcBorders>
            <w:tcMar>
              <w:left w:w="108" w:type="dxa"/>
              <w:right w:w="108" w:type="dxa"/>
            </w:tcMar>
            <w:vAlign w:val="center"/>
          </w:tcPr>
          <w:p w14:paraId="69369C71">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0A4C2913">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1FA34310">
            <w:pPr>
              <w:spacing w:line="320" w:lineRule="exact"/>
              <w:jc w:val="center"/>
              <w:rPr>
                <w:rFonts w:hint="eastAsia" w:ascii="宋体" w:hAnsi="宋体" w:cs="宋体"/>
                <w:color w:val="auto"/>
                <w:szCs w:val="21"/>
                <w:highlight w:val="none"/>
              </w:rPr>
            </w:pPr>
          </w:p>
        </w:tc>
      </w:tr>
      <w:tr w14:paraId="7B87AF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0AB3408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环保目标（如有）</w:t>
            </w:r>
          </w:p>
        </w:tc>
        <w:tc>
          <w:tcPr>
            <w:tcW w:w="930" w:type="pct"/>
            <w:tcBorders>
              <w:tl2br w:val="nil"/>
              <w:tr2bl w:val="nil"/>
            </w:tcBorders>
            <w:tcMar>
              <w:left w:w="108" w:type="dxa"/>
              <w:right w:w="108" w:type="dxa"/>
            </w:tcMar>
            <w:vAlign w:val="center"/>
          </w:tcPr>
          <w:p w14:paraId="773B4086">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38B7C0A1">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538F9E8">
            <w:pPr>
              <w:spacing w:line="320" w:lineRule="exact"/>
              <w:jc w:val="center"/>
              <w:rPr>
                <w:rFonts w:hint="eastAsia" w:ascii="宋体" w:hAnsi="宋体" w:cs="宋体"/>
                <w:color w:val="auto"/>
                <w:szCs w:val="21"/>
                <w:highlight w:val="none"/>
              </w:rPr>
            </w:pPr>
          </w:p>
        </w:tc>
      </w:tr>
      <w:tr w14:paraId="6D37C6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75AC6E1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安全目标（如有）</w:t>
            </w:r>
          </w:p>
        </w:tc>
        <w:tc>
          <w:tcPr>
            <w:tcW w:w="930" w:type="pct"/>
            <w:tcBorders>
              <w:tl2br w:val="nil"/>
              <w:tr2bl w:val="nil"/>
            </w:tcBorders>
            <w:tcMar>
              <w:left w:w="108" w:type="dxa"/>
              <w:right w:w="108" w:type="dxa"/>
            </w:tcMar>
            <w:vAlign w:val="center"/>
          </w:tcPr>
          <w:p w14:paraId="78FEE90C">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3665B0F1">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047B85B2">
            <w:pPr>
              <w:spacing w:line="320" w:lineRule="exact"/>
              <w:jc w:val="center"/>
              <w:rPr>
                <w:rFonts w:hint="eastAsia" w:ascii="宋体" w:hAnsi="宋体" w:cs="宋体"/>
                <w:color w:val="auto"/>
                <w:szCs w:val="21"/>
                <w:highlight w:val="none"/>
              </w:rPr>
            </w:pPr>
          </w:p>
        </w:tc>
      </w:tr>
      <w:tr w14:paraId="5DE90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691" w:type="pct"/>
            <w:gridSpan w:val="4"/>
            <w:tcBorders>
              <w:tl2br w:val="nil"/>
              <w:tr2bl w:val="nil"/>
            </w:tcBorders>
            <w:tcMar>
              <w:left w:w="108" w:type="dxa"/>
              <w:right w:w="108" w:type="dxa"/>
            </w:tcMar>
            <w:vAlign w:val="center"/>
          </w:tcPr>
          <w:p w14:paraId="6B8C59C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工期（日历天）</w:t>
            </w:r>
          </w:p>
        </w:tc>
        <w:tc>
          <w:tcPr>
            <w:tcW w:w="930" w:type="pct"/>
            <w:tcBorders>
              <w:tl2br w:val="nil"/>
              <w:tr2bl w:val="nil"/>
            </w:tcBorders>
            <w:tcMar>
              <w:left w:w="108" w:type="dxa"/>
              <w:right w:w="108" w:type="dxa"/>
            </w:tcMar>
            <w:vAlign w:val="center"/>
          </w:tcPr>
          <w:p w14:paraId="505D6F75">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EEABB40">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9137872">
            <w:pPr>
              <w:spacing w:line="320" w:lineRule="exact"/>
              <w:jc w:val="center"/>
              <w:rPr>
                <w:rFonts w:hint="eastAsia" w:ascii="宋体" w:hAnsi="宋体" w:cs="宋体"/>
                <w:color w:val="auto"/>
                <w:szCs w:val="21"/>
                <w:highlight w:val="none"/>
              </w:rPr>
            </w:pPr>
          </w:p>
        </w:tc>
      </w:tr>
      <w:tr w14:paraId="5B3DB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restart"/>
            <w:tcBorders>
              <w:tl2br w:val="nil"/>
              <w:tr2bl w:val="nil"/>
            </w:tcBorders>
            <w:tcMar>
              <w:left w:w="108" w:type="dxa"/>
              <w:right w:w="108" w:type="dxa"/>
            </w:tcMar>
            <w:vAlign w:val="center"/>
          </w:tcPr>
          <w:p w14:paraId="22BA61D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详细评审得分情况</w:t>
            </w:r>
          </w:p>
        </w:tc>
        <w:tc>
          <w:tcPr>
            <w:tcW w:w="1120" w:type="pct"/>
            <w:gridSpan w:val="3"/>
            <w:tcBorders>
              <w:tl2br w:val="nil"/>
              <w:tr2bl w:val="nil"/>
            </w:tcBorders>
            <w:tcMar>
              <w:left w:w="108" w:type="dxa"/>
              <w:right w:w="108" w:type="dxa"/>
            </w:tcMar>
            <w:vAlign w:val="center"/>
          </w:tcPr>
          <w:p w14:paraId="767140A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w:t>
            </w:r>
          </w:p>
        </w:tc>
        <w:tc>
          <w:tcPr>
            <w:tcW w:w="930" w:type="pct"/>
            <w:tcBorders>
              <w:tl2br w:val="nil"/>
              <w:tr2bl w:val="nil"/>
            </w:tcBorders>
            <w:tcMar>
              <w:left w:w="108" w:type="dxa"/>
              <w:right w:w="108" w:type="dxa"/>
            </w:tcMar>
            <w:vAlign w:val="center"/>
          </w:tcPr>
          <w:p w14:paraId="2997E085">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855F1CB">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164A978B">
            <w:pPr>
              <w:spacing w:line="320" w:lineRule="exact"/>
              <w:jc w:val="center"/>
              <w:rPr>
                <w:rFonts w:hint="eastAsia" w:ascii="宋体" w:hAnsi="宋体" w:cs="宋体"/>
                <w:color w:val="auto"/>
                <w:szCs w:val="21"/>
                <w:highlight w:val="none"/>
              </w:rPr>
            </w:pPr>
          </w:p>
        </w:tc>
      </w:tr>
      <w:tr w14:paraId="3B996D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continue"/>
            <w:tcBorders>
              <w:tl2br w:val="nil"/>
              <w:tr2bl w:val="nil"/>
            </w:tcBorders>
            <w:tcMar>
              <w:left w:w="108" w:type="dxa"/>
              <w:right w:w="108" w:type="dxa"/>
            </w:tcMar>
            <w:vAlign w:val="center"/>
          </w:tcPr>
          <w:p w14:paraId="3D5545F5">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6C77E6A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商务评分</w:t>
            </w:r>
          </w:p>
        </w:tc>
        <w:tc>
          <w:tcPr>
            <w:tcW w:w="930" w:type="pct"/>
            <w:tcBorders>
              <w:tl2br w:val="nil"/>
              <w:tr2bl w:val="nil"/>
            </w:tcBorders>
            <w:tcMar>
              <w:left w:w="108" w:type="dxa"/>
              <w:right w:w="108" w:type="dxa"/>
            </w:tcMar>
            <w:vAlign w:val="center"/>
          </w:tcPr>
          <w:p w14:paraId="7A5099D3">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7D4EDCF0">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288A4C7D">
            <w:pPr>
              <w:spacing w:line="320" w:lineRule="exact"/>
              <w:jc w:val="center"/>
              <w:rPr>
                <w:rFonts w:hint="eastAsia" w:ascii="宋体" w:hAnsi="宋体" w:cs="宋体"/>
                <w:color w:val="auto"/>
                <w:szCs w:val="21"/>
                <w:highlight w:val="none"/>
              </w:rPr>
            </w:pPr>
          </w:p>
        </w:tc>
      </w:tr>
      <w:tr w14:paraId="5CC9A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74CC99F9">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62F5BFB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技术投标文件评分</w:t>
            </w:r>
          </w:p>
        </w:tc>
        <w:tc>
          <w:tcPr>
            <w:tcW w:w="930" w:type="pct"/>
            <w:tcBorders>
              <w:tl2br w:val="nil"/>
              <w:tr2bl w:val="nil"/>
            </w:tcBorders>
            <w:tcMar>
              <w:left w:w="108" w:type="dxa"/>
              <w:right w:w="108" w:type="dxa"/>
            </w:tcMar>
            <w:vAlign w:val="center"/>
          </w:tcPr>
          <w:p w14:paraId="5E97E3AA">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AB30E4A">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082728E">
            <w:pPr>
              <w:spacing w:line="320" w:lineRule="exact"/>
              <w:jc w:val="center"/>
              <w:rPr>
                <w:rFonts w:hint="eastAsia" w:ascii="宋体" w:hAnsi="宋体" w:cs="宋体"/>
                <w:color w:val="auto"/>
                <w:szCs w:val="21"/>
                <w:highlight w:val="none"/>
              </w:rPr>
            </w:pPr>
          </w:p>
        </w:tc>
      </w:tr>
      <w:tr w14:paraId="52612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continue"/>
            <w:tcBorders>
              <w:tl2br w:val="nil"/>
              <w:tr2bl w:val="nil"/>
            </w:tcBorders>
            <w:tcMar>
              <w:left w:w="108" w:type="dxa"/>
              <w:right w:w="108" w:type="dxa"/>
            </w:tcMar>
            <w:vAlign w:val="center"/>
          </w:tcPr>
          <w:p w14:paraId="20E33B71">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584F9C3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投标报价评分</w:t>
            </w:r>
          </w:p>
        </w:tc>
        <w:tc>
          <w:tcPr>
            <w:tcW w:w="930" w:type="pct"/>
            <w:tcBorders>
              <w:tl2br w:val="nil"/>
              <w:tr2bl w:val="nil"/>
            </w:tcBorders>
            <w:tcMar>
              <w:left w:w="108" w:type="dxa"/>
              <w:right w:w="108" w:type="dxa"/>
            </w:tcMar>
            <w:vAlign w:val="center"/>
          </w:tcPr>
          <w:p w14:paraId="3FE87E8C">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DA904B2">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BDE08DE">
            <w:pPr>
              <w:spacing w:line="320" w:lineRule="exact"/>
              <w:jc w:val="center"/>
              <w:rPr>
                <w:rFonts w:hint="eastAsia" w:ascii="宋体" w:hAnsi="宋体" w:cs="宋体"/>
                <w:color w:val="auto"/>
                <w:szCs w:val="21"/>
                <w:highlight w:val="none"/>
              </w:rPr>
            </w:pPr>
          </w:p>
        </w:tc>
      </w:tr>
      <w:tr w14:paraId="01807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571" w:type="pct"/>
            <w:vMerge w:val="restart"/>
            <w:tcBorders>
              <w:tl2br w:val="nil"/>
              <w:tr2bl w:val="nil"/>
            </w:tcBorders>
            <w:tcMar>
              <w:left w:w="108" w:type="dxa"/>
              <w:right w:w="108" w:type="dxa"/>
            </w:tcMar>
            <w:vAlign w:val="center"/>
          </w:tcPr>
          <w:p w14:paraId="4192DFB5">
            <w:pPr>
              <w:spacing w:line="320" w:lineRule="exact"/>
              <w:jc w:val="center"/>
              <w:rPr>
                <w:rFonts w:hint="eastAsia" w:ascii="宋体" w:hAnsi="宋体" w:cs="宋体"/>
                <w:color w:val="auto"/>
                <w:szCs w:val="21"/>
                <w:highlight w:val="none"/>
              </w:rPr>
            </w:pPr>
          </w:p>
          <w:p w14:paraId="71CECECD">
            <w:pPr>
              <w:spacing w:line="320" w:lineRule="exact"/>
              <w:jc w:val="center"/>
              <w:rPr>
                <w:rFonts w:hint="eastAsia" w:ascii="宋体" w:hAnsi="宋体" w:cs="宋体"/>
                <w:color w:val="auto"/>
                <w:szCs w:val="21"/>
                <w:highlight w:val="none"/>
              </w:rPr>
            </w:pPr>
          </w:p>
          <w:p w14:paraId="296DBD78">
            <w:pPr>
              <w:spacing w:line="320" w:lineRule="exact"/>
              <w:jc w:val="center"/>
              <w:rPr>
                <w:rFonts w:hint="eastAsia" w:ascii="宋体" w:hAnsi="宋体" w:cs="宋体"/>
                <w:color w:val="auto"/>
                <w:szCs w:val="21"/>
                <w:highlight w:val="none"/>
              </w:rPr>
            </w:pPr>
          </w:p>
          <w:p w14:paraId="3F597A25">
            <w:pPr>
              <w:spacing w:line="320" w:lineRule="exact"/>
              <w:jc w:val="center"/>
              <w:rPr>
                <w:rFonts w:hint="eastAsia" w:ascii="宋体" w:hAnsi="宋体" w:cs="宋体"/>
                <w:color w:val="auto"/>
                <w:szCs w:val="21"/>
                <w:highlight w:val="none"/>
              </w:rPr>
            </w:pPr>
          </w:p>
          <w:p w14:paraId="7572088D">
            <w:pPr>
              <w:spacing w:line="320" w:lineRule="exact"/>
              <w:jc w:val="center"/>
              <w:rPr>
                <w:rFonts w:hint="eastAsia" w:ascii="宋体" w:hAnsi="宋体" w:cs="宋体"/>
                <w:color w:val="auto"/>
                <w:szCs w:val="21"/>
                <w:highlight w:val="none"/>
              </w:rPr>
            </w:pPr>
          </w:p>
          <w:p w14:paraId="38A9D7FF">
            <w:pPr>
              <w:spacing w:line="320" w:lineRule="exact"/>
              <w:jc w:val="center"/>
              <w:rPr>
                <w:rFonts w:hint="eastAsia" w:ascii="宋体" w:hAnsi="宋体" w:cs="宋体"/>
                <w:color w:val="auto"/>
                <w:szCs w:val="21"/>
                <w:highlight w:val="none"/>
              </w:rPr>
            </w:pPr>
          </w:p>
          <w:p w14:paraId="69279A36">
            <w:pPr>
              <w:spacing w:line="320" w:lineRule="exact"/>
              <w:jc w:val="center"/>
              <w:rPr>
                <w:rFonts w:hint="eastAsia" w:ascii="宋体" w:hAnsi="宋体" w:cs="宋体"/>
                <w:color w:val="auto"/>
                <w:szCs w:val="21"/>
                <w:highlight w:val="none"/>
              </w:rPr>
            </w:pPr>
          </w:p>
          <w:p w14:paraId="6BEA82F8">
            <w:pPr>
              <w:spacing w:line="320" w:lineRule="exact"/>
              <w:jc w:val="center"/>
              <w:rPr>
                <w:rFonts w:hint="eastAsia" w:ascii="宋体" w:hAnsi="宋体" w:cs="宋体"/>
                <w:color w:val="auto"/>
                <w:szCs w:val="21"/>
                <w:highlight w:val="none"/>
              </w:rPr>
            </w:pPr>
          </w:p>
          <w:p w14:paraId="4DA93F9E">
            <w:pPr>
              <w:spacing w:line="320" w:lineRule="exact"/>
              <w:jc w:val="center"/>
              <w:rPr>
                <w:rFonts w:hint="eastAsia" w:ascii="宋体" w:hAnsi="宋体" w:cs="宋体"/>
                <w:color w:val="auto"/>
                <w:szCs w:val="21"/>
                <w:highlight w:val="none"/>
              </w:rPr>
            </w:pPr>
          </w:p>
          <w:p w14:paraId="163AEC97">
            <w:pPr>
              <w:spacing w:line="320" w:lineRule="exact"/>
              <w:jc w:val="center"/>
              <w:rPr>
                <w:rFonts w:hint="eastAsia" w:ascii="宋体" w:hAnsi="宋体" w:cs="宋体"/>
                <w:color w:val="auto"/>
                <w:szCs w:val="21"/>
                <w:highlight w:val="none"/>
              </w:rPr>
            </w:pPr>
          </w:p>
          <w:p w14:paraId="3C0D3CDB">
            <w:pPr>
              <w:spacing w:line="320" w:lineRule="exact"/>
              <w:jc w:val="center"/>
              <w:rPr>
                <w:rFonts w:hint="eastAsia" w:ascii="宋体" w:hAnsi="宋体" w:cs="宋体"/>
                <w:color w:val="auto"/>
                <w:szCs w:val="21"/>
                <w:highlight w:val="none"/>
              </w:rPr>
            </w:pPr>
          </w:p>
          <w:p w14:paraId="46DDE7B2">
            <w:pPr>
              <w:spacing w:line="320" w:lineRule="exact"/>
              <w:jc w:val="center"/>
              <w:rPr>
                <w:rFonts w:hint="eastAsia" w:ascii="宋体" w:hAnsi="宋体" w:cs="宋体"/>
                <w:color w:val="auto"/>
                <w:szCs w:val="21"/>
                <w:highlight w:val="none"/>
              </w:rPr>
            </w:pPr>
          </w:p>
          <w:p w14:paraId="1EB825BE">
            <w:pPr>
              <w:spacing w:line="320" w:lineRule="exact"/>
              <w:jc w:val="center"/>
              <w:rPr>
                <w:rFonts w:hint="eastAsia" w:ascii="宋体" w:hAnsi="宋体" w:cs="宋体"/>
                <w:color w:val="auto"/>
                <w:szCs w:val="21"/>
                <w:highlight w:val="none"/>
              </w:rPr>
            </w:pPr>
          </w:p>
          <w:p w14:paraId="26198F60">
            <w:pPr>
              <w:spacing w:line="320" w:lineRule="exact"/>
              <w:jc w:val="center"/>
              <w:rPr>
                <w:rFonts w:hint="eastAsia" w:ascii="宋体" w:hAnsi="宋体" w:cs="宋体"/>
                <w:color w:val="auto"/>
                <w:szCs w:val="21"/>
                <w:highlight w:val="none"/>
              </w:rPr>
            </w:pPr>
          </w:p>
          <w:p w14:paraId="2AD00408">
            <w:pPr>
              <w:spacing w:line="320" w:lineRule="exact"/>
              <w:jc w:val="center"/>
              <w:rPr>
                <w:rFonts w:hint="eastAsia" w:ascii="宋体" w:hAnsi="宋体" w:cs="宋体"/>
                <w:color w:val="auto"/>
                <w:szCs w:val="21"/>
                <w:highlight w:val="none"/>
              </w:rPr>
            </w:pPr>
          </w:p>
          <w:p w14:paraId="632C6701">
            <w:pPr>
              <w:spacing w:line="320" w:lineRule="exact"/>
              <w:jc w:val="center"/>
              <w:rPr>
                <w:rFonts w:hint="eastAsia" w:ascii="宋体" w:hAnsi="宋体" w:cs="宋体"/>
                <w:color w:val="auto"/>
                <w:szCs w:val="21"/>
                <w:highlight w:val="none"/>
              </w:rPr>
            </w:pPr>
          </w:p>
          <w:p w14:paraId="52F1933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1120" w:type="pct"/>
            <w:gridSpan w:val="3"/>
            <w:vMerge w:val="restart"/>
            <w:tcBorders>
              <w:tl2br w:val="nil"/>
              <w:tr2bl w:val="nil"/>
            </w:tcBorders>
            <w:tcMar>
              <w:left w:w="108" w:type="dxa"/>
              <w:right w:w="108" w:type="dxa"/>
            </w:tcMar>
            <w:vAlign w:val="center"/>
          </w:tcPr>
          <w:p w14:paraId="1C17DDA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1</w:t>
            </w:r>
          </w:p>
        </w:tc>
        <w:tc>
          <w:tcPr>
            <w:tcW w:w="930" w:type="pct"/>
            <w:tcBorders>
              <w:tl2br w:val="nil"/>
              <w:tr2bl w:val="nil"/>
            </w:tcBorders>
            <w:tcMar>
              <w:left w:w="108" w:type="dxa"/>
              <w:right w:w="108" w:type="dxa"/>
            </w:tcMar>
            <w:vAlign w:val="center"/>
          </w:tcPr>
          <w:p w14:paraId="5AE4697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tl2br w:val="nil"/>
              <w:tr2bl w:val="nil"/>
            </w:tcBorders>
            <w:tcMar>
              <w:left w:w="108" w:type="dxa"/>
              <w:right w:w="108" w:type="dxa"/>
            </w:tcMar>
            <w:vAlign w:val="center"/>
          </w:tcPr>
          <w:p w14:paraId="3E22A7E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tl2br w:val="nil"/>
              <w:tr2bl w:val="nil"/>
            </w:tcBorders>
            <w:tcMar>
              <w:left w:w="108" w:type="dxa"/>
              <w:right w:w="108" w:type="dxa"/>
            </w:tcMar>
            <w:vAlign w:val="center"/>
          </w:tcPr>
          <w:p w14:paraId="76B3950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7FEF16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5" w:hRule="atLeast"/>
          <w:jc w:val="center"/>
        </w:trPr>
        <w:tc>
          <w:tcPr>
            <w:tcW w:w="571" w:type="pct"/>
            <w:vMerge w:val="continue"/>
            <w:tcBorders>
              <w:tl2br w:val="nil"/>
              <w:tr2bl w:val="nil"/>
            </w:tcBorders>
            <w:tcMar>
              <w:left w:w="108" w:type="dxa"/>
              <w:right w:w="108" w:type="dxa"/>
            </w:tcMar>
            <w:vAlign w:val="center"/>
          </w:tcPr>
          <w:p w14:paraId="4BA05CE9">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5ED9028B">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0CA5490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055" w:type="dxa"/>
            <w:tcBorders>
              <w:tl2br w:val="nil"/>
              <w:tr2bl w:val="nil"/>
            </w:tcBorders>
            <w:tcMar>
              <w:left w:w="108" w:type="dxa"/>
              <w:right w:w="108" w:type="dxa"/>
            </w:tcMar>
            <w:vAlign w:val="center"/>
          </w:tcPr>
          <w:p w14:paraId="70F2128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312" w:type="dxa"/>
            <w:tcBorders>
              <w:tl2br w:val="nil"/>
              <w:tr2bl w:val="nil"/>
            </w:tcBorders>
            <w:tcMar>
              <w:left w:w="108" w:type="dxa"/>
              <w:right w:w="108" w:type="dxa"/>
            </w:tcMar>
            <w:vAlign w:val="center"/>
          </w:tcPr>
          <w:p w14:paraId="62F7AC0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r>
      <w:tr w14:paraId="523F00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18D265B1">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7B119147">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6283110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l2br w:val="nil"/>
              <w:tr2bl w:val="nil"/>
            </w:tcBorders>
            <w:tcMar>
              <w:left w:w="108" w:type="dxa"/>
              <w:right w:w="108" w:type="dxa"/>
            </w:tcMar>
            <w:vAlign w:val="center"/>
          </w:tcPr>
          <w:p w14:paraId="7BDAD8B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l2br w:val="nil"/>
              <w:tr2bl w:val="nil"/>
            </w:tcBorders>
            <w:tcMar>
              <w:left w:w="108" w:type="dxa"/>
              <w:right w:w="108" w:type="dxa"/>
            </w:tcMar>
            <w:vAlign w:val="center"/>
          </w:tcPr>
          <w:p w14:paraId="2AF8B0A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1F345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51A5F67C">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46065AD6">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24CDC5E9">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l2br w:val="nil"/>
              <w:tr2bl w:val="nil"/>
            </w:tcBorders>
            <w:tcMar>
              <w:left w:w="108" w:type="dxa"/>
              <w:right w:w="108" w:type="dxa"/>
            </w:tcMar>
            <w:vAlign w:val="center"/>
          </w:tcPr>
          <w:p w14:paraId="07EA2AA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l2br w:val="nil"/>
              <w:tr2bl w:val="nil"/>
            </w:tcBorders>
            <w:tcMar>
              <w:left w:w="108" w:type="dxa"/>
              <w:right w:w="108" w:type="dxa"/>
            </w:tcMar>
            <w:vAlign w:val="center"/>
          </w:tcPr>
          <w:p w14:paraId="510B6F0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6BF301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8" w:hRule="atLeast"/>
          <w:jc w:val="center"/>
        </w:trPr>
        <w:tc>
          <w:tcPr>
            <w:tcW w:w="571" w:type="pct"/>
            <w:vMerge w:val="continue"/>
            <w:tcBorders>
              <w:tl2br w:val="nil"/>
              <w:tr2bl w:val="nil"/>
            </w:tcBorders>
            <w:tcMar>
              <w:left w:w="108" w:type="dxa"/>
              <w:right w:w="108" w:type="dxa"/>
            </w:tcMar>
            <w:vAlign w:val="center"/>
          </w:tcPr>
          <w:p w14:paraId="1131011B">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4D0093E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2</w:t>
            </w:r>
          </w:p>
        </w:tc>
        <w:tc>
          <w:tcPr>
            <w:tcW w:w="1710" w:type="dxa"/>
            <w:tcBorders>
              <w:tl2br w:val="nil"/>
              <w:tr2bl w:val="nil"/>
            </w:tcBorders>
            <w:tcMar>
              <w:left w:w="108" w:type="dxa"/>
              <w:right w:w="108" w:type="dxa"/>
            </w:tcMar>
            <w:vAlign w:val="center"/>
          </w:tcPr>
          <w:p w14:paraId="33EA837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tl2br w:val="nil"/>
              <w:tr2bl w:val="nil"/>
            </w:tcBorders>
            <w:tcMar>
              <w:left w:w="108" w:type="dxa"/>
              <w:right w:w="108" w:type="dxa"/>
            </w:tcMar>
            <w:vAlign w:val="center"/>
          </w:tcPr>
          <w:p w14:paraId="3D0AD19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tl2br w:val="nil"/>
              <w:tr2bl w:val="nil"/>
            </w:tcBorders>
            <w:tcMar>
              <w:left w:w="108" w:type="dxa"/>
              <w:right w:w="108" w:type="dxa"/>
            </w:tcMar>
            <w:vAlign w:val="center"/>
          </w:tcPr>
          <w:p w14:paraId="29DD375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1E6E6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8" w:hRule="atLeast"/>
          <w:jc w:val="center"/>
        </w:trPr>
        <w:tc>
          <w:tcPr>
            <w:tcW w:w="571" w:type="pct"/>
            <w:vMerge w:val="continue"/>
            <w:tcBorders>
              <w:tl2br w:val="nil"/>
              <w:tr2bl w:val="nil"/>
            </w:tcBorders>
            <w:tcMar>
              <w:left w:w="108" w:type="dxa"/>
              <w:right w:w="108" w:type="dxa"/>
            </w:tcMar>
            <w:vAlign w:val="center"/>
          </w:tcPr>
          <w:p w14:paraId="15176229">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01339FE2">
            <w:pPr>
              <w:spacing w:line="320" w:lineRule="exact"/>
              <w:jc w:val="center"/>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0538D73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055" w:type="dxa"/>
            <w:tcBorders>
              <w:tl2br w:val="nil"/>
              <w:tr2bl w:val="nil"/>
            </w:tcBorders>
            <w:tcMar>
              <w:left w:w="108" w:type="dxa"/>
              <w:right w:w="108" w:type="dxa"/>
            </w:tcMar>
            <w:vAlign w:val="center"/>
          </w:tcPr>
          <w:p w14:paraId="77CEE04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312" w:type="dxa"/>
            <w:tcBorders>
              <w:tl2br w:val="nil"/>
              <w:tr2bl w:val="nil"/>
            </w:tcBorders>
            <w:tcMar>
              <w:left w:w="108" w:type="dxa"/>
              <w:right w:w="108" w:type="dxa"/>
            </w:tcMar>
            <w:vAlign w:val="center"/>
          </w:tcPr>
          <w:p w14:paraId="02442C6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r>
      <w:tr w14:paraId="4661EF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4670E2FB">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15EBE2E5">
            <w:pPr>
              <w:spacing w:line="320" w:lineRule="exact"/>
              <w:jc w:val="center"/>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238EC2B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l2br w:val="nil"/>
              <w:tr2bl w:val="nil"/>
            </w:tcBorders>
            <w:tcMar>
              <w:left w:w="108" w:type="dxa"/>
              <w:right w:w="108" w:type="dxa"/>
            </w:tcMar>
            <w:vAlign w:val="center"/>
          </w:tcPr>
          <w:p w14:paraId="4B58B60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l2br w:val="nil"/>
              <w:tr2bl w:val="nil"/>
            </w:tcBorders>
            <w:tcMar>
              <w:left w:w="108" w:type="dxa"/>
              <w:right w:w="108" w:type="dxa"/>
            </w:tcMar>
            <w:vAlign w:val="center"/>
          </w:tcPr>
          <w:p w14:paraId="0A5937C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57F1A3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7A0172C4">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70DED361">
            <w:pPr>
              <w:spacing w:line="320" w:lineRule="exact"/>
              <w:jc w:val="lef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0AFF673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l2br w:val="nil"/>
              <w:tr2bl w:val="nil"/>
            </w:tcBorders>
            <w:tcMar>
              <w:left w:w="108" w:type="dxa"/>
              <w:right w:w="108" w:type="dxa"/>
            </w:tcMar>
            <w:vAlign w:val="center"/>
          </w:tcPr>
          <w:p w14:paraId="4F3B5DB9">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l2br w:val="nil"/>
              <w:tr2bl w:val="nil"/>
            </w:tcBorders>
            <w:tcMar>
              <w:left w:w="108" w:type="dxa"/>
              <w:right w:w="108" w:type="dxa"/>
            </w:tcMar>
            <w:vAlign w:val="center"/>
          </w:tcPr>
          <w:p w14:paraId="6FF8F4C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0557DD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3" w:hRule="atLeast"/>
          <w:jc w:val="center"/>
        </w:trPr>
        <w:tc>
          <w:tcPr>
            <w:tcW w:w="571" w:type="pct"/>
            <w:vMerge w:val="continue"/>
            <w:tcBorders>
              <w:tl2br w:val="nil"/>
              <w:tr2bl w:val="nil"/>
            </w:tcBorders>
            <w:tcMar>
              <w:left w:w="108" w:type="dxa"/>
              <w:right w:w="108" w:type="dxa"/>
            </w:tcMar>
            <w:vAlign w:val="center"/>
          </w:tcPr>
          <w:p w14:paraId="1BFF67D6">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2A955C8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3</w:t>
            </w:r>
          </w:p>
        </w:tc>
        <w:tc>
          <w:tcPr>
            <w:tcW w:w="1710" w:type="dxa"/>
            <w:tcBorders>
              <w:bottom w:val="single" w:color="auto" w:sz="4" w:space="0"/>
              <w:tl2br w:val="nil"/>
              <w:tr2bl w:val="nil"/>
            </w:tcBorders>
            <w:tcMar>
              <w:left w:w="108" w:type="dxa"/>
              <w:right w:w="108" w:type="dxa"/>
            </w:tcMar>
            <w:vAlign w:val="center"/>
          </w:tcPr>
          <w:p w14:paraId="2BD6165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bottom w:val="single" w:color="auto" w:sz="4" w:space="0"/>
              <w:tl2br w:val="nil"/>
              <w:tr2bl w:val="nil"/>
            </w:tcBorders>
            <w:tcMar>
              <w:left w:w="108" w:type="dxa"/>
              <w:right w:w="108" w:type="dxa"/>
            </w:tcMar>
            <w:vAlign w:val="center"/>
          </w:tcPr>
          <w:p w14:paraId="52D294B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bottom w:val="single" w:color="auto" w:sz="4" w:space="0"/>
              <w:tl2br w:val="nil"/>
              <w:tr2bl w:val="nil"/>
            </w:tcBorders>
            <w:tcMar>
              <w:left w:w="108" w:type="dxa"/>
              <w:right w:w="108" w:type="dxa"/>
            </w:tcMar>
            <w:vAlign w:val="center"/>
          </w:tcPr>
          <w:p w14:paraId="4812988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6F3DC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0" w:hRule="atLeast"/>
          <w:jc w:val="center"/>
        </w:trPr>
        <w:tc>
          <w:tcPr>
            <w:tcW w:w="571" w:type="pct"/>
            <w:vMerge w:val="continue"/>
            <w:tcBorders>
              <w:tl2br w:val="nil"/>
              <w:tr2bl w:val="nil"/>
            </w:tcBorders>
            <w:tcMar>
              <w:left w:w="108" w:type="dxa"/>
              <w:right w:w="108" w:type="dxa"/>
            </w:tcMar>
            <w:vAlign w:val="center"/>
          </w:tcPr>
          <w:p w14:paraId="7C74E639">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4A8B80E3">
            <w:pPr>
              <w:spacing w:line="320" w:lineRule="exact"/>
              <w:jc w:val="center"/>
              <w:rPr>
                <w:rFonts w:hint="eastAsia" w:ascii="宋体" w:hAnsi="宋体" w:cs="宋体"/>
                <w:color w:val="auto"/>
                <w:szCs w:val="21"/>
                <w:highlight w:val="none"/>
              </w:rPr>
            </w:pPr>
          </w:p>
        </w:tc>
        <w:tc>
          <w:tcPr>
            <w:tcW w:w="1710" w:type="dxa"/>
            <w:tcBorders>
              <w:top w:val="single" w:color="auto" w:sz="4" w:space="0"/>
              <w:bottom w:val="single" w:color="auto" w:sz="4" w:space="0"/>
              <w:tl2br w:val="nil"/>
              <w:tr2bl w:val="nil"/>
            </w:tcBorders>
            <w:tcMar>
              <w:left w:w="108" w:type="dxa"/>
              <w:right w:w="108" w:type="dxa"/>
            </w:tcMar>
            <w:vAlign w:val="center"/>
          </w:tcPr>
          <w:p w14:paraId="69B4E3A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055" w:type="dxa"/>
            <w:tcBorders>
              <w:top w:val="single" w:color="auto" w:sz="4" w:space="0"/>
              <w:bottom w:val="single" w:color="auto" w:sz="4" w:space="0"/>
              <w:tl2br w:val="nil"/>
              <w:tr2bl w:val="nil"/>
            </w:tcBorders>
            <w:tcMar>
              <w:left w:w="108" w:type="dxa"/>
              <w:right w:w="108" w:type="dxa"/>
            </w:tcMar>
            <w:vAlign w:val="center"/>
          </w:tcPr>
          <w:p w14:paraId="72C3B4D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312" w:type="dxa"/>
            <w:tcBorders>
              <w:top w:val="single" w:color="auto" w:sz="4" w:space="0"/>
              <w:bottom w:val="single" w:color="auto" w:sz="4" w:space="0"/>
              <w:tl2br w:val="nil"/>
              <w:tr2bl w:val="nil"/>
            </w:tcBorders>
            <w:tcMar>
              <w:left w:w="108" w:type="dxa"/>
              <w:right w:w="108" w:type="dxa"/>
            </w:tcMar>
            <w:vAlign w:val="center"/>
          </w:tcPr>
          <w:p w14:paraId="7EFAE78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r>
      <w:tr w14:paraId="13B7FD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9" w:hRule="atLeast"/>
          <w:jc w:val="center"/>
        </w:trPr>
        <w:tc>
          <w:tcPr>
            <w:tcW w:w="571" w:type="pct"/>
            <w:vMerge w:val="continue"/>
            <w:tcBorders>
              <w:tl2br w:val="nil"/>
              <w:tr2bl w:val="nil"/>
            </w:tcBorders>
            <w:tcMar>
              <w:left w:w="108" w:type="dxa"/>
              <w:right w:w="108" w:type="dxa"/>
            </w:tcMar>
            <w:vAlign w:val="center"/>
          </w:tcPr>
          <w:p w14:paraId="53773D52">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3DB0254F">
            <w:pPr>
              <w:spacing w:line="320" w:lineRule="exact"/>
              <w:jc w:val="center"/>
              <w:rPr>
                <w:rFonts w:hint="eastAsia" w:ascii="宋体" w:hAnsi="宋体" w:cs="宋体"/>
                <w:color w:val="auto"/>
                <w:szCs w:val="21"/>
                <w:highlight w:val="none"/>
              </w:rPr>
            </w:pPr>
          </w:p>
        </w:tc>
        <w:tc>
          <w:tcPr>
            <w:tcW w:w="1710" w:type="dxa"/>
            <w:tcBorders>
              <w:top w:val="single" w:color="auto" w:sz="4" w:space="0"/>
              <w:bottom w:val="single" w:color="auto" w:sz="4" w:space="0"/>
              <w:tl2br w:val="nil"/>
              <w:tr2bl w:val="nil"/>
            </w:tcBorders>
            <w:tcMar>
              <w:left w:w="108" w:type="dxa"/>
              <w:right w:w="108" w:type="dxa"/>
            </w:tcMar>
            <w:vAlign w:val="center"/>
          </w:tcPr>
          <w:p w14:paraId="460DA1F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op w:val="single" w:color="auto" w:sz="4" w:space="0"/>
              <w:bottom w:val="single" w:color="auto" w:sz="4" w:space="0"/>
              <w:tl2br w:val="nil"/>
              <w:tr2bl w:val="nil"/>
            </w:tcBorders>
            <w:tcMar>
              <w:left w:w="108" w:type="dxa"/>
              <w:right w:w="108" w:type="dxa"/>
            </w:tcMar>
            <w:vAlign w:val="center"/>
          </w:tcPr>
          <w:p w14:paraId="4B23215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op w:val="single" w:color="auto" w:sz="4" w:space="0"/>
              <w:bottom w:val="single" w:color="auto" w:sz="4" w:space="0"/>
              <w:tl2br w:val="nil"/>
              <w:tr2bl w:val="nil"/>
            </w:tcBorders>
            <w:tcMar>
              <w:left w:w="108" w:type="dxa"/>
              <w:right w:w="108" w:type="dxa"/>
            </w:tcMar>
            <w:vAlign w:val="center"/>
          </w:tcPr>
          <w:p w14:paraId="2E1963C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142794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2" w:hRule="atLeast"/>
          <w:jc w:val="center"/>
        </w:trPr>
        <w:tc>
          <w:tcPr>
            <w:tcW w:w="571" w:type="pct"/>
            <w:vMerge w:val="continue"/>
            <w:tcBorders>
              <w:tl2br w:val="nil"/>
              <w:tr2bl w:val="nil"/>
            </w:tcBorders>
            <w:tcMar>
              <w:left w:w="108" w:type="dxa"/>
              <w:right w:w="108" w:type="dxa"/>
            </w:tcMar>
            <w:vAlign w:val="center"/>
          </w:tcPr>
          <w:p w14:paraId="4A0CB38F">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0AC4BEF7">
            <w:pPr>
              <w:spacing w:line="320" w:lineRule="exact"/>
              <w:jc w:val="center"/>
              <w:rPr>
                <w:rFonts w:hint="eastAsia" w:ascii="宋体" w:hAnsi="宋体" w:cs="宋体"/>
                <w:color w:val="auto"/>
                <w:szCs w:val="21"/>
                <w:highlight w:val="none"/>
              </w:rPr>
            </w:pPr>
          </w:p>
        </w:tc>
        <w:tc>
          <w:tcPr>
            <w:tcW w:w="1710" w:type="dxa"/>
            <w:tcBorders>
              <w:top w:val="single" w:color="auto" w:sz="4" w:space="0"/>
              <w:tl2br w:val="nil"/>
              <w:tr2bl w:val="nil"/>
            </w:tcBorders>
            <w:tcMar>
              <w:left w:w="108" w:type="dxa"/>
              <w:right w:w="108" w:type="dxa"/>
            </w:tcMar>
            <w:vAlign w:val="center"/>
          </w:tcPr>
          <w:p w14:paraId="7A3E291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op w:val="single" w:color="auto" w:sz="4" w:space="0"/>
              <w:tl2br w:val="nil"/>
              <w:tr2bl w:val="nil"/>
            </w:tcBorders>
            <w:tcMar>
              <w:left w:w="108" w:type="dxa"/>
              <w:right w:w="108" w:type="dxa"/>
            </w:tcMar>
            <w:vAlign w:val="center"/>
          </w:tcPr>
          <w:p w14:paraId="2ADFE81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op w:val="single" w:color="auto" w:sz="4" w:space="0"/>
              <w:tl2br w:val="nil"/>
              <w:tr2bl w:val="nil"/>
            </w:tcBorders>
            <w:tcMar>
              <w:left w:w="108" w:type="dxa"/>
              <w:right w:w="108" w:type="dxa"/>
            </w:tcMar>
            <w:vAlign w:val="center"/>
          </w:tcPr>
          <w:p w14:paraId="69EC822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308E99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3BCA93F6">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62863602">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rPr>
              <w:t>信用评价</w:t>
            </w:r>
            <w:r>
              <w:rPr>
                <w:rFonts w:hint="eastAsia" w:ascii="宋体" w:hAnsi="宋体" w:cs="宋体"/>
                <w:color w:val="auto"/>
                <w:szCs w:val="21"/>
                <w:highlight w:val="none"/>
                <w:lang w:eastAsia="zh"/>
              </w:rPr>
              <w:t>加分</w:t>
            </w:r>
          </w:p>
        </w:tc>
        <w:tc>
          <w:tcPr>
            <w:tcW w:w="930" w:type="pct"/>
            <w:tcBorders>
              <w:tl2br w:val="nil"/>
              <w:tr2bl w:val="nil"/>
            </w:tcBorders>
            <w:tcMar>
              <w:left w:w="108" w:type="dxa"/>
              <w:right w:w="108" w:type="dxa"/>
            </w:tcMar>
            <w:vAlign w:val="center"/>
          </w:tcPr>
          <w:p w14:paraId="7D8C9249">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17CCF1C4">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CEA9F19">
            <w:pPr>
              <w:spacing w:line="320" w:lineRule="exact"/>
              <w:jc w:val="center"/>
              <w:rPr>
                <w:rFonts w:hint="eastAsia" w:ascii="宋体" w:hAnsi="宋体" w:cs="宋体"/>
                <w:color w:val="auto"/>
                <w:szCs w:val="21"/>
                <w:highlight w:val="none"/>
              </w:rPr>
            </w:pPr>
          </w:p>
        </w:tc>
      </w:tr>
      <w:tr w14:paraId="5A4BF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55295A34">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085F5290">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信用处罚扣分</w:t>
            </w:r>
          </w:p>
        </w:tc>
        <w:tc>
          <w:tcPr>
            <w:tcW w:w="930" w:type="pct"/>
            <w:tcBorders>
              <w:tl2br w:val="nil"/>
              <w:tr2bl w:val="nil"/>
            </w:tcBorders>
            <w:tcMar>
              <w:left w:w="108" w:type="dxa"/>
              <w:right w:w="108" w:type="dxa"/>
            </w:tcMar>
            <w:vAlign w:val="center"/>
          </w:tcPr>
          <w:p w14:paraId="7D5AF90E">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0B35DB6E">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31816CD4">
            <w:pPr>
              <w:spacing w:line="320" w:lineRule="exact"/>
              <w:jc w:val="center"/>
              <w:rPr>
                <w:rFonts w:hint="eastAsia" w:ascii="宋体" w:hAnsi="宋体" w:cs="宋体"/>
                <w:color w:val="auto"/>
                <w:szCs w:val="21"/>
                <w:highlight w:val="none"/>
              </w:rPr>
            </w:pPr>
          </w:p>
        </w:tc>
      </w:tr>
      <w:tr w14:paraId="6674A0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571" w:type="pct"/>
            <w:vMerge w:val="continue"/>
            <w:tcBorders>
              <w:tl2br w:val="nil"/>
              <w:tr2bl w:val="nil"/>
            </w:tcBorders>
            <w:tcMar>
              <w:left w:w="108" w:type="dxa"/>
              <w:right w:w="108" w:type="dxa"/>
            </w:tcMar>
            <w:vAlign w:val="center"/>
          </w:tcPr>
          <w:p w14:paraId="70540B40">
            <w:pPr>
              <w:spacing w:line="320" w:lineRule="exact"/>
              <w:jc w:val="center"/>
              <w:rPr>
                <w:rFonts w:hint="eastAsia" w:ascii="宋体" w:hAnsi="宋体" w:cs="宋体"/>
                <w:color w:val="auto"/>
                <w:szCs w:val="21"/>
                <w:highlight w:val="none"/>
              </w:rPr>
            </w:pPr>
          </w:p>
        </w:tc>
        <w:tc>
          <w:tcPr>
            <w:tcW w:w="554" w:type="pct"/>
            <w:gridSpan w:val="2"/>
            <w:vMerge w:val="restart"/>
            <w:tcBorders>
              <w:right w:val="single" w:color="auto" w:sz="4" w:space="0"/>
              <w:tl2br w:val="nil"/>
              <w:tr2bl w:val="nil"/>
            </w:tcBorders>
            <w:tcMar>
              <w:left w:w="108" w:type="dxa"/>
              <w:right w:w="108" w:type="dxa"/>
            </w:tcMar>
            <w:vAlign w:val="center"/>
          </w:tcPr>
          <w:p w14:paraId="479BE244">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奖项加分（如有）</w:t>
            </w:r>
          </w:p>
        </w:tc>
        <w:tc>
          <w:tcPr>
            <w:tcW w:w="565" w:type="pct"/>
            <w:tcBorders>
              <w:left w:val="single" w:color="auto" w:sz="4" w:space="0"/>
              <w:bottom w:val="single" w:color="auto" w:sz="4" w:space="0"/>
              <w:tl2br w:val="nil"/>
              <w:tr2bl w:val="nil"/>
            </w:tcBorders>
            <w:tcMar>
              <w:left w:w="108" w:type="dxa"/>
              <w:right w:w="108" w:type="dxa"/>
            </w:tcMar>
            <w:vAlign w:val="center"/>
          </w:tcPr>
          <w:p w14:paraId="19EAF08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获奖名称</w:t>
            </w:r>
          </w:p>
        </w:tc>
        <w:tc>
          <w:tcPr>
            <w:tcW w:w="930" w:type="pct"/>
            <w:tcBorders>
              <w:bottom w:val="single" w:color="auto" w:sz="4" w:space="0"/>
              <w:tl2br w:val="nil"/>
              <w:tr2bl w:val="nil"/>
            </w:tcBorders>
            <w:tcMar>
              <w:left w:w="108" w:type="dxa"/>
              <w:right w:w="108" w:type="dxa"/>
            </w:tcMar>
            <w:vAlign w:val="center"/>
          </w:tcPr>
          <w:p w14:paraId="2517FF1E">
            <w:pPr>
              <w:spacing w:line="320" w:lineRule="exact"/>
              <w:jc w:val="center"/>
              <w:rPr>
                <w:rFonts w:hint="eastAsia" w:ascii="宋体" w:hAnsi="宋体" w:cs="宋体"/>
                <w:color w:val="auto"/>
                <w:szCs w:val="21"/>
                <w:highlight w:val="none"/>
              </w:rPr>
            </w:pPr>
          </w:p>
        </w:tc>
        <w:tc>
          <w:tcPr>
            <w:tcW w:w="1118" w:type="pct"/>
            <w:tcBorders>
              <w:bottom w:val="single" w:color="auto" w:sz="4" w:space="0"/>
              <w:tl2br w:val="nil"/>
              <w:tr2bl w:val="nil"/>
            </w:tcBorders>
            <w:tcMar>
              <w:left w:w="108" w:type="dxa"/>
              <w:right w:w="108" w:type="dxa"/>
            </w:tcMar>
            <w:vAlign w:val="center"/>
          </w:tcPr>
          <w:p w14:paraId="6F2A3F81">
            <w:pPr>
              <w:spacing w:line="320" w:lineRule="exact"/>
              <w:jc w:val="center"/>
              <w:rPr>
                <w:rFonts w:hint="eastAsia" w:ascii="宋体" w:hAnsi="宋体" w:cs="宋体"/>
                <w:color w:val="auto"/>
                <w:szCs w:val="21"/>
                <w:highlight w:val="none"/>
              </w:rPr>
            </w:pPr>
          </w:p>
        </w:tc>
        <w:tc>
          <w:tcPr>
            <w:tcW w:w="1258" w:type="pct"/>
            <w:tcBorders>
              <w:bottom w:val="single" w:color="auto" w:sz="4" w:space="0"/>
              <w:tl2br w:val="nil"/>
              <w:tr2bl w:val="nil"/>
            </w:tcBorders>
            <w:tcMar>
              <w:left w:w="108" w:type="dxa"/>
              <w:right w:w="108" w:type="dxa"/>
            </w:tcMar>
            <w:vAlign w:val="center"/>
          </w:tcPr>
          <w:p w14:paraId="62D7DD78">
            <w:pPr>
              <w:spacing w:line="320" w:lineRule="exact"/>
              <w:jc w:val="center"/>
              <w:rPr>
                <w:rFonts w:hint="eastAsia" w:ascii="宋体" w:hAnsi="宋体" w:cs="宋体"/>
                <w:color w:val="auto"/>
                <w:szCs w:val="21"/>
                <w:highlight w:val="none"/>
              </w:rPr>
            </w:pPr>
          </w:p>
        </w:tc>
      </w:tr>
      <w:tr w14:paraId="41E5D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571" w:type="pct"/>
            <w:vMerge w:val="continue"/>
            <w:tcBorders>
              <w:tl2br w:val="nil"/>
              <w:tr2bl w:val="nil"/>
            </w:tcBorders>
            <w:tcMar>
              <w:left w:w="108" w:type="dxa"/>
              <w:right w:w="108" w:type="dxa"/>
            </w:tcMar>
            <w:vAlign w:val="center"/>
          </w:tcPr>
          <w:p w14:paraId="53DFD492">
            <w:pPr>
              <w:spacing w:line="320" w:lineRule="exact"/>
              <w:jc w:val="center"/>
              <w:rPr>
                <w:rFonts w:hint="eastAsia" w:ascii="宋体" w:hAnsi="宋体" w:cs="宋体"/>
                <w:color w:val="auto"/>
                <w:szCs w:val="21"/>
                <w:highlight w:val="none"/>
              </w:rPr>
            </w:pPr>
          </w:p>
        </w:tc>
        <w:tc>
          <w:tcPr>
            <w:tcW w:w="554" w:type="pct"/>
            <w:gridSpan w:val="2"/>
            <w:vMerge w:val="continue"/>
            <w:tcBorders>
              <w:bottom w:val="single" w:color="auto" w:sz="4" w:space="0"/>
              <w:right w:val="single" w:color="auto" w:sz="4" w:space="0"/>
              <w:tl2br w:val="nil"/>
              <w:tr2bl w:val="nil"/>
            </w:tcBorders>
            <w:tcMar>
              <w:left w:w="108" w:type="dxa"/>
              <w:right w:w="108" w:type="dxa"/>
            </w:tcMar>
            <w:vAlign w:val="center"/>
          </w:tcPr>
          <w:p w14:paraId="6A08DA6F">
            <w:pPr>
              <w:spacing w:line="320" w:lineRule="exact"/>
              <w:jc w:val="center"/>
              <w:rPr>
                <w:rFonts w:hint="eastAsia" w:ascii="宋体" w:hAnsi="宋体" w:cs="宋体"/>
                <w:color w:val="auto"/>
                <w:szCs w:val="21"/>
                <w:highlight w:val="none"/>
                <w:lang w:eastAsia="zh"/>
              </w:rPr>
            </w:pP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299D576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获奖时间</w:t>
            </w:r>
          </w:p>
        </w:tc>
        <w:tc>
          <w:tcPr>
            <w:tcW w:w="930" w:type="pct"/>
            <w:tcBorders>
              <w:top w:val="single" w:color="auto" w:sz="4" w:space="0"/>
              <w:tl2br w:val="nil"/>
              <w:tr2bl w:val="nil"/>
            </w:tcBorders>
            <w:tcMar>
              <w:left w:w="108" w:type="dxa"/>
              <w:right w:w="108" w:type="dxa"/>
            </w:tcMar>
            <w:vAlign w:val="center"/>
          </w:tcPr>
          <w:p w14:paraId="0900E263">
            <w:pPr>
              <w:spacing w:line="320" w:lineRule="exact"/>
              <w:jc w:val="center"/>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58BF3888">
            <w:pPr>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715B9FDD">
            <w:pPr>
              <w:spacing w:line="320" w:lineRule="exact"/>
              <w:jc w:val="center"/>
              <w:rPr>
                <w:rFonts w:hint="eastAsia" w:ascii="宋体" w:hAnsi="宋体" w:cs="宋体"/>
                <w:color w:val="auto"/>
                <w:szCs w:val="21"/>
                <w:highlight w:val="none"/>
              </w:rPr>
            </w:pPr>
          </w:p>
        </w:tc>
      </w:tr>
      <w:tr w14:paraId="713F3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571" w:type="pct"/>
            <w:vMerge w:val="continue"/>
            <w:tcBorders>
              <w:tl2br w:val="nil"/>
              <w:tr2bl w:val="nil"/>
            </w:tcBorders>
            <w:tcMar>
              <w:left w:w="108" w:type="dxa"/>
              <w:right w:w="108" w:type="dxa"/>
            </w:tcMar>
            <w:vAlign w:val="center"/>
          </w:tcPr>
          <w:p w14:paraId="3FDF8D7D">
            <w:pPr>
              <w:spacing w:line="320" w:lineRule="exact"/>
              <w:jc w:val="center"/>
              <w:rPr>
                <w:rFonts w:hint="eastAsia" w:ascii="宋体" w:hAnsi="宋体" w:cs="宋体"/>
                <w:color w:val="auto"/>
                <w:szCs w:val="21"/>
                <w:highlight w:val="none"/>
              </w:rPr>
            </w:pPr>
          </w:p>
        </w:tc>
        <w:tc>
          <w:tcPr>
            <w:tcW w:w="1120" w:type="pct"/>
            <w:gridSpan w:val="3"/>
            <w:tcBorders>
              <w:top w:val="single" w:color="auto" w:sz="4" w:space="0"/>
              <w:tl2br w:val="nil"/>
              <w:tr2bl w:val="nil"/>
            </w:tcBorders>
            <w:tcMar>
              <w:left w:w="108" w:type="dxa"/>
              <w:right w:w="108" w:type="dxa"/>
            </w:tcMar>
            <w:vAlign w:val="center"/>
          </w:tcPr>
          <w:p w14:paraId="16F9884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930" w:type="pct"/>
            <w:tcBorders>
              <w:top w:val="single" w:color="auto" w:sz="4" w:space="0"/>
              <w:tl2br w:val="nil"/>
              <w:tr2bl w:val="nil"/>
            </w:tcBorders>
            <w:tcMar>
              <w:left w:w="108" w:type="dxa"/>
              <w:right w:w="108" w:type="dxa"/>
            </w:tcMar>
            <w:vAlign w:val="center"/>
          </w:tcPr>
          <w:p w14:paraId="03FC3813">
            <w:pPr>
              <w:spacing w:line="320" w:lineRule="exact"/>
              <w:jc w:val="center"/>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07007033">
            <w:pPr>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5347100C">
            <w:pPr>
              <w:spacing w:line="320" w:lineRule="exact"/>
              <w:jc w:val="center"/>
              <w:rPr>
                <w:rFonts w:hint="eastAsia" w:ascii="宋体" w:hAnsi="宋体" w:cs="宋体"/>
                <w:color w:val="auto"/>
                <w:szCs w:val="21"/>
                <w:highlight w:val="none"/>
              </w:rPr>
            </w:pPr>
          </w:p>
        </w:tc>
      </w:tr>
      <w:tr w14:paraId="75308B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571" w:type="pct"/>
            <w:vMerge w:val="continue"/>
            <w:tcBorders>
              <w:tl2br w:val="nil"/>
              <w:tr2bl w:val="nil"/>
            </w:tcBorders>
            <w:tcMar>
              <w:left w:w="108" w:type="dxa"/>
              <w:right w:w="108" w:type="dxa"/>
            </w:tcMar>
            <w:vAlign w:val="center"/>
          </w:tcPr>
          <w:p w14:paraId="486A4833">
            <w:pPr>
              <w:spacing w:line="320" w:lineRule="exact"/>
              <w:jc w:val="center"/>
              <w:rPr>
                <w:rFonts w:hint="eastAsia" w:ascii="宋体" w:hAnsi="宋体" w:cs="宋体"/>
                <w:color w:val="auto"/>
                <w:szCs w:val="21"/>
                <w:highlight w:val="none"/>
              </w:rPr>
            </w:pPr>
          </w:p>
        </w:tc>
        <w:tc>
          <w:tcPr>
            <w:tcW w:w="554" w:type="pct"/>
            <w:gridSpan w:val="2"/>
            <w:vMerge w:val="restart"/>
            <w:tcBorders>
              <w:top w:val="single" w:color="auto" w:sz="4" w:space="0"/>
              <w:right w:val="single" w:color="auto" w:sz="4" w:space="0"/>
              <w:tl2br w:val="nil"/>
              <w:tr2bl w:val="nil"/>
            </w:tcBorders>
            <w:tcMar>
              <w:left w:w="108" w:type="dxa"/>
              <w:right w:w="108" w:type="dxa"/>
            </w:tcMar>
            <w:vAlign w:val="center"/>
          </w:tcPr>
          <w:p w14:paraId="161E930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发明专利加分</w:t>
            </w:r>
            <w:r>
              <w:rPr>
                <w:rFonts w:hint="eastAsia" w:ascii="宋体" w:hAnsi="宋体" w:cs="宋体"/>
                <w:color w:val="auto"/>
                <w:szCs w:val="21"/>
                <w:highlight w:val="none"/>
              </w:rPr>
              <w:t>（不适用）</w:t>
            </w: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0F83FCF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专利名称 </w:t>
            </w:r>
          </w:p>
        </w:tc>
        <w:tc>
          <w:tcPr>
            <w:tcW w:w="930" w:type="pct"/>
            <w:tcBorders>
              <w:top w:val="single" w:color="auto" w:sz="4" w:space="0"/>
              <w:bottom w:val="single" w:color="auto" w:sz="4" w:space="0"/>
              <w:tl2br w:val="nil"/>
              <w:tr2bl w:val="nil"/>
            </w:tcBorders>
            <w:tcMar>
              <w:left w:w="108" w:type="dxa"/>
              <w:right w:w="108" w:type="dxa"/>
            </w:tcMar>
            <w:vAlign w:val="center"/>
          </w:tcPr>
          <w:p w14:paraId="19FE534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bottom w:val="single" w:color="auto" w:sz="4" w:space="0"/>
              <w:tl2br w:val="nil"/>
              <w:tr2bl w:val="nil"/>
            </w:tcBorders>
            <w:tcMar>
              <w:left w:w="108" w:type="dxa"/>
              <w:right w:w="108" w:type="dxa"/>
            </w:tcMar>
            <w:vAlign w:val="center"/>
          </w:tcPr>
          <w:p w14:paraId="6A4A905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bottom w:val="single" w:color="auto" w:sz="4" w:space="0"/>
              <w:tl2br w:val="nil"/>
              <w:tr2bl w:val="nil"/>
            </w:tcBorders>
            <w:tcMar>
              <w:left w:w="108" w:type="dxa"/>
              <w:right w:w="108" w:type="dxa"/>
            </w:tcMar>
            <w:vAlign w:val="center"/>
          </w:tcPr>
          <w:p w14:paraId="0D33BB2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44D83D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6" w:hRule="atLeast"/>
          <w:jc w:val="center"/>
        </w:trPr>
        <w:tc>
          <w:tcPr>
            <w:tcW w:w="571" w:type="pct"/>
            <w:vMerge w:val="continue"/>
            <w:tcBorders>
              <w:tl2br w:val="nil"/>
              <w:tr2bl w:val="nil"/>
            </w:tcBorders>
            <w:tcMar>
              <w:left w:w="108" w:type="dxa"/>
              <w:right w:w="108" w:type="dxa"/>
            </w:tcMar>
            <w:vAlign w:val="center"/>
          </w:tcPr>
          <w:p w14:paraId="2CD7E8EB">
            <w:pPr>
              <w:spacing w:line="320" w:lineRule="exact"/>
              <w:jc w:val="center"/>
              <w:rPr>
                <w:rFonts w:hint="eastAsia" w:ascii="宋体" w:hAnsi="宋体" w:cs="宋体"/>
                <w:color w:val="auto"/>
                <w:szCs w:val="21"/>
                <w:highlight w:val="none"/>
              </w:rPr>
            </w:pPr>
          </w:p>
        </w:tc>
        <w:tc>
          <w:tcPr>
            <w:tcW w:w="554" w:type="pct"/>
            <w:gridSpan w:val="2"/>
            <w:vMerge w:val="continue"/>
            <w:tcBorders>
              <w:bottom w:val="single" w:color="auto" w:sz="4" w:space="0"/>
              <w:right w:val="single" w:color="auto" w:sz="4" w:space="0"/>
              <w:tl2br w:val="nil"/>
              <w:tr2bl w:val="nil"/>
            </w:tcBorders>
            <w:tcMar>
              <w:left w:w="108" w:type="dxa"/>
              <w:right w:w="108" w:type="dxa"/>
            </w:tcMar>
            <w:vAlign w:val="center"/>
          </w:tcPr>
          <w:p w14:paraId="7871509E">
            <w:pPr>
              <w:spacing w:line="320" w:lineRule="exact"/>
              <w:jc w:val="center"/>
              <w:rPr>
                <w:rFonts w:hint="eastAsia" w:ascii="宋体" w:hAnsi="宋体" w:cs="宋体"/>
                <w:color w:val="auto"/>
                <w:szCs w:val="21"/>
                <w:highlight w:val="none"/>
                <w:lang w:eastAsia="zh"/>
              </w:rPr>
            </w:pP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0BE9873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时间</w:t>
            </w:r>
          </w:p>
        </w:tc>
        <w:tc>
          <w:tcPr>
            <w:tcW w:w="930" w:type="pct"/>
            <w:tcBorders>
              <w:top w:val="single" w:color="auto" w:sz="4" w:space="0"/>
              <w:tl2br w:val="nil"/>
              <w:tr2bl w:val="nil"/>
            </w:tcBorders>
            <w:tcMar>
              <w:left w:w="108" w:type="dxa"/>
              <w:right w:w="108" w:type="dxa"/>
            </w:tcMar>
            <w:vAlign w:val="center"/>
          </w:tcPr>
          <w:p w14:paraId="048DCE7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tl2br w:val="nil"/>
              <w:tr2bl w:val="nil"/>
            </w:tcBorders>
            <w:tcMar>
              <w:left w:w="108" w:type="dxa"/>
              <w:right w:w="108" w:type="dxa"/>
            </w:tcMar>
            <w:vAlign w:val="center"/>
          </w:tcPr>
          <w:p w14:paraId="0B5E18F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tl2br w:val="nil"/>
              <w:tr2bl w:val="nil"/>
            </w:tcBorders>
            <w:tcMar>
              <w:left w:w="108" w:type="dxa"/>
              <w:right w:w="108" w:type="dxa"/>
            </w:tcMar>
            <w:vAlign w:val="center"/>
          </w:tcPr>
          <w:p w14:paraId="61B67D1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4FC880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3" w:hRule="atLeast"/>
          <w:jc w:val="center"/>
        </w:trPr>
        <w:tc>
          <w:tcPr>
            <w:tcW w:w="571" w:type="pct"/>
            <w:vMerge w:val="continue"/>
            <w:tcBorders>
              <w:tl2br w:val="nil"/>
              <w:tr2bl w:val="nil"/>
            </w:tcBorders>
            <w:tcMar>
              <w:left w:w="108" w:type="dxa"/>
              <w:right w:w="108" w:type="dxa"/>
            </w:tcMar>
            <w:vAlign w:val="center"/>
          </w:tcPr>
          <w:p w14:paraId="21331135">
            <w:pPr>
              <w:spacing w:line="320" w:lineRule="exact"/>
              <w:jc w:val="center"/>
              <w:rPr>
                <w:rFonts w:hint="eastAsia" w:ascii="宋体" w:hAnsi="宋体" w:cs="宋体"/>
                <w:color w:val="auto"/>
                <w:szCs w:val="21"/>
                <w:highlight w:val="none"/>
              </w:rPr>
            </w:pPr>
          </w:p>
        </w:tc>
        <w:tc>
          <w:tcPr>
            <w:tcW w:w="1120" w:type="pct"/>
            <w:gridSpan w:val="3"/>
            <w:tcBorders>
              <w:top w:val="single" w:color="auto" w:sz="4" w:space="0"/>
              <w:tl2br w:val="nil"/>
              <w:tr2bl w:val="nil"/>
            </w:tcBorders>
            <w:tcMar>
              <w:left w:w="108" w:type="dxa"/>
              <w:right w:w="108" w:type="dxa"/>
            </w:tcMar>
            <w:vAlign w:val="center"/>
          </w:tcPr>
          <w:p w14:paraId="75ABBDC1">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rPr>
              <w:t xml:space="preserve"> ....</w:t>
            </w:r>
          </w:p>
        </w:tc>
        <w:tc>
          <w:tcPr>
            <w:tcW w:w="930" w:type="pct"/>
            <w:tcBorders>
              <w:top w:val="single" w:color="auto" w:sz="4" w:space="0"/>
              <w:tl2br w:val="nil"/>
              <w:tr2bl w:val="nil"/>
            </w:tcBorders>
            <w:tcMar>
              <w:left w:w="108" w:type="dxa"/>
              <w:right w:w="108" w:type="dxa"/>
            </w:tcMar>
            <w:vAlign w:val="center"/>
          </w:tcPr>
          <w:p w14:paraId="54A7705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tl2br w:val="nil"/>
              <w:tr2bl w:val="nil"/>
            </w:tcBorders>
            <w:tcMar>
              <w:left w:w="108" w:type="dxa"/>
              <w:right w:w="108" w:type="dxa"/>
            </w:tcMar>
            <w:vAlign w:val="center"/>
          </w:tcPr>
          <w:p w14:paraId="3B6ED19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tl2br w:val="nil"/>
              <w:tr2bl w:val="nil"/>
            </w:tcBorders>
            <w:tcMar>
              <w:left w:w="108" w:type="dxa"/>
              <w:right w:w="108" w:type="dxa"/>
            </w:tcMar>
            <w:vAlign w:val="center"/>
          </w:tcPr>
          <w:p w14:paraId="4E8E321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691C6A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32E9CD7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120" w:type="pct"/>
            <w:gridSpan w:val="3"/>
            <w:tcBorders>
              <w:tl2br w:val="nil"/>
              <w:tr2bl w:val="nil"/>
            </w:tcBorders>
            <w:tcMar>
              <w:left w:w="108" w:type="dxa"/>
              <w:right w:w="108" w:type="dxa"/>
            </w:tcMar>
            <w:vAlign w:val="center"/>
          </w:tcPr>
          <w:p w14:paraId="56E0D9C6">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12FCA96D">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3F5392F1">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AF36D1A">
            <w:pPr>
              <w:spacing w:line="320" w:lineRule="exact"/>
              <w:jc w:val="center"/>
              <w:rPr>
                <w:rFonts w:hint="eastAsia" w:ascii="宋体" w:hAnsi="宋体" w:cs="宋体"/>
                <w:color w:val="auto"/>
                <w:szCs w:val="21"/>
                <w:highlight w:val="none"/>
              </w:rPr>
            </w:pPr>
          </w:p>
        </w:tc>
      </w:tr>
      <w:tr w14:paraId="68AC8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1" w:hRule="atLeast"/>
          <w:jc w:val="center"/>
        </w:trPr>
        <w:tc>
          <w:tcPr>
            <w:tcW w:w="571" w:type="pct"/>
            <w:vMerge w:val="continue"/>
            <w:tcBorders>
              <w:tl2br w:val="nil"/>
              <w:tr2bl w:val="nil"/>
            </w:tcBorders>
            <w:tcMar>
              <w:left w:w="108" w:type="dxa"/>
              <w:right w:w="108" w:type="dxa"/>
            </w:tcMar>
            <w:vAlign w:val="center"/>
          </w:tcPr>
          <w:p w14:paraId="1D96BFBD">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5D318E0E">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建造师证书</w:t>
            </w:r>
          </w:p>
        </w:tc>
        <w:tc>
          <w:tcPr>
            <w:tcW w:w="700" w:type="pct"/>
            <w:gridSpan w:val="2"/>
            <w:tcBorders>
              <w:tl2br w:val="nil"/>
              <w:tr2bl w:val="nil"/>
            </w:tcBorders>
            <w:tcMar>
              <w:left w:w="108" w:type="dxa"/>
              <w:right w:w="108" w:type="dxa"/>
            </w:tcMar>
            <w:vAlign w:val="center"/>
          </w:tcPr>
          <w:p w14:paraId="554AA217">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专业</w:t>
            </w:r>
          </w:p>
        </w:tc>
        <w:tc>
          <w:tcPr>
            <w:tcW w:w="930" w:type="pct"/>
            <w:tcBorders>
              <w:tl2br w:val="nil"/>
              <w:tr2bl w:val="nil"/>
            </w:tcBorders>
            <w:tcMar>
              <w:left w:w="108" w:type="dxa"/>
              <w:right w:w="108" w:type="dxa"/>
            </w:tcMar>
            <w:vAlign w:val="center"/>
          </w:tcPr>
          <w:p w14:paraId="6475F351">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6CEBD3B">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1038A652">
            <w:pPr>
              <w:spacing w:line="320" w:lineRule="exact"/>
              <w:jc w:val="center"/>
              <w:rPr>
                <w:rFonts w:hint="eastAsia" w:ascii="宋体" w:hAnsi="宋体" w:cs="宋体"/>
                <w:color w:val="auto"/>
                <w:szCs w:val="21"/>
                <w:highlight w:val="none"/>
              </w:rPr>
            </w:pPr>
          </w:p>
        </w:tc>
      </w:tr>
      <w:tr w14:paraId="7B305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2" w:hRule="atLeast"/>
          <w:jc w:val="center"/>
        </w:trPr>
        <w:tc>
          <w:tcPr>
            <w:tcW w:w="571" w:type="pct"/>
            <w:vMerge w:val="continue"/>
            <w:tcBorders>
              <w:tl2br w:val="nil"/>
              <w:tr2bl w:val="nil"/>
            </w:tcBorders>
            <w:tcMar>
              <w:left w:w="108" w:type="dxa"/>
              <w:right w:w="108" w:type="dxa"/>
            </w:tcMar>
            <w:vAlign w:val="center"/>
          </w:tcPr>
          <w:p w14:paraId="5BA8101E">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7858DB41">
            <w:pPr>
              <w:widowControl/>
              <w:spacing w:line="320" w:lineRule="exact"/>
              <w:jc w:val="center"/>
              <w:rPr>
                <w:rFonts w:hint="eastAsia" w:ascii="宋体" w:hAnsi="宋体" w:cs="宋体"/>
                <w:color w:val="auto"/>
                <w:kern w:val="0"/>
                <w:szCs w:val="21"/>
                <w:highlight w:val="none"/>
                <w:lang w:bidi="ar"/>
              </w:rPr>
            </w:pPr>
          </w:p>
        </w:tc>
        <w:tc>
          <w:tcPr>
            <w:tcW w:w="700" w:type="pct"/>
            <w:gridSpan w:val="2"/>
            <w:tcBorders>
              <w:tl2br w:val="nil"/>
              <w:tr2bl w:val="nil"/>
            </w:tcBorders>
            <w:tcMar>
              <w:left w:w="108" w:type="dxa"/>
              <w:right w:w="108" w:type="dxa"/>
            </w:tcMar>
            <w:vAlign w:val="center"/>
          </w:tcPr>
          <w:p w14:paraId="32BCFF70">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级别</w:t>
            </w:r>
          </w:p>
        </w:tc>
        <w:tc>
          <w:tcPr>
            <w:tcW w:w="930" w:type="pct"/>
            <w:tcBorders>
              <w:tl2br w:val="nil"/>
              <w:tr2bl w:val="nil"/>
            </w:tcBorders>
            <w:tcMar>
              <w:left w:w="108" w:type="dxa"/>
              <w:right w:w="108" w:type="dxa"/>
            </w:tcMar>
            <w:vAlign w:val="center"/>
          </w:tcPr>
          <w:p w14:paraId="3FCF88D6">
            <w:pPr>
              <w:widowControl/>
              <w:jc w:val="left"/>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3EFDBA50">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E49ABA9">
            <w:pPr>
              <w:spacing w:line="320" w:lineRule="exact"/>
              <w:jc w:val="center"/>
              <w:rPr>
                <w:rFonts w:hint="eastAsia" w:ascii="宋体" w:hAnsi="宋体" w:cs="宋体"/>
                <w:color w:val="auto"/>
                <w:szCs w:val="21"/>
                <w:highlight w:val="none"/>
              </w:rPr>
            </w:pPr>
          </w:p>
        </w:tc>
      </w:tr>
      <w:tr w14:paraId="604B5F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8" w:hRule="atLeast"/>
          <w:jc w:val="center"/>
        </w:trPr>
        <w:tc>
          <w:tcPr>
            <w:tcW w:w="571" w:type="pct"/>
            <w:vMerge w:val="continue"/>
            <w:tcBorders>
              <w:tl2br w:val="nil"/>
              <w:tr2bl w:val="nil"/>
            </w:tcBorders>
            <w:tcMar>
              <w:left w:w="108" w:type="dxa"/>
              <w:right w:w="108" w:type="dxa"/>
            </w:tcMar>
            <w:vAlign w:val="center"/>
          </w:tcPr>
          <w:p w14:paraId="0C9C1407">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1CC55950">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职称证书（如有） </w:t>
            </w:r>
          </w:p>
        </w:tc>
        <w:tc>
          <w:tcPr>
            <w:tcW w:w="700" w:type="pct"/>
            <w:gridSpan w:val="2"/>
            <w:tcBorders>
              <w:bottom w:val="single" w:color="auto" w:sz="4" w:space="0"/>
              <w:tl2br w:val="nil"/>
              <w:tr2bl w:val="nil"/>
            </w:tcBorders>
            <w:tcMar>
              <w:left w:w="108" w:type="dxa"/>
              <w:right w:w="108" w:type="dxa"/>
            </w:tcMar>
            <w:vAlign w:val="center"/>
          </w:tcPr>
          <w:p w14:paraId="548924BC">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专业</w:t>
            </w:r>
          </w:p>
        </w:tc>
        <w:tc>
          <w:tcPr>
            <w:tcW w:w="930" w:type="pct"/>
            <w:tcBorders>
              <w:bottom w:val="single" w:color="auto" w:sz="4" w:space="0"/>
              <w:tl2br w:val="nil"/>
              <w:tr2bl w:val="nil"/>
            </w:tcBorders>
            <w:tcMar>
              <w:left w:w="108" w:type="dxa"/>
              <w:right w:w="108" w:type="dxa"/>
            </w:tcMar>
            <w:vAlign w:val="center"/>
          </w:tcPr>
          <w:p w14:paraId="18EC6730">
            <w:pPr>
              <w:widowControl/>
              <w:jc w:val="left"/>
              <w:rPr>
                <w:rFonts w:hint="eastAsia" w:ascii="宋体" w:hAnsi="宋体" w:cs="宋体"/>
                <w:color w:val="auto"/>
                <w:szCs w:val="21"/>
                <w:highlight w:val="none"/>
              </w:rPr>
            </w:pPr>
          </w:p>
        </w:tc>
        <w:tc>
          <w:tcPr>
            <w:tcW w:w="1118" w:type="pct"/>
            <w:tcBorders>
              <w:bottom w:val="single" w:color="auto" w:sz="4" w:space="0"/>
              <w:tl2br w:val="nil"/>
              <w:tr2bl w:val="nil"/>
            </w:tcBorders>
            <w:tcMar>
              <w:left w:w="108" w:type="dxa"/>
              <w:right w:w="108" w:type="dxa"/>
            </w:tcMar>
            <w:vAlign w:val="center"/>
          </w:tcPr>
          <w:p w14:paraId="65B6E562">
            <w:pPr>
              <w:widowControl/>
              <w:spacing w:line="320" w:lineRule="exact"/>
              <w:jc w:val="center"/>
              <w:rPr>
                <w:rFonts w:hint="eastAsia" w:ascii="宋体" w:hAnsi="宋体" w:cs="宋体"/>
                <w:color w:val="auto"/>
                <w:szCs w:val="21"/>
                <w:highlight w:val="none"/>
              </w:rPr>
            </w:pPr>
          </w:p>
        </w:tc>
        <w:tc>
          <w:tcPr>
            <w:tcW w:w="1258" w:type="pct"/>
            <w:tcBorders>
              <w:bottom w:val="single" w:color="auto" w:sz="4" w:space="0"/>
              <w:tl2br w:val="nil"/>
              <w:tr2bl w:val="nil"/>
            </w:tcBorders>
            <w:tcMar>
              <w:left w:w="108" w:type="dxa"/>
              <w:right w:w="108" w:type="dxa"/>
            </w:tcMar>
            <w:vAlign w:val="center"/>
          </w:tcPr>
          <w:p w14:paraId="1F8C6972">
            <w:pPr>
              <w:spacing w:line="320" w:lineRule="exact"/>
              <w:jc w:val="center"/>
              <w:rPr>
                <w:rFonts w:hint="eastAsia" w:ascii="宋体" w:hAnsi="宋体" w:cs="宋体"/>
                <w:color w:val="auto"/>
                <w:szCs w:val="21"/>
                <w:highlight w:val="none"/>
              </w:rPr>
            </w:pPr>
          </w:p>
        </w:tc>
      </w:tr>
      <w:tr w14:paraId="19445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2" w:hRule="atLeast"/>
          <w:jc w:val="center"/>
        </w:trPr>
        <w:tc>
          <w:tcPr>
            <w:tcW w:w="571" w:type="pct"/>
            <w:vMerge w:val="continue"/>
            <w:tcBorders>
              <w:tl2br w:val="nil"/>
              <w:tr2bl w:val="nil"/>
            </w:tcBorders>
            <w:tcMar>
              <w:left w:w="108" w:type="dxa"/>
              <w:right w:w="108" w:type="dxa"/>
            </w:tcMar>
            <w:vAlign w:val="center"/>
          </w:tcPr>
          <w:p w14:paraId="545EE17B">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4C4FCDF0">
            <w:pPr>
              <w:widowControl/>
              <w:spacing w:line="320" w:lineRule="exact"/>
              <w:jc w:val="center"/>
              <w:rPr>
                <w:rFonts w:hint="eastAsia" w:ascii="宋体" w:hAnsi="宋体" w:cs="宋体"/>
                <w:color w:val="auto"/>
                <w:kern w:val="0"/>
                <w:szCs w:val="21"/>
                <w:highlight w:val="none"/>
                <w:lang w:bidi="ar"/>
              </w:rPr>
            </w:pPr>
          </w:p>
        </w:tc>
        <w:tc>
          <w:tcPr>
            <w:tcW w:w="700" w:type="pct"/>
            <w:gridSpan w:val="2"/>
            <w:tcBorders>
              <w:top w:val="single" w:color="auto" w:sz="4" w:space="0"/>
              <w:tl2br w:val="nil"/>
              <w:tr2bl w:val="nil"/>
            </w:tcBorders>
            <w:tcMar>
              <w:left w:w="108" w:type="dxa"/>
              <w:right w:w="108" w:type="dxa"/>
            </w:tcMar>
            <w:vAlign w:val="center"/>
          </w:tcPr>
          <w:p w14:paraId="7047FECB">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级别</w:t>
            </w:r>
          </w:p>
        </w:tc>
        <w:tc>
          <w:tcPr>
            <w:tcW w:w="930" w:type="pct"/>
            <w:tcBorders>
              <w:top w:val="single" w:color="auto" w:sz="4" w:space="0"/>
              <w:tl2br w:val="nil"/>
              <w:tr2bl w:val="nil"/>
            </w:tcBorders>
            <w:tcMar>
              <w:left w:w="108" w:type="dxa"/>
              <w:right w:w="108" w:type="dxa"/>
            </w:tcMar>
            <w:vAlign w:val="center"/>
          </w:tcPr>
          <w:p w14:paraId="1D548C23">
            <w:pPr>
              <w:widowControl/>
              <w:jc w:val="left"/>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7E279902">
            <w:pPr>
              <w:widowControl/>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4AEC5E62">
            <w:pPr>
              <w:spacing w:line="320" w:lineRule="exact"/>
              <w:jc w:val="center"/>
              <w:rPr>
                <w:rFonts w:hint="eastAsia" w:ascii="宋体" w:hAnsi="宋体" w:cs="宋体"/>
                <w:color w:val="auto"/>
                <w:szCs w:val="21"/>
                <w:highlight w:val="none"/>
              </w:rPr>
            </w:pPr>
          </w:p>
        </w:tc>
      </w:tr>
      <w:tr w14:paraId="25314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3CBC2C75">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32C42AB2">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（如有）</w:t>
            </w:r>
          </w:p>
        </w:tc>
        <w:tc>
          <w:tcPr>
            <w:tcW w:w="1710" w:type="dxa"/>
            <w:tcBorders>
              <w:tl2br w:val="nil"/>
              <w:tr2bl w:val="nil"/>
            </w:tcBorders>
            <w:tcMar>
              <w:left w:w="108" w:type="dxa"/>
              <w:right w:w="108" w:type="dxa"/>
            </w:tcMar>
            <w:vAlign w:val="center"/>
          </w:tcPr>
          <w:p w14:paraId="3C665849">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tl2br w:val="nil"/>
              <w:tr2bl w:val="nil"/>
            </w:tcBorders>
            <w:tcMar>
              <w:left w:w="108" w:type="dxa"/>
              <w:right w:w="108" w:type="dxa"/>
            </w:tcMar>
            <w:vAlign w:val="center"/>
          </w:tcPr>
          <w:p w14:paraId="71842A0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tl2br w:val="nil"/>
              <w:tr2bl w:val="nil"/>
            </w:tcBorders>
            <w:tcMar>
              <w:left w:w="108" w:type="dxa"/>
              <w:right w:w="108" w:type="dxa"/>
            </w:tcMar>
            <w:vAlign w:val="center"/>
          </w:tcPr>
          <w:p w14:paraId="7360B66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7A5C5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6E0CE911">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73A52988">
            <w:pPr>
              <w:widowControl/>
              <w:spacing w:line="320" w:lineRule="exac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48F1127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055" w:type="dxa"/>
            <w:tcBorders>
              <w:tl2br w:val="nil"/>
              <w:tr2bl w:val="nil"/>
            </w:tcBorders>
            <w:tcMar>
              <w:left w:w="108" w:type="dxa"/>
              <w:right w:w="108" w:type="dxa"/>
            </w:tcMar>
            <w:vAlign w:val="center"/>
          </w:tcPr>
          <w:p w14:paraId="30E55B8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c>
          <w:tcPr>
            <w:tcW w:w="2312" w:type="dxa"/>
            <w:tcBorders>
              <w:tl2br w:val="nil"/>
              <w:tr2bl w:val="nil"/>
            </w:tcBorders>
            <w:tcMar>
              <w:left w:w="108" w:type="dxa"/>
              <w:right w:w="108" w:type="dxa"/>
            </w:tcMar>
            <w:vAlign w:val="center"/>
          </w:tcPr>
          <w:p w14:paraId="0E32B92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合同日期：</w:t>
            </w:r>
          </w:p>
        </w:tc>
      </w:tr>
      <w:tr w14:paraId="3DBD1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343409EF">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3A57A607">
            <w:pPr>
              <w:widowControl/>
              <w:spacing w:line="320" w:lineRule="exac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33DD7E4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l2br w:val="nil"/>
              <w:tr2bl w:val="nil"/>
            </w:tcBorders>
            <w:tcMar>
              <w:left w:w="108" w:type="dxa"/>
              <w:right w:w="108" w:type="dxa"/>
            </w:tcMar>
            <w:vAlign w:val="center"/>
          </w:tcPr>
          <w:p w14:paraId="2EA9B66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l2br w:val="nil"/>
              <w:tr2bl w:val="nil"/>
            </w:tcBorders>
            <w:tcMar>
              <w:left w:w="108" w:type="dxa"/>
              <w:right w:w="108" w:type="dxa"/>
            </w:tcMar>
            <w:vAlign w:val="center"/>
          </w:tcPr>
          <w:p w14:paraId="7DFC352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27581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71" w:type="pct"/>
            <w:vMerge w:val="continue"/>
            <w:tcBorders>
              <w:tl2br w:val="nil"/>
              <w:tr2bl w:val="nil"/>
            </w:tcBorders>
            <w:tcMar>
              <w:left w:w="108" w:type="dxa"/>
              <w:right w:w="108" w:type="dxa"/>
            </w:tcMar>
            <w:vAlign w:val="center"/>
          </w:tcPr>
          <w:p w14:paraId="5E1F7422">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0984C0A6">
            <w:pPr>
              <w:widowControl/>
              <w:spacing w:line="320" w:lineRule="exac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3468DE7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l2br w:val="nil"/>
              <w:tr2bl w:val="nil"/>
            </w:tcBorders>
            <w:tcMar>
              <w:left w:w="108" w:type="dxa"/>
              <w:right w:w="108" w:type="dxa"/>
            </w:tcMar>
            <w:vAlign w:val="center"/>
          </w:tcPr>
          <w:p w14:paraId="309CF03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l2br w:val="nil"/>
              <w:tr2bl w:val="nil"/>
            </w:tcBorders>
            <w:tcMar>
              <w:left w:w="108" w:type="dxa"/>
              <w:right w:w="108" w:type="dxa"/>
            </w:tcMar>
            <w:vAlign w:val="center"/>
          </w:tcPr>
          <w:p w14:paraId="2827008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298F3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4C4194F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技术负责人或总工程师（不适用）</w:t>
            </w:r>
          </w:p>
        </w:tc>
        <w:tc>
          <w:tcPr>
            <w:tcW w:w="1120" w:type="pct"/>
            <w:gridSpan w:val="3"/>
            <w:tcBorders>
              <w:tl2br w:val="nil"/>
              <w:tr2bl w:val="nil"/>
            </w:tcBorders>
            <w:tcMar>
              <w:left w:w="108" w:type="dxa"/>
              <w:right w:w="108" w:type="dxa"/>
            </w:tcMar>
            <w:vAlign w:val="center"/>
          </w:tcPr>
          <w:p w14:paraId="02D79EEB">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4E00EAD1">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60C96668">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3E35E47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39704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6F6884EF">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2AE1C67A">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相关证书</w:t>
            </w:r>
          </w:p>
        </w:tc>
        <w:tc>
          <w:tcPr>
            <w:tcW w:w="700" w:type="pct"/>
            <w:gridSpan w:val="2"/>
            <w:tcBorders>
              <w:tl2br w:val="nil"/>
              <w:tr2bl w:val="nil"/>
            </w:tcBorders>
            <w:tcMar>
              <w:left w:w="108" w:type="dxa"/>
              <w:right w:w="108" w:type="dxa"/>
            </w:tcMar>
            <w:vAlign w:val="center"/>
          </w:tcPr>
          <w:p w14:paraId="173DBA8E">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930" w:type="pct"/>
            <w:tcBorders>
              <w:tl2br w:val="nil"/>
              <w:tr2bl w:val="nil"/>
            </w:tcBorders>
            <w:tcMar>
              <w:left w:w="108" w:type="dxa"/>
              <w:right w:w="108" w:type="dxa"/>
            </w:tcMar>
            <w:vAlign w:val="center"/>
          </w:tcPr>
          <w:p w14:paraId="635EB8B0">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47CB0492">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152C213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3B0712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continue"/>
            <w:tcBorders>
              <w:tl2br w:val="nil"/>
              <w:tr2bl w:val="nil"/>
            </w:tcBorders>
            <w:tcMar>
              <w:left w:w="108" w:type="dxa"/>
              <w:right w:w="108" w:type="dxa"/>
            </w:tcMar>
            <w:vAlign w:val="center"/>
          </w:tcPr>
          <w:p w14:paraId="6727CF7C">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417FE339">
            <w:pPr>
              <w:widowControl/>
              <w:spacing w:line="320" w:lineRule="exact"/>
              <w:jc w:val="center"/>
              <w:rPr>
                <w:rFonts w:hint="eastAsia" w:ascii="宋体" w:hAnsi="宋体" w:cs="宋体"/>
                <w:color w:val="auto"/>
                <w:szCs w:val="21"/>
                <w:highlight w:val="none"/>
              </w:rPr>
            </w:pPr>
          </w:p>
        </w:tc>
        <w:tc>
          <w:tcPr>
            <w:tcW w:w="700" w:type="pct"/>
            <w:gridSpan w:val="2"/>
            <w:tcBorders>
              <w:tl2br w:val="nil"/>
              <w:tr2bl w:val="nil"/>
            </w:tcBorders>
            <w:tcMar>
              <w:left w:w="108" w:type="dxa"/>
              <w:right w:w="108" w:type="dxa"/>
            </w:tcMar>
            <w:vAlign w:val="center"/>
          </w:tcPr>
          <w:p w14:paraId="1909C0D2">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级别</w:t>
            </w:r>
          </w:p>
        </w:tc>
        <w:tc>
          <w:tcPr>
            <w:tcW w:w="930" w:type="pct"/>
            <w:tcBorders>
              <w:tl2br w:val="nil"/>
              <w:tr2bl w:val="nil"/>
            </w:tcBorders>
            <w:tcMar>
              <w:left w:w="108" w:type="dxa"/>
              <w:right w:w="108" w:type="dxa"/>
            </w:tcMar>
            <w:vAlign w:val="center"/>
          </w:tcPr>
          <w:p w14:paraId="432A5830">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35B88D40">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31A947A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120AC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4A87240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安全负责人或专职安全员（不适用）</w:t>
            </w:r>
          </w:p>
        </w:tc>
        <w:tc>
          <w:tcPr>
            <w:tcW w:w="1120" w:type="pct"/>
            <w:gridSpan w:val="3"/>
            <w:tcBorders>
              <w:tl2br w:val="nil"/>
              <w:tr2bl w:val="nil"/>
            </w:tcBorders>
            <w:tcMar>
              <w:left w:w="108" w:type="dxa"/>
              <w:right w:w="108" w:type="dxa"/>
            </w:tcMar>
            <w:vAlign w:val="center"/>
          </w:tcPr>
          <w:p w14:paraId="26437878">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314E4905">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61EC7BB5">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61F2F92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474EC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4596B924">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184AFA78">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相关证书</w:t>
            </w:r>
          </w:p>
        </w:tc>
        <w:tc>
          <w:tcPr>
            <w:tcW w:w="700" w:type="pct"/>
            <w:gridSpan w:val="2"/>
            <w:tcBorders>
              <w:tl2br w:val="nil"/>
              <w:tr2bl w:val="nil"/>
            </w:tcBorders>
            <w:tcMar>
              <w:left w:w="108" w:type="dxa"/>
              <w:right w:w="108" w:type="dxa"/>
            </w:tcMar>
            <w:vAlign w:val="center"/>
          </w:tcPr>
          <w:p w14:paraId="54F8639D">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930" w:type="pct"/>
            <w:tcBorders>
              <w:tl2br w:val="nil"/>
              <w:tr2bl w:val="nil"/>
            </w:tcBorders>
            <w:tcMar>
              <w:left w:w="108" w:type="dxa"/>
              <w:right w:w="108" w:type="dxa"/>
            </w:tcMar>
            <w:vAlign w:val="center"/>
          </w:tcPr>
          <w:p w14:paraId="20E37B8B">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76D02F23">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2F56946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7E8B7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7" w:hRule="atLeast"/>
          <w:jc w:val="center"/>
        </w:trPr>
        <w:tc>
          <w:tcPr>
            <w:tcW w:w="571" w:type="pct"/>
            <w:vMerge w:val="continue"/>
            <w:tcBorders>
              <w:tl2br w:val="nil"/>
              <w:tr2bl w:val="nil"/>
            </w:tcBorders>
            <w:tcMar>
              <w:left w:w="108" w:type="dxa"/>
              <w:right w:w="108" w:type="dxa"/>
            </w:tcMar>
            <w:vAlign w:val="center"/>
          </w:tcPr>
          <w:p w14:paraId="52A58FC1">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45F31A0A">
            <w:pPr>
              <w:widowControl/>
              <w:spacing w:line="320" w:lineRule="exact"/>
              <w:jc w:val="center"/>
              <w:rPr>
                <w:rFonts w:hint="eastAsia" w:ascii="宋体" w:hAnsi="宋体" w:cs="宋体"/>
                <w:color w:val="auto"/>
                <w:szCs w:val="21"/>
                <w:highlight w:val="none"/>
              </w:rPr>
            </w:pPr>
          </w:p>
        </w:tc>
        <w:tc>
          <w:tcPr>
            <w:tcW w:w="700" w:type="pct"/>
            <w:gridSpan w:val="2"/>
            <w:tcBorders>
              <w:tl2br w:val="nil"/>
              <w:tr2bl w:val="nil"/>
            </w:tcBorders>
            <w:tcMar>
              <w:left w:w="108" w:type="dxa"/>
              <w:right w:w="108" w:type="dxa"/>
            </w:tcMar>
            <w:vAlign w:val="center"/>
          </w:tcPr>
          <w:p w14:paraId="45D2546C">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编号</w:t>
            </w:r>
          </w:p>
        </w:tc>
        <w:tc>
          <w:tcPr>
            <w:tcW w:w="930" w:type="pct"/>
            <w:tcBorders>
              <w:tl2br w:val="nil"/>
              <w:tr2bl w:val="nil"/>
            </w:tcBorders>
            <w:tcMar>
              <w:left w:w="108" w:type="dxa"/>
              <w:right w:w="108" w:type="dxa"/>
            </w:tcMar>
            <w:vAlign w:val="center"/>
          </w:tcPr>
          <w:p w14:paraId="3747FF63">
            <w:pPr>
              <w:widowControl/>
              <w:ind w:firstLine="630" w:firstLineChars="3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4831DFD7">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580DA7A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132E0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3409C18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投标担保信息</w:t>
            </w:r>
          </w:p>
        </w:tc>
        <w:tc>
          <w:tcPr>
            <w:tcW w:w="1120" w:type="pct"/>
            <w:gridSpan w:val="3"/>
            <w:tcBorders>
              <w:tl2br w:val="nil"/>
              <w:tr2bl w:val="nil"/>
            </w:tcBorders>
            <w:vAlign w:val="center"/>
          </w:tcPr>
          <w:p w14:paraId="56CF6DE4">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担保方式</w:t>
            </w:r>
          </w:p>
        </w:tc>
        <w:tc>
          <w:tcPr>
            <w:tcW w:w="930" w:type="pct"/>
            <w:tcBorders>
              <w:tl2br w:val="nil"/>
              <w:tr2bl w:val="nil"/>
            </w:tcBorders>
            <w:tcMar>
              <w:left w:w="108" w:type="dxa"/>
              <w:right w:w="108" w:type="dxa"/>
            </w:tcMar>
            <w:vAlign w:val="center"/>
          </w:tcPr>
          <w:p w14:paraId="476E8D7F">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21EEFD8">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8CBFA04">
            <w:pPr>
              <w:spacing w:line="320" w:lineRule="exact"/>
              <w:jc w:val="center"/>
              <w:rPr>
                <w:rFonts w:hint="eastAsia" w:ascii="宋体" w:hAnsi="宋体" w:cs="宋体"/>
                <w:color w:val="auto"/>
                <w:szCs w:val="21"/>
                <w:highlight w:val="none"/>
              </w:rPr>
            </w:pPr>
          </w:p>
        </w:tc>
      </w:tr>
      <w:tr w14:paraId="11CB9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7A5406C0">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4B0744B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担保机构</w:t>
            </w:r>
          </w:p>
        </w:tc>
        <w:tc>
          <w:tcPr>
            <w:tcW w:w="930" w:type="pct"/>
            <w:tcBorders>
              <w:tl2br w:val="nil"/>
              <w:tr2bl w:val="nil"/>
            </w:tcBorders>
            <w:tcMar>
              <w:left w:w="108" w:type="dxa"/>
              <w:right w:w="108" w:type="dxa"/>
            </w:tcMar>
            <w:vAlign w:val="center"/>
          </w:tcPr>
          <w:p w14:paraId="7BFA8068">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724E1C1D">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0E7E92D9">
            <w:pPr>
              <w:spacing w:line="320" w:lineRule="exact"/>
              <w:jc w:val="center"/>
              <w:rPr>
                <w:rFonts w:hint="eastAsia" w:ascii="宋体" w:hAnsi="宋体" w:cs="宋体"/>
                <w:color w:val="auto"/>
                <w:szCs w:val="21"/>
                <w:highlight w:val="none"/>
              </w:rPr>
            </w:pPr>
          </w:p>
        </w:tc>
      </w:tr>
      <w:tr w14:paraId="14E35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5" w:hRule="atLeast"/>
          <w:jc w:val="center"/>
        </w:trPr>
        <w:tc>
          <w:tcPr>
            <w:tcW w:w="571" w:type="pct"/>
            <w:vMerge w:val="continue"/>
            <w:tcBorders>
              <w:tl2br w:val="nil"/>
              <w:tr2bl w:val="nil"/>
            </w:tcBorders>
            <w:tcMar>
              <w:left w:w="108" w:type="dxa"/>
              <w:right w:w="108" w:type="dxa"/>
            </w:tcMar>
            <w:vAlign w:val="center"/>
          </w:tcPr>
          <w:p w14:paraId="429263CD">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6177EDB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经营地址</w:t>
            </w:r>
          </w:p>
        </w:tc>
        <w:tc>
          <w:tcPr>
            <w:tcW w:w="930" w:type="pct"/>
            <w:tcBorders>
              <w:tl2br w:val="nil"/>
              <w:tr2bl w:val="nil"/>
            </w:tcBorders>
            <w:tcMar>
              <w:left w:w="108" w:type="dxa"/>
              <w:right w:w="108" w:type="dxa"/>
            </w:tcMar>
            <w:vAlign w:val="center"/>
          </w:tcPr>
          <w:p w14:paraId="4755FEF2">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2430C886">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65537C5">
            <w:pPr>
              <w:spacing w:line="320" w:lineRule="exact"/>
              <w:jc w:val="center"/>
              <w:rPr>
                <w:rFonts w:hint="eastAsia" w:ascii="宋体" w:hAnsi="宋体" w:cs="宋体"/>
                <w:color w:val="auto"/>
                <w:szCs w:val="21"/>
                <w:highlight w:val="none"/>
              </w:rPr>
            </w:pPr>
          </w:p>
        </w:tc>
      </w:tr>
      <w:tr w14:paraId="53900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9" w:hRule="atLeast"/>
          <w:jc w:val="center"/>
        </w:trPr>
        <w:tc>
          <w:tcPr>
            <w:tcW w:w="571" w:type="pct"/>
            <w:vMerge w:val="continue"/>
            <w:tcBorders>
              <w:tl2br w:val="nil"/>
              <w:tr2bl w:val="nil"/>
            </w:tcBorders>
            <w:tcMar>
              <w:left w:w="108" w:type="dxa"/>
              <w:right w:w="108" w:type="dxa"/>
            </w:tcMar>
            <w:vAlign w:val="center"/>
          </w:tcPr>
          <w:p w14:paraId="6E693C46">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4217DE6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930" w:type="pct"/>
            <w:tcBorders>
              <w:tl2br w:val="nil"/>
              <w:tr2bl w:val="nil"/>
            </w:tcBorders>
            <w:tcMar>
              <w:left w:w="108" w:type="dxa"/>
              <w:right w:w="108" w:type="dxa"/>
            </w:tcMar>
            <w:vAlign w:val="center"/>
          </w:tcPr>
          <w:p w14:paraId="70943C02">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AFEFBEA">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6E12C7A">
            <w:pPr>
              <w:spacing w:line="320" w:lineRule="exact"/>
              <w:jc w:val="center"/>
              <w:rPr>
                <w:rFonts w:hint="eastAsia" w:ascii="宋体" w:hAnsi="宋体" w:cs="宋体"/>
                <w:color w:val="auto"/>
                <w:szCs w:val="21"/>
                <w:highlight w:val="none"/>
              </w:rPr>
            </w:pPr>
          </w:p>
        </w:tc>
      </w:tr>
    </w:tbl>
    <w:p w14:paraId="60BC3972">
      <w:pPr>
        <w:spacing w:line="490" w:lineRule="exact"/>
        <w:ind w:firstLine="422" w:firstLineChars="200"/>
        <w:jc w:val="center"/>
        <w:rPr>
          <w:rFonts w:hint="eastAsia" w:ascii="宋体" w:hAnsi="宋体" w:cs="宋体"/>
          <w:color w:val="auto"/>
          <w:kern w:val="0"/>
          <w:szCs w:val="21"/>
          <w:highlight w:val="none"/>
        </w:rPr>
      </w:pPr>
      <w:r>
        <w:rPr>
          <w:rFonts w:hint="eastAsia" w:ascii="宋体" w:hAnsi="宋体" w:cs="宋体"/>
          <w:b/>
          <w:bCs/>
          <w:color w:val="auto"/>
          <w:szCs w:val="21"/>
          <w:highlight w:val="none"/>
          <w:shd w:val="clear" w:color="auto" w:fill="FFFFFF"/>
        </w:rPr>
        <w:t>被否决投标的投标人情况：</w:t>
      </w:r>
    </w:p>
    <w:tbl>
      <w:tblPr>
        <w:tblStyle w:val="42"/>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779"/>
        <w:gridCol w:w="3468"/>
      </w:tblGrid>
      <w:tr w14:paraId="21A0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198505BA">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序号</w:t>
            </w:r>
          </w:p>
        </w:tc>
        <w:tc>
          <w:tcPr>
            <w:tcW w:w="4779" w:type="dxa"/>
            <w:vAlign w:val="center"/>
          </w:tcPr>
          <w:p w14:paraId="79A680A8">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投标人名称</w:t>
            </w:r>
          </w:p>
        </w:tc>
        <w:tc>
          <w:tcPr>
            <w:tcW w:w="3468" w:type="dxa"/>
            <w:vAlign w:val="center"/>
          </w:tcPr>
          <w:p w14:paraId="16690ACC">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否决依据和原因</w:t>
            </w:r>
          </w:p>
        </w:tc>
      </w:tr>
      <w:tr w14:paraId="7BC0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07584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79" w:type="dxa"/>
            <w:vAlign w:val="center"/>
          </w:tcPr>
          <w:p w14:paraId="0C874002">
            <w:pPr>
              <w:spacing w:line="360" w:lineRule="auto"/>
              <w:jc w:val="center"/>
              <w:rPr>
                <w:rFonts w:hint="eastAsia" w:ascii="宋体" w:hAnsi="宋体" w:cs="宋体"/>
                <w:color w:val="auto"/>
                <w:szCs w:val="21"/>
                <w:highlight w:val="none"/>
              </w:rPr>
            </w:pPr>
          </w:p>
        </w:tc>
        <w:tc>
          <w:tcPr>
            <w:tcW w:w="3468" w:type="dxa"/>
            <w:vAlign w:val="center"/>
          </w:tcPr>
          <w:p w14:paraId="43A9A250">
            <w:pPr>
              <w:spacing w:line="360" w:lineRule="auto"/>
              <w:jc w:val="center"/>
              <w:rPr>
                <w:rFonts w:hint="eastAsia" w:ascii="宋体" w:hAnsi="宋体" w:cs="宋体"/>
                <w:color w:val="auto"/>
                <w:szCs w:val="21"/>
                <w:highlight w:val="none"/>
              </w:rPr>
            </w:pPr>
          </w:p>
        </w:tc>
      </w:tr>
      <w:tr w14:paraId="63D5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53A8A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779" w:type="dxa"/>
            <w:vAlign w:val="center"/>
          </w:tcPr>
          <w:p w14:paraId="46D5D8F2">
            <w:pPr>
              <w:spacing w:line="360" w:lineRule="auto"/>
              <w:jc w:val="center"/>
              <w:rPr>
                <w:rFonts w:hint="eastAsia" w:ascii="宋体" w:hAnsi="宋体" w:cs="宋体"/>
                <w:color w:val="auto"/>
                <w:szCs w:val="21"/>
                <w:highlight w:val="none"/>
              </w:rPr>
            </w:pPr>
          </w:p>
        </w:tc>
        <w:tc>
          <w:tcPr>
            <w:tcW w:w="3468" w:type="dxa"/>
            <w:vAlign w:val="center"/>
          </w:tcPr>
          <w:p w14:paraId="73A5DC98">
            <w:pPr>
              <w:spacing w:line="360" w:lineRule="auto"/>
              <w:jc w:val="center"/>
              <w:rPr>
                <w:rFonts w:hint="eastAsia" w:ascii="宋体" w:hAnsi="宋体" w:cs="宋体"/>
                <w:color w:val="auto"/>
                <w:szCs w:val="21"/>
                <w:highlight w:val="none"/>
              </w:rPr>
            </w:pPr>
          </w:p>
        </w:tc>
      </w:tr>
      <w:tr w14:paraId="2B82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63FCEC2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4779" w:type="dxa"/>
            <w:vAlign w:val="center"/>
          </w:tcPr>
          <w:p w14:paraId="36A83807">
            <w:pPr>
              <w:spacing w:line="360" w:lineRule="auto"/>
              <w:jc w:val="center"/>
              <w:rPr>
                <w:rFonts w:hint="eastAsia" w:ascii="宋体" w:hAnsi="宋体" w:cs="宋体"/>
                <w:color w:val="auto"/>
                <w:szCs w:val="21"/>
                <w:highlight w:val="none"/>
              </w:rPr>
            </w:pPr>
          </w:p>
        </w:tc>
        <w:tc>
          <w:tcPr>
            <w:tcW w:w="3468" w:type="dxa"/>
            <w:vAlign w:val="center"/>
          </w:tcPr>
          <w:p w14:paraId="1EE866BE">
            <w:pPr>
              <w:spacing w:line="360" w:lineRule="auto"/>
              <w:jc w:val="center"/>
              <w:rPr>
                <w:rFonts w:hint="eastAsia" w:ascii="宋体" w:hAnsi="宋体" w:cs="宋体"/>
                <w:color w:val="auto"/>
                <w:szCs w:val="21"/>
                <w:highlight w:val="none"/>
              </w:rPr>
            </w:pPr>
          </w:p>
        </w:tc>
      </w:tr>
      <w:tr w14:paraId="3A85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1D8F6E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4779" w:type="dxa"/>
            <w:vAlign w:val="center"/>
          </w:tcPr>
          <w:p w14:paraId="740F490A">
            <w:pPr>
              <w:spacing w:line="360" w:lineRule="auto"/>
              <w:jc w:val="center"/>
              <w:rPr>
                <w:rFonts w:hint="eastAsia" w:ascii="宋体" w:hAnsi="宋体" w:cs="宋体"/>
                <w:color w:val="auto"/>
                <w:szCs w:val="21"/>
                <w:highlight w:val="none"/>
              </w:rPr>
            </w:pPr>
          </w:p>
        </w:tc>
        <w:tc>
          <w:tcPr>
            <w:tcW w:w="3468" w:type="dxa"/>
            <w:vAlign w:val="center"/>
          </w:tcPr>
          <w:p w14:paraId="45FA3332">
            <w:pPr>
              <w:spacing w:line="360" w:lineRule="auto"/>
              <w:jc w:val="center"/>
              <w:rPr>
                <w:rFonts w:hint="eastAsia" w:ascii="宋体" w:hAnsi="宋体" w:cs="宋体"/>
                <w:color w:val="auto"/>
                <w:szCs w:val="21"/>
                <w:highlight w:val="none"/>
              </w:rPr>
            </w:pPr>
          </w:p>
        </w:tc>
      </w:tr>
    </w:tbl>
    <w:p w14:paraId="0E0C339F">
      <w:pPr>
        <w:shd w:val="clear" w:color="auto" w:fill="FFFFFF"/>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kern w:val="0"/>
          <w:szCs w:val="21"/>
          <w:highlight w:val="none"/>
        </w:rPr>
        <w:t>公示期：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日始至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时止（北京时间）。公示期间，投标人和其他利害关系人如有异议，应按照</w:t>
      </w:r>
      <w:r>
        <w:rPr>
          <w:rFonts w:hint="eastAsia" w:ascii="宋体" w:hAnsi="宋体" w:cs="宋体"/>
          <w:color w:val="auto"/>
          <w:kern w:val="0"/>
          <w:szCs w:val="21"/>
          <w:highlight w:val="none"/>
          <w:u w:val="single"/>
        </w:rPr>
        <w:t>《工程建设项目招标投标活动投诉处理办法》、《关于印发〈湖南省招标投标活动投诉处理办法〉的通知》（湘发改法规规〔2024〕419号）</w:t>
      </w:r>
      <w:r>
        <w:rPr>
          <w:rFonts w:hint="eastAsia" w:ascii="宋体" w:hAnsi="宋体" w:cs="宋体"/>
          <w:color w:val="auto"/>
          <w:kern w:val="0"/>
          <w:szCs w:val="21"/>
          <w:highlight w:val="none"/>
        </w:rPr>
        <w:t>提出异议或投</w:t>
      </w:r>
      <w:r>
        <w:rPr>
          <w:rFonts w:hint="eastAsia" w:ascii="宋体" w:hAnsi="宋体" w:cs="宋体"/>
          <w:bCs/>
          <w:color w:val="auto"/>
          <w:kern w:val="0"/>
          <w:szCs w:val="21"/>
          <w:highlight w:val="none"/>
        </w:rPr>
        <w:t>诉</w:t>
      </w:r>
      <w:r>
        <w:rPr>
          <w:rFonts w:hint="eastAsia" w:ascii="宋体" w:hAnsi="宋体" w:cs="宋体"/>
          <w:color w:val="auto"/>
          <w:szCs w:val="21"/>
          <w:highlight w:val="none"/>
          <w:shd w:val="clear" w:color="auto" w:fill="FFFFFF"/>
        </w:rPr>
        <w:t>。公示期满对中标候选人若无异议，招标人将按招标文件规定确定中标人。</w:t>
      </w:r>
    </w:p>
    <w:p w14:paraId="7C9443FA">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行政监督：</w:t>
      </w:r>
      <w:r>
        <w:rPr>
          <w:rFonts w:hint="eastAsia" w:ascii="宋体" w:hAnsi="宋体" w:cs="宋体"/>
          <w:bCs/>
          <w:color w:val="auto"/>
          <w:kern w:val="0"/>
          <w:szCs w:val="21"/>
          <w:highlight w:val="none"/>
          <w:u w:val="single"/>
        </w:rPr>
        <w:t>（名称、地址、联系人及联系方式）</w:t>
      </w:r>
    </w:p>
    <w:p w14:paraId="200387DA">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 标 人：</w:t>
      </w:r>
      <w:r>
        <w:rPr>
          <w:rFonts w:hint="eastAsia" w:ascii="宋体" w:hAnsi="宋体" w:cs="宋体"/>
          <w:bCs/>
          <w:color w:val="auto"/>
          <w:kern w:val="0"/>
          <w:szCs w:val="21"/>
          <w:highlight w:val="none"/>
          <w:u w:val="single"/>
        </w:rPr>
        <w:t>（名称、地址、联系人及联系方式）</w:t>
      </w:r>
    </w:p>
    <w:p w14:paraId="4E81EC5E">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招标代理：</w:t>
      </w:r>
      <w:r>
        <w:rPr>
          <w:rFonts w:hint="eastAsia" w:ascii="宋体" w:hAnsi="宋体" w:cs="宋体"/>
          <w:bCs/>
          <w:color w:val="auto"/>
          <w:kern w:val="0"/>
          <w:szCs w:val="21"/>
          <w:highlight w:val="none"/>
          <w:u w:val="single"/>
        </w:rPr>
        <w:t>（名称、地址、联系人及联系方式）</w:t>
      </w:r>
    </w:p>
    <w:p w14:paraId="31858557">
      <w:pPr>
        <w:spacing w:line="400" w:lineRule="exact"/>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时    间：</w:t>
      </w:r>
      <w:r>
        <w:rPr>
          <w:rFonts w:hint="eastAsia" w:ascii="宋体" w:hAnsi="宋体" w:cs="宋体"/>
          <w:bCs/>
          <w:color w:val="auto"/>
          <w:kern w:val="0"/>
          <w:szCs w:val="21"/>
          <w:highlight w:val="none"/>
          <w:u w:val="single"/>
        </w:rPr>
        <w:t xml:space="preserve">                                </w:t>
      </w:r>
    </w:p>
    <w:p w14:paraId="5049BCA7">
      <w:pPr>
        <w:ind w:firstLine="420" w:firstLineChars="200"/>
        <w:rPr>
          <w:color w:val="auto"/>
          <w:highlight w:val="none"/>
        </w:rPr>
      </w:pPr>
      <w:r>
        <w:rPr>
          <w:rFonts w:hint="eastAsia"/>
          <w:color w:val="auto"/>
          <w:highlight w:val="none"/>
        </w:rPr>
        <w:t>说明：全省统一的招标投标信用评价体系建立后，上表中“</w:t>
      </w:r>
      <w:r>
        <w:rPr>
          <w:rFonts w:hint="eastAsia" w:ascii="宋体" w:hAnsi="宋体" w:cs="宋体"/>
          <w:color w:val="auto"/>
          <w:szCs w:val="21"/>
          <w:highlight w:val="none"/>
        </w:rPr>
        <w:t>信用评价加</w:t>
      </w:r>
      <w:r>
        <w:rPr>
          <w:rFonts w:hint="eastAsia" w:ascii="宋体" w:hAnsi="宋体" w:cs="宋体"/>
          <w:color w:val="auto"/>
          <w:szCs w:val="21"/>
          <w:highlight w:val="none"/>
          <w:lang w:eastAsia="zh"/>
        </w:rPr>
        <w:t>分</w:t>
      </w:r>
      <w:r>
        <w:rPr>
          <w:rFonts w:hint="eastAsia"/>
          <w:color w:val="auto"/>
          <w:highlight w:val="none"/>
        </w:rPr>
        <w:t>、信用处罚扣分”栏应根据《湖南省工程建设项目招标投标信用评价管理办法》的相关规定修改。</w:t>
      </w:r>
    </w:p>
    <w:p w14:paraId="4831BD2B">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EE5334E">
      <w:pPr>
        <w:pStyle w:val="3"/>
        <w:spacing w:before="0" w:after="0" w:line="360" w:lineRule="auto"/>
        <w:rPr>
          <w:rFonts w:hint="eastAsia" w:ascii="黑体" w:hAnsi="黑体" w:eastAsia="黑体"/>
          <w:color w:val="auto"/>
          <w:sz w:val="30"/>
          <w:highlight w:val="none"/>
        </w:rPr>
      </w:pPr>
      <w:bookmarkStart w:id="245" w:name="_Toc211498609"/>
      <w:r>
        <w:rPr>
          <w:rFonts w:hint="eastAsia"/>
          <w:color w:val="auto"/>
          <w:sz w:val="30"/>
          <w:highlight w:val="none"/>
        </w:rPr>
        <w:t>附件</w:t>
      </w:r>
      <w:r>
        <w:rPr>
          <w:color w:val="auto"/>
          <w:sz w:val="30"/>
          <w:highlight w:val="none"/>
        </w:rPr>
        <w:t>2-5</w:t>
      </w:r>
      <w:r>
        <w:rPr>
          <w:rFonts w:hint="eastAsia"/>
          <w:color w:val="auto"/>
          <w:sz w:val="30"/>
          <w:highlight w:val="none"/>
        </w:rPr>
        <w:t>：</w:t>
      </w:r>
      <w:r>
        <w:rPr>
          <w:rFonts w:hint="eastAsia"/>
          <w:color w:val="auto"/>
          <w:kern w:val="0"/>
          <w:sz w:val="30"/>
          <w:highlight w:val="none"/>
        </w:rPr>
        <w:t>中标结果通知书</w:t>
      </w:r>
      <w:bookmarkEnd w:id="245"/>
    </w:p>
    <w:p w14:paraId="02D9EBFA">
      <w:pPr>
        <w:rPr>
          <w:rFonts w:hint="eastAsia" w:ascii="宋体" w:hAnsi="宋体"/>
          <w:color w:val="auto"/>
          <w:highlight w:val="none"/>
        </w:rPr>
      </w:pPr>
    </w:p>
    <w:p w14:paraId="4325DE89">
      <w:pPr>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中标结果通知书</w:t>
      </w:r>
    </w:p>
    <w:p w14:paraId="0C879FCE">
      <w:pPr>
        <w:spacing w:line="400" w:lineRule="exact"/>
        <w:rPr>
          <w:rFonts w:hint="eastAsia" w:ascii="宋体" w:hAnsi="宋体"/>
          <w:color w:val="auto"/>
          <w:highlight w:val="none"/>
        </w:rPr>
      </w:pPr>
    </w:p>
    <w:p w14:paraId="6BFDDE8F">
      <w:pPr>
        <w:spacing w:line="40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（未中标人名称）：</w:t>
      </w:r>
    </w:p>
    <w:p w14:paraId="5D17D0E5">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我方已接受</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（中标人名称）于</w:t>
      </w:r>
      <w:r>
        <w:rPr>
          <w:rFonts w:ascii="宋体" w:hAnsi="宋体"/>
          <w:color w:val="auto"/>
          <w:szCs w:val="21"/>
          <w:highlight w:val="none"/>
          <w:u w:val="single"/>
        </w:rPr>
        <w:t xml:space="preserve">                  </w:t>
      </w:r>
      <w:r>
        <w:rPr>
          <w:rFonts w:ascii="宋体" w:hAnsi="宋体"/>
          <w:color w:val="auto"/>
          <w:szCs w:val="21"/>
          <w:highlight w:val="none"/>
        </w:rPr>
        <w:t>（投标日期）所递交的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标段施工投标文件，确定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（中标人名称）为中标人。</w:t>
      </w:r>
    </w:p>
    <w:p w14:paraId="679CEC6C">
      <w:pPr>
        <w:spacing w:line="400" w:lineRule="exact"/>
        <w:rPr>
          <w:rFonts w:hint="eastAsia" w:ascii="宋体" w:hAnsi="宋体"/>
          <w:color w:val="auto"/>
          <w:szCs w:val="21"/>
          <w:highlight w:val="none"/>
        </w:rPr>
      </w:pPr>
    </w:p>
    <w:p w14:paraId="273C12C3">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感谢你单位对我们工作的大力支持！</w:t>
      </w:r>
    </w:p>
    <w:p w14:paraId="6AE1D5B4">
      <w:pPr>
        <w:spacing w:line="400" w:lineRule="exact"/>
        <w:rPr>
          <w:rFonts w:hint="eastAsia" w:ascii="宋体" w:hAnsi="宋体"/>
          <w:color w:val="auto"/>
          <w:szCs w:val="21"/>
          <w:highlight w:val="none"/>
        </w:rPr>
      </w:pPr>
    </w:p>
    <w:p w14:paraId="4408234D">
      <w:pPr>
        <w:spacing w:line="400" w:lineRule="exact"/>
        <w:rPr>
          <w:rFonts w:hint="eastAsia" w:ascii="宋体" w:hAnsi="宋体"/>
          <w:color w:val="auto"/>
          <w:szCs w:val="21"/>
          <w:highlight w:val="none"/>
        </w:rPr>
      </w:pPr>
    </w:p>
    <w:p w14:paraId="1495697E">
      <w:pPr>
        <w:spacing w:line="460" w:lineRule="exact"/>
        <w:ind w:firstLine="3238" w:firstLineChars="1542"/>
        <w:jc w:val="right"/>
        <w:rPr>
          <w:rFonts w:hint="eastAsia" w:ascii="宋体" w:hAnsi="宋体"/>
          <w:color w:val="auto"/>
          <w:highlight w:val="none"/>
        </w:rPr>
      </w:pPr>
      <w:r>
        <w:rPr>
          <w:rFonts w:hint="eastAsia" w:ascii="宋体" w:hAnsi="宋体"/>
          <w:color w:val="auto"/>
          <w:szCs w:val="21"/>
          <w:highlight w:val="none"/>
        </w:rPr>
        <w:t xml:space="preserve"> </w:t>
      </w:r>
      <w:r>
        <w:rPr>
          <w:rFonts w:ascii="宋体" w:hAnsi="宋体"/>
          <w:color w:val="auto"/>
          <w:highlight w:val="none"/>
        </w:rPr>
        <w:t>招标人：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盖单位电子公章）</w:t>
      </w:r>
      <w:r>
        <w:rPr>
          <w:rFonts w:ascii="宋体" w:hAnsi="宋体"/>
          <w:color w:val="auto"/>
          <w:szCs w:val="21"/>
          <w:highlight w:val="none"/>
          <w:u w:val="single"/>
        </w:rPr>
        <w:t xml:space="preserve">          </w:t>
      </w:r>
    </w:p>
    <w:p w14:paraId="1A7CEE55">
      <w:pPr>
        <w:spacing w:line="400" w:lineRule="exact"/>
        <w:rPr>
          <w:rFonts w:hint="eastAsia" w:ascii="宋体" w:hAnsi="宋体"/>
          <w:color w:val="auto"/>
          <w:szCs w:val="21"/>
          <w:highlight w:val="none"/>
        </w:rPr>
      </w:pPr>
    </w:p>
    <w:p w14:paraId="5D45611F">
      <w:pPr>
        <w:spacing w:line="460" w:lineRule="exact"/>
        <w:rPr>
          <w:color w:val="auto"/>
          <w:highlight w:val="none"/>
        </w:rPr>
      </w:pPr>
      <w:r>
        <w:rPr>
          <w:color w:val="auto"/>
          <w:highlight w:val="none"/>
        </w:rPr>
        <w:br w:type="page"/>
      </w:r>
    </w:p>
    <w:p w14:paraId="2CA920DB">
      <w:pPr>
        <w:pStyle w:val="3"/>
        <w:spacing w:before="0" w:after="0" w:line="360" w:lineRule="auto"/>
        <w:rPr>
          <w:color w:val="auto"/>
          <w:sz w:val="30"/>
          <w:highlight w:val="none"/>
        </w:rPr>
      </w:pPr>
      <w:bookmarkStart w:id="246" w:name="_Toc211498610"/>
      <w:r>
        <w:rPr>
          <w:rFonts w:hint="eastAsia"/>
          <w:color w:val="auto"/>
          <w:sz w:val="30"/>
          <w:highlight w:val="none"/>
        </w:rPr>
        <w:t>附件</w:t>
      </w:r>
      <w:r>
        <w:rPr>
          <w:color w:val="auto"/>
          <w:sz w:val="30"/>
          <w:highlight w:val="none"/>
        </w:rPr>
        <w:t>2-6</w:t>
      </w:r>
      <w:r>
        <w:rPr>
          <w:rFonts w:hint="eastAsia"/>
          <w:color w:val="auto"/>
          <w:sz w:val="30"/>
          <w:highlight w:val="none"/>
        </w:rPr>
        <w:t>：中标结果公告</w:t>
      </w:r>
      <w:bookmarkEnd w:id="234"/>
      <w:bookmarkEnd w:id="235"/>
      <w:bookmarkEnd w:id="236"/>
      <w:bookmarkEnd w:id="237"/>
      <w:bookmarkEnd w:id="238"/>
      <w:bookmarkEnd w:id="239"/>
      <w:bookmarkEnd w:id="240"/>
      <w:bookmarkEnd w:id="241"/>
      <w:bookmarkEnd w:id="242"/>
      <w:bookmarkEnd w:id="243"/>
      <w:bookmarkEnd w:id="244"/>
      <w:bookmarkEnd w:id="246"/>
    </w:p>
    <w:p w14:paraId="7D904C2C">
      <w:pPr>
        <w:spacing w:line="460" w:lineRule="exact"/>
        <w:rPr>
          <w:color w:val="auto"/>
          <w:highlight w:val="none"/>
        </w:rPr>
      </w:pPr>
    </w:p>
    <w:p w14:paraId="3DEC3E03">
      <w:pPr>
        <w:spacing w:line="460" w:lineRule="exact"/>
        <w:rPr>
          <w:color w:val="auto"/>
          <w:highlight w:val="none"/>
        </w:rPr>
      </w:pPr>
    </w:p>
    <w:p w14:paraId="4C849824">
      <w:pPr>
        <w:spacing w:line="240" w:lineRule="auto"/>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中标结果公告</w:t>
      </w:r>
    </w:p>
    <w:p w14:paraId="3CA828C1">
      <w:pPr>
        <w:spacing w:line="440" w:lineRule="exact"/>
        <w:rPr>
          <w:color w:val="auto"/>
          <w:sz w:val="24"/>
          <w:highlight w:val="none"/>
        </w:rPr>
      </w:pPr>
    </w:p>
    <w:p w14:paraId="318E812E">
      <w:pPr>
        <w:spacing w:line="440" w:lineRule="exact"/>
        <w:ind w:firstLine="420"/>
        <w:rPr>
          <w:color w:val="auto"/>
          <w:sz w:val="24"/>
          <w:highlight w:val="none"/>
        </w:rPr>
      </w:pPr>
      <w:r>
        <w:rPr>
          <w:color w:val="auto"/>
          <w:sz w:val="24"/>
          <w:highlight w:val="none"/>
          <w:u w:val="single"/>
        </w:rPr>
        <w:t xml:space="preserve">                </w:t>
      </w:r>
      <w:r>
        <w:rPr>
          <w:color w:val="auto"/>
          <w:sz w:val="24"/>
          <w:highlight w:val="none"/>
        </w:rPr>
        <w:t>（代理公司）受</w:t>
      </w:r>
      <w:r>
        <w:rPr>
          <w:color w:val="auto"/>
          <w:sz w:val="24"/>
          <w:highlight w:val="none"/>
          <w:u w:val="single"/>
        </w:rPr>
        <w:t xml:space="preserve">              </w:t>
      </w:r>
      <w:r>
        <w:rPr>
          <w:color w:val="auto"/>
          <w:sz w:val="24"/>
          <w:highlight w:val="none"/>
        </w:rPr>
        <w:t>（招标人）的委托，代理的</w:t>
      </w:r>
      <w:r>
        <w:rPr>
          <w:color w:val="auto"/>
          <w:sz w:val="24"/>
          <w:highlight w:val="none"/>
          <w:u w:val="single"/>
        </w:rPr>
        <w:t xml:space="preserve">         </w:t>
      </w:r>
      <w:r>
        <w:rPr>
          <w:color w:val="auto"/>
          <w:sz w:val="24"/>
          <w:highlight w:val="none"/>
        </w:rPr>
        <w:t>项目（招标编号：</w:t>
      </w:r>
      <w:r>
        <w:rPr>
          <w:color w:val="auto"/>
          <w:sz w:val="24"/>
          <w:highlight w:val="none"/>
          <w:u w:val="single"/>
        </w:rPr>
        <w:t xml:space="preserve">       </w:t>
      </w:r>
      <w:r>
        <w:rPr>
          <w:color w:val="auto"/>
          <w:sz w:val="24"/>
          <w:highlight w:val="none"/>
        </w:rPr>
        <w:t xml:space="preserve">  ）进行国内公开招标。于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日在湖南省招标投标监管网及</w:t>
      </w:r>
      <w:r>
        <w:rPr>
          <w:color w:val="auto"/>
          <w:sz w:val="24"/>
          <w:highlight w:val="none"/>
          <w:u w:val="single"/>
        </w:rPr>
        <w:t xml:space="preserve">                     </w:t>
      </w:r>
      <w:r>
        <w:rPr>
          <w:color w:val="auto"/>
          <w:sz w:val="24"/>
          <w:highlight w:val="none"/>
        </w:rPr>
        <w:t xml:space="preserve">  （媒介）对中标候选人进行了公示，公示期满且无异议和投诉。现招标人按照招标文件规定确定中标人公告如下：</w:t>
      </w:r>
    </w:p>
    <w:p w14:paraId="61964A4D">
      <w:pPr>
        <w:spacing w:line="440" w:lineRule="exact"/>
        <w:ind w:firstLine="420"/>
        <w:rPr>
          <w:color w:val="auto"/>
          <w:sz w:val="24"/>
          <w:highlight w:val="none"/>
        </w:rPr>
      </w:pPr>
      <w:r>
        <w:rPr>
          <w:color w:val="auto"/>
          <w:sz w:val="24"/>
          <w:highlight w:val="none"/>
        </w:rPr>
        <w:t>项目名称：</w:t>
      </w:r>
      <w:r>
        <w:rPr>
          <w:color w:val="auto"/>
          <w:sz w:val="24"/>
          <w:highlight w:val="none"/>
          <w:u w:val="single"/>
        </w:rPr>
        <w:t xml:space="preserve">                                          </w:t>
      </w:r>
    </w:p>
    <w:p w14:paraId="7F4A3780">
      <w:pPr>
        <w:spacing w:line="440" w:lineRule="exact"/>
        <w:ind w:firstLine="420"/>
        <w:rPr>
          <w:color w:val="auto"/>
          <w:sz w:val="24"/>
          <w:highlight w:val="none"/>
          <w:u w:val="single"/>
        </w:rPr>
      </w:pPr>
      <w:r>
        <w:rPr>
          <w:color w:val="auto"/>
          <w:sz w:val="24"/>
          <w:highlight w:val="none"/>
        </w:rPr>
        <w:t>中标单位：</w:t>
      </w:r>
      <w:r>
        <w:rPr>
          <w:color w:val="auto"/>
          <w:sz w:val="24"/>
          <w:highlight w:val="none"/>
          <w:u w:val="single"/>
        </w:rPr>
        <w:t xml:space="preserve">                                          </w:t>
      </w:r>
    </w:p>
    <w:p w14:paraId="4577F026">
      <w:pPr>
        <w:spacing w:line="440" w:lineRule="exact"/>
        <w:ind w:firstLine="420"/>
        <w:rPr>
          <w:color w:val="auto"/>
          <w:sz w:val="24"/>
          <w:highlight w:val="none"/>
          <w:u w:val="single"/>
        </w:rPr>
      </w:pPr>
      <w:r>
        <w:rPr>
          <w:color w:val="auto"/>
          <w:sz w:val="24"/>
          <w:highlight w:val="none"/>
        </w:rPr>
        <w:t>中标金额：</w:t>
      </w:r>
      <w:r>
        <w:rPr>
          <w:color w:val="auto"/>
          <w:sz w:val="24"/>
          <w:highlight w:val="none"/>
          <w:u w:val="single"/>
        </w:rPr>
        <w:t xml:space="preserve">                                          </w:t>
      </w:r>
    </w:p>
    <w:p w14:paraId="0AFB8733">
      <w:pPr>
        <w:spacing w:line="440" w:lineRule="exact"/>
        <w:ind w:firstLine="720" w:firstLineChars="300"/>
        <w:rPr>
          <w:color w:val="auto"/>
          <w:sz w:val="24"/>
          <w:highlight w:val="none"/>
        </w:rPr>
      </w:pPr>
      <w:r>
        <w:rPr>
          <w:color w:val="auto"/>
          <w:sz w:val="24"/>
          <w:highlight w:val="none"/>
        </w:rPr>
        <w:t>……</w:t>
      </w:r>
    </w:p>
    <w:p w14:paraId="2EA1E365">
      <w:pPr>
        <w:spacing w:line="440" w:lineRule="exact"/>
        <w:ind w:firstLine="420"/>
        <w:rPr>
          <w:color w:val="auto"/>
          <w:sz w:val="24"/>
          <w:highlight w:val="none"/>
        </w:rPr>
      </w:pPr>
    </w:p>
    <w:p w14:paraId="0A3CDF1D">
      <w:pPr>
        <w:spacing w:line="440" w:lineRule="exact"/>
        <w:ind w:firstLine="420"/>
        <w:rPr>
          <w:color w:val="auto"/>
          <w:sz w:val="24"/>
          <w:highlight w:val="none"/>
        </w:rPr>
      </w:pPr>
    </w:p>
    <w:p w14:paraId="6F114256">
      <w:pPr>
        <w:spacing w:line="440" w:lineRule="exact"/>
        <w:ind w:firstLine="420"/>
        <w:rPr>
          <w:color w:val="auto"/>
          <w:sz w:val="24"/>
          <w:highlight w:val="none"/>
        </w:rPr>
      </w:pPr>
    </w:p>
    <w:p w14:paraId="30784ADB">
      <w:pPr>
        <w:spacing w:line="440" w:lineRule="exact"/>
        <w:ind w:right="302" w:rightChars="144"/>
        <w:jc w:val="right"/>
        <w:rPr>
          <w:color w:val="auto"/>
          <w:sz w:val="24"/>
          <w:highlight w:val="none"/>
          <w:u w:val="single"/>
        </w:rPr>
      </w:pPr>
      <w:r>
        <w:rPr>
          <w:color w:val="auto"/>
          <w:sz w:val="24"/>
          <w:highlight w:val="none"/>
        </w:rPr>
        <w:t>招标代理：</w:t>
      </w:r>
      <w:r>
        <w:rPr>
          <w:color w:val="auto"/>
          <w:sz w:val="24"/>
          <w:highlight w:val="none"/>
          <w:u w:val="single"/>
        </w:rPr>
        <w:t xml:space="preserve">  （盖单位电子公章</w:t>
      </w:r>
      <w:r>
        <w:rPr>
          <w:rFonts w:hint="eastAsia"/>
          <w:color w:val="auto"/>
          <w:sz w:val="24"/>
          <w:highlight w:val="none"/>
          <w:u w:val="single"/>
        </w:rPr>
        <w:t xml:space="preserve">） </w:t>
      </w:r>
      <w:r>
        <w:rPr>
          <w:color w:val="auto"/>
          <w:sz w:val="24"/>
          <w:highlight w:val="none"/>
          <w:u w:val="single"/>
        </w:rPr>
        <w:t xml:space="preserve">  </w:t>
      </w:r>
    </w:p>
    <w:p w14:paraId="6779495F">
      <w:pPr>
        <w:spacing w:line="440" w:lineRule="exact"/>
        <w:ind w:firstLine="4872" w:firstLineChars="2030"/>
        <w:rPr>
          <w:color w:val="auto"/>
          <w:sz w:val="24"/>
          <w:highlight w:val="none"/>
        </w:rPr>
      </w:pPr>
      <w:r>
        <w:rPr>
          <w:color w:val="auto"/>
          <w:sz w:val="24"/>
          <w:highlight w:val="none"/>
        </w:rPr>
        <w:t>联系地址：</w:t>
      </w:r>
      <w:r>
        <w:rPr>
          <w:color w:val="auto"/>
          <w:sz w:val="24"/>
          <w:highlight w:val="none"/>
          <w:u w:val="single"/>
        </w:rPr>
        <w:t xml:space="preserve">                    </w:t>
      </w:r>
    </w:p>
    <w:p w14:paraId="557292B4">
      <w:pPr>
        <w:spacing w:line="440" w:lineRule="exact"/>
        <w:ind w:firstLine="4872" w:firstLineChars="2030"/>
        <w:rPr>
          <w:color w:val="auto"/>
          <w:sz w:val="24"/>
          <w:highlight w:val="none"/>
        </w:rPr>
      </w:pPr>
      <w:r>
        <w:rPr>
          <w:color w:val="auto"/>
          <w:sz w:val="24"/>
          <w:highlight w:val="none"/>
        </w:rPr>
        <w:t>联 系 人：</w:t>
      </w:r>
      <w:r>
        <w:rPr>
          <w:color w:val="auto"/>
          <w:sz w:val="24"/>
          <w:highlight w:val="none"/>
          <w:u w:val="single"/>
        </w:rPr>
        <w:t xml:space="preserve">                    </w:t>
      </w:r>
    </w:p>
    <w:p w14:paraId="75983403">
      <w:pPr>
        <w:spacing w:line="440" w:lineRule="exact"/>
        <w:ind w:firstLine="4872" w:firstLineChars="2030"/>
        <w:rPr>
          <w:color w:val="auto"/>
          <w:sz w:val="24"/>
          <w:highlight w:val="none"/>
        </w:rPr>
      </w:pPr>
      <w:r>
        <w:rPr>
          <w:color w:val="auto"/>
          <w:sz w:val="24"/>
          <w:highlight w:val="none"/>
        </w:rPr>
        <w:t>电    话：</w:t>
      </w:r>
      <w:r>
        <w:rPr>
          <w:color w:val="auto"/>
          <w:sz w:val="24"/>
          <w:highlight w:val="none"/>
          <w:u w:val="single"/>
        </w:rPr>
        <w:t xml:space="preserve">                    </w:t>
      </w:r>
    </w:p>
    <w:p w14:paraId="123B6B57">
      <w:pPr>
        <w:spacing w:line="440" w:lineRule="exact"/>
        <w:ind w:firstLine="4872" w:firstLineChars="2030"/>
        <w:rPr>
          <w:color w:val="auto"/>
          <w:sz w:val="24"/>
          <w:highlight w:val="none"/>
        </w:rPr>
      </w:pPr>
      <w:r>
        <w:rPr>
          <w:color w:val="auto"/>
          <w:sz w:val="24"/>
          <w:highlight w:val="none"/>
        </w:rPr>
        <w:t>传    真：</w:t>
      </w:r>
      <w:r>
        <w:rPr>
          <w:color w:val="auto"/>
          <w:sz w:val="24"/>
          <w:highlight w:val="none"/>
          <w:u w:val="single"/>
        </w:rPr>
        <w:t xml:space="preserve">                    </w:t>
      </w:r>
    </w:p>
    <w:p w14:paraId="1D728D4A">
      <w:pPr>
        <w:rPr>
          <w:color w:val="auto"/>
          <w:highlight w:val="none"/>
        </w:rPr>
      </w:pPr>
    </w:p>
    <w:p w14:paraId="7A133CF6">
      <w:pPr>
        <w:rPr>
          <w:b/>
          <w:bCs/>
          <w:color w:val="auto"/>
          <w:sz w:val="24"/>
          <w:highlight w:val="none"/>
          <w:lang w:bidi="en-US"/>
        </w:rPr>
      </w:pPr>
    </w:p>
    <w:p w14:paraId="0FE8DE16">
      <w:pPr>
        <w:rPr>
          <w:rFonts w:hint="eastAsia" w:ascii="宋体" w:hAnsi="宋体"/>
          <w:color w:val="auto"/>
          <w:highlight w:val="none"/>
        </w:rPr>
      </w:pPr>
      <w:r>
        <w:rPr>
          <w:b/>
          <w:bCs/>
          <w:color w:val="auto"/>
          <w:sz w:val="24"/>
          <w:highlight w:val="none"/>
          <w:lang w:bidi="en-US"/>
        </w:rPr>
        <w:br w:type="page"/>
      </w:r>
    </w:p>
    <w:p w14:paraId="4A42EE5F">
      <w:pPr>
        <w:pStyle w:val="3"/>
        <w:spacing w:before="0" w:after="0" w:line="360" w:lineRule="auto"/>
        <w:rPr>
          <w:b w:val="0"/>
          <w:bCs w:val="0"/>
          <w:color w:val="auto"/>
          <w:kern w:val="0"/>
          <w:sz w:val="30"/>
          <w:highlight w:val="none"/>
        </w:rPr>
      </w:pPr>
      <w:bookmarkStart w:id="247" w:name="_Toc211498611"/>
      <w:r>
        <w:rPr>
          <w:rFonts w:hint="eastAsia"/>
          <w:color w:val="auto"/>
          <w:kern w:val="0"/>
          <w:sz w:val="30"/>
          <w:highlight w:val="none"/>
        </w:rPr>
        <w:t>附件</w:t>
      </w:r>
      <w:r>
        <w:rPr>
          <w:color w:val="auto"/>
          <w:kern w:val="0"/>
          <w:sz w:val="30"/>
          <w:highlight w:val="none"/>
        </w:rPr>
        <w:t>2-7</w:t>
      </w:r>
      <w:r>
        <w:rPr>
          <w:rFonts w:hint="eastAsia"/>
          <w:color w:val="auto"/>
          <w:kern w:val="0"/>
          <w:sz w:val="30"/>
          <w:highlight w:val="none"/>
        </w:rPr>
        <w:t>：问题澄清通知</w:t>
      </w:r>
      <w:bookmarkEnd w:id="247"/>
    </w:p>
    <w:p w14:paraId="1C218CC5">
      <w:pPr>
        <w:spacing w:line="440" w:lineRule="exact"/>
        <w:jc w:val="center"/>
        <w:rPr>
          <w:rFonts w:hint="eastAsia" w:ascii="宋体" w:hAnsi="宋体"/>
          <w:color w:val="auto"/>
          <w:szCs w:val="21"/>
          <w:highlight w:val="none"/>
        </w:rPr>
      </w:pPr>
    </w:p>
    <w:p w14:paraId="1357F71F">
      <w:pPr>
        <w:spacing w:line="440" w:lineRule="exact"/>
        <w:jc w:val="center"/>
        <w:rPr>
          <w:rFonts w:hint="eastAsia" w:ascii="宋体" w:hAnsi="宋体"/>
          <w:color w:val="auto"/>
          <w:szCs w:val="21"/>
          <w:highlight w:val="none"/>
        </w:rPr>
      </w:pPr>
    </w:p>
    <w:p w14:paraId="147E52D2">
      <w:pPr>
        <w:spacing w:line="440" w:lineRule="exact"/>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问题澄清通知</w:t>
      </w:r>
    </w:p>
    <w:p w14:paraId="1D8F1018">
      <w:pPr>
        <w:spacing w:line="440" w:lineRule="exact"/>
        <w:rPr>
          <w:rFonts w:hint="eastAsia" w:ascii="黑体" w:hAnsi="黑体" w:eastAsia="黑体"/>
          <w:color w:val="auto"/>
          <w:sz w:val="28"/>
          <w:szCs w:val="28"/>
          <w:highlight w:val="none"/>
        </w:rPr>
      </w:pPr>
      <w:r>
        <w:rPr>
          <w:rFonts w:ascii="黑体" w:hAnsi="黑体" w:eastAsia="黑体"/>
          <w:color w:val="auto"/>
          <w:sz w:val="28"/>
          <w:szCs w:val="28"/>
          <w:highlight w:val="none"/>
        </w:rPr>
        <w:t xml:space="preserve">                         编号：</w:t>
      </w:r>
      <w:r>
        <w:rPr>
          <w:rFonts w:ascii="宋体" w:hAnsi="宋体"/>
          <w:color w:val="auto"/>
          <w:szCs w:val="21"/>
          <w:highlight w:val="none"/>
          <w:u w:val="single"/>
        </w:rPr>
        <w:t xml:space="preserve">          </w:t>
      </w:r>
    </w:p>
    <w:p w14:paraId="291E6254">
      <w:pPr>
        <w:spacing w:line="440" w:lineRule="exact"/>
        <w:rPr>
          <w:rFonts w:hint="eastAsia" w:ascii="宋体" w:hAnsi="宋体"/>
          <w:color w:val="auto"/>
          <w:szCs w:val="21"/>
          <w:highlight w:val="none"/>
        </w:rPr>
      </w:pPr>
    </w:p>
    <w:p w14:paraId="1DCD03E5">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（投标人名称）：</w:t>
      </w:r>
    </w:p>
    <w:p w14:paraId="005E741A">
      <w:pPr>
        <w:spacing w:line="400" w:lineRule="exact"/>
        <w:rPr>
          <w:rFonts w:hint="eastAsia" w:ascii="宋体" w:hAnsi="宋体"/>
          <w:color w:val="auto"/>
          <w:szCs w:val="21"/>
          <w:highlight w:val="none"/>
        </w:rPr>
      </w:pPr>
    </w:p>
    <w:p w14:paraId="76478A14">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（项目名称）</w:t>
      </w:r>
      <w:r>
        <w:rPr>
          <w:rFonts w:ascii="宋体" w:hAnsi="宋体"/>
          <w:color w:val="auto"/>
          <w:szCs w:val="21"/>
          <w:highlight w:val="none"/>
          <w:u w:val="single"/>
        </w:rPr>
        <w:t xml:space="preserve">        </w:t>
      </w:r>
      <w:r>
        <w:rPr>
          <w:rFonts w:ascii="宋体" w:hAnsi="宋体"/>
          <w:color w:val="auto"/>
          <w:szCs w:val="21"/>
          <w:highlight w:val="none"/>
        </w:rPr>
        <w:t>标段施工招标的评标委员会，对你方的投标文件进行了仔细的审查，现需你方对下列问题以书面形式予以澄清：</w:t>
      </w:r>
    </w:p>
    <w:p w14:paraId="37CE5B29">
      <w:pPr>
        <w:spacing w:line="400" w:lineRule="exact"/>
        <w:rPr>
          <w:rFonts w:hint="eastAsia" w:ascii="宋体" w:hAnsi="宋体"/>
          <w:color w:val="auto"/>
          <w:szCs w:val="21"/>
          <w:highlight w:val="none"/>
        </w:rPr>
      </w:pPr>
      <w:r>
        <w:rPr>
          <w:rFonts w:ascii="宋体" w:hAnsi="宋体"/>
          <w:color w:val="auto"/>
          <w:szCs w:val="21"/>
          <w:highlight w:val="none"/>
        </w:rPr>
        <w:t>　　</w:t>
      </w:r>
    </w:p>
    <w:p w14:paraId="2CCAAC70">
      <w:pPr>
        <w:spacing w:line="400" w:lineRule="exact"/>
        <w:rPr>
          <w:rFonts w:hint="eastAsia" w:ascii="宋体" w:hAnsi="宋体"/>
          <w:color w:val="auto"/>
          <w:szCs w:val="21"/>
          <w:highlight w:val="none"/>
        </w:rPr>
      </w:pPr>
      <w:r>
        <w:rPr>
          <w:rFonts w:ascii="宋体" w:hAnsi="宋体"/>
          <w:color w:val="auto"/>
          <w:szCs w:val="21"/>
          <w:highlight w:val="none"/>
        </w:rPr>
        <w:t xml:space="preserve">    1.</w:t>
      </w:r>
      <w:r>
        <w:rPr>
          <w:rFonts w:ascii="宋体" w:hAnsi="宋体"/>
          <w:color w:val="auto"/>
          <w:szCs w:val="21"/>
          <w:highlight w:val="none"/>
          <w:u w:val="single"/>
        </w:rPr>
        <w:t xml:space="preserve">                    </w:t>
      </w:r>
    </w:p>
    <w:p w14:paraId="12DAFEB7">
      <w:pPr>
        <w:spacing w:line="400" w:lineRule="exact"/>
        <w:rPr>
          <w:rFonts w:hint="eastAsia" w:ascii="宋体" w:hAnsi="宋体"/>
          <w:color w:val="auto"/>
          <w:szCs w:val="21"/>
          <w:highlight w:val="none"/>
        </w:rPr>
      </w:pPr>
      <w:r>
        <w:rPr>
          <w:rFonts w:ascii="宋体" w:hAnsi="宋体"/>
          <w:color w:val="auto"/>
          <w:szCs w:val="21"/>
          <w:highlight w:val="none"/>
        </w:rPr>
        <w:t xml:space="preserve">    2.</w:t>
      </w:r>
      <w:r>
        <w:rPr>
          <w:rFonts w:ascii="宋体" w:hAnsi="宋体"/>
          <w:color w:val="auto"/>
          <w:szCs w:val="21"/>
          <w:highlight w:val="none"/>
          <w:u w:val="single"/>
        </w:rPr>
        <w:t xml:space="preserve">                    </w:t>
      </w:r>
    </w:p>
    <w:p w14:paraId="79981D29">
      <w:pPr>
        <w:spacing w:line="400" w:lineRule="exact"/>
        <w:rPr>
          <w:rFonts w:hint="eastAsia" w:ascii="宋体" w:hAnsi="宋体"/>
          <w:color w:val="auto"/>
          <w:szCs w:val="21"/>
          <w:highlight w:val="none"/>
        </w:rPr>
      </w:pPr>
      <w:r>
        <w:rPr>
          <w:rFonts w:ascii="宋体" w:hAnsi="宋体"/>
          <w:color w:val="auto"/>
          <w:szCs w:val="21"/>
          <w:highlight w:val="none"/>
        </w:rPr>
        <w:t xml:space="preserve">     ......   </w:t>
      </w:r>
    </w:p>
    <w:p w14:paraId="013C504B">
      <w:pPr>
        <w:spacing w:line="400" w:lineRule="exact"/>
        <w:rPr>
          <w:rFonts w:hint="eastAsia" w:ascii="宋体" w:hAnsi="宋体"/>
          <w:color w:val="auto"/>
          <w:szCs w:val="21"/>
          <w:highlight w:val="none"/>
        </w:rPr>
      </w:pPr>
      <w:r>
        <w:rPr>
          <w:rFonts w:ascii="宋体" w:hAnsi="宋体"/>
          <w:color w:val="auto"/>
          <w:szCs w:val="21"/>
          <w:highlight w:val="none"/>
        </w:rPr>
        <w:t>　　　</w:t>
      </w:r>
    </w:p>
    <w:p w14:paraId="76571F52">
      <w:pPr>
        <w:spacing w:line="400" w:lineRule="exact"/>
        <w:rPr>
          <w:rFonts w:hint="eastAsia" w:ascii="宋体" w:hAnsi="宋体"/>
          <w:color w:val="auto"/>
          <w:szCs w:val="21"/>
          <w:highlight w:val="none"/>
        </w:rPr>
      </w:pPr>
      <w:r>
        <w:rPr>
          <w:rFonts w:ascii="宋体" w:hAnsi="宋体"/>
          <w:color w:val="auto"/>
          <w:szCs w:val="21"/>
          <w:highlight w:val="none"/>
        </w:rPr>
        <w:t>　　请将上述问题的澄清于</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时前递交至</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（详细地址）</w:t>
      </w:r>
      <w:r>
        <w:rPr>
          <w:color w:val="auto"/>
          <w:highlight w:val="none"/>
        </w:rPr>
        <w:t>或通过下载招标文件的电子招标交易平台上传</w:t>
      </w:r>
      <w:r>
        <w:rPr>
          <w:rFonts w:hint="eastAsia" w:ascii="宋体" w:hAnsi="宋体"/>
          <w:color w:val="auto"/>
          <w:szCs w:val="21"/>
          <w:highlight w:val="none"/>
        </w:rPr>
        <w:t>。</w:t>
      </w:r>
    </w:p>
    <w:p w14:paraId="02322AE9">
      <w:pPr>
        <w:spacing w:line="400" w:lineRule="exact"/>
        <w:rPr>
          <w:rFonts w:hint="eastAsia" w:ascii="宋体" w:hAnsi="宋体"/>
          <w:color w:val="auto"/>
          <w:szCs w:val="21"/>
          <w:highlight w:val="none"/>
        </w:rPr>
      </w:pPr>
    </w:p>
    <w:p w14:paraId="00F229FF">
      <w:pPr>
        <w:spacing w:line="400" w:lineRule="exact"/>
        <w:rPr>
          <w:rFonts w:hint="eastAsia" w:ascii="宋体" w:hAnsi="宋体"/>
          <w:color w:val="auto"/>
          <w:szCs w:val="21"/>
          <w:highlight w:val="none"/>
        </w:rPr>
      </w:pPr>
    </w:p>
    <w:p w14:paraId="72FF0BC9">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14:paraId="7A2AD135">
      <w:pPr>
        <w:spacing w:line="400" w:lineRule="exact"/>
        <w:rPr>
          <w:rFonts w:hint="eastAsia" w:ascii="宋体" w:hAnsi="宋体"/>
          <w:color w:val="auto"/>
          <w:szCs w:val="21"/>
          <w:highlight w:val="none"/>
        </w:rPr>
      </w:pPr>
    </w:p>
    <w:p w14:paraId="50043D59">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年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月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p>
    <w:p w14:paraId="12C29DDC">
      <w:pPr>
        <w:rPr>
          <w:rFonts w:hint="eastAsia" w:ascii="宋体" w:hAnsi="宋体"/>
          <w:color w:val="auto"/>
          <w:highlight w:val="none"/>
        </w:rPr>
      </w:pPr>
      <w:r>
        <w:rPr>
          <w:rFonts w:ascii="宋体" w:hAnsi="宋体"/>
          <w:color w:val="auto"/>
          <w:highlight w:val="none"/>
        </w:rPr>
        <w:br w:type="page"/>
      </w:r>
    </w:p>
    <w:p w14:paraId="2E187478">
      <w:pPr>
        <w:pStyle w:val="3"/>
        <w:spacing w:before="0" w:after="0" w:line="360" w:lineRule="auto"/>
        <w:rPr>
          <w:b w:val="0"/>
          <w:bCs w:val="0"/>
          <w:color w:val="auto"/>
          <w:kern w:val="0"/>
          <w:sz w:val="30"/>
          <w:highlight w:val="none"/>
        </w:rPr>
      </w:pPr>
      <w:bookmarkStart w:id="248" w:name="_Toc211498612"/>
      <w:r>
        <w:rPr>
          <w:rFonts w:hint="eastAsia"/>
          <w:color w:val="auto"/>
          <w:kern w:val="0"/>
          <w:sz w:val="30"/>
          <w:highlight w:val="none"/>
        </w:rPr>
        <w:t>附件</w:t>
      </w:r>
      <w:r>
        <w:rPr>
          <w:color w:val="auto"/>
          <w:kern w:val="0"/>
          <w:sz w:val="30"/>
          <w:highlight w:val="none"/>
        </w:rPr>
        <w:t>2-8</w:t>
      </w:r>
      <w:r>
        <w:rPr>
          <w:rFonts w:hint="eastAsia"/>
          <w:color w:val="auto"/>
          <w:kern w:val="0"/>
          <w:sz w:val="30"/>
          <w:highlight w:val="none"/>
        </w:rPr>
        <w:t>：问题澄清回复</w:t>
      </w:r>
      <w:bookmarkEnd w:id="248"/>
    </w:p>
    <w:p w14:paraId="19D0364A">
      <w:pPr>
        <w:spacing w:line="400" w:lineRule="exact"/>
        <w:jc w:val="center"/>
        <w:rPr>
          <w:rFonts w:hint="eastAsia" w:ascii="宋体" w:hAnsi="宋体"/>
          <w:color w:val="auto"/>
          <w:sz w:val="28"/>
          <w:szCs w:val="28"/>
          <w:highlight w:val="none"/>
        </w:rPr>
      </w:pPr>
    </w:p>
    <w:p w14:paraId="1F91C154">
      <w:pPr>
        <w:spacing w:line="400" w:lineRule="exact"/>
        <w:jc w:val="center"/>
        <w:rPr>
          <w:rFonts w:hint="eastAsia" w:ascii="宋体" w:hAnsi="宋体"/>
          <w:color w:val="auto"/>
          <w:sz w:val="28"/>
          <w:szCs w:val="28"/>
          <w:highlight w:val="none"/>
        </w:rPr>
      </w:pPr>
    </w:p>
    <w:p w14:paraId="138F916F">
      <w:pPr>
        <w:ind w:left="560" w:hanging="560" w:hangingChars="20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问题澄清回复</w:t>
      </w:r>
    </w:p>
    <w:p w14:paraId="127CB276">
      <w:pPr>
        <w:spacing w:line="400" w:lineRule="exact"/>
        <w:ind w:firstLine="3640" w:firstLineChars="1300"/>
        <w:rPr>
          <w:rFonts w:hint="eastAsia" w:ascii="黑体" w:hAnsi="黑体" w:eastAsia="黑体"/>
          <w:color w:val="auto"/>
          <w:sz w:val="28"/>
          <w:szCs w:val="28"/>
          <w:highlight w:val="none"/>
        </w:rPr>
      </w:pPr>
      <w:r>
        <w:rPr>
          <w:rFonts w:hint="eastAsia" w:ascii="黑体" w:hAnsi="黑体" w:eastAsia="黑体"/>
          <w:color w:val="auto"/>
          <w:sz w:val="28"/>
          <w:szCs w:val="28"/>
          <w:highlight w:val="none"/>
        </w:rPr>
        <w:t>编号：</w:t>
      </w:r>
      <w:r>
        <w:rPr>
          <w:rFonts w:ascii="宋体" w:hAnsi="宋体"/>
          <w:color w:val="auto"/>
          <w:szCs w:val="21"/>
          <w:highlight w:val="none"/>
          <w:u w:val="single"/>
        </w:rPr>
        <w:t xml:space="preserve">       </w:t>
      </w:r>
    </w:p>
    <w:p w14:paraId="362861E1">
      <w:pPr>
        <w:spacing w:line="400" w:lineRule="exact"/>
        <w:rPr>
          <w:rFonts w:hint="eastAsia" w:ascii="宋体" w:hAnsi="宋体"/>
          <w:color w:val="auto"/>
          <w:szCs w:val="21"/>
          <w:highlight w:val="none"/>
        </w:rPr>
      </w:pPr>
    </w:p>
    <w:p w14:paraId="6A116161">
      <w:pPr>
        <w:spacing w:line="40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项目名称）</w:t>
      </w:r>
      <w:bookmarkStart w:id="249" w:name="OLE_LINK3"/>
      <w:r>
        <w:rPr>
          <w:rFonts w:ascii="宋体" w:hAnsi="宋体"/>
          <w:color w:val="auto"/>
          <w:szCs w:val="21"/>
          <w:highlight w:val="none"/>
          <w:u w:val="single"/>
        </w:rPr>
        <w:t xml:space="preserve">       </w:t>
      </w:r>
      <w:bookmarkEnd w:id="249"/>
      <w:r>
        <w:rPr>
          <w:rFonts w:ascii="宋体" w:hAnsi="宋体"/>
          <w:color w:val="auto"/>
          <w:szCs w:val="21"/>
          <w:highlight w:val="none"/>
          <w:u w:val="single"/>
        </w:rPr>
        <w:t xml:space="preserve">  </w:t>
      </w:r>
      <w:r>
        <w:rPr>
          <w:rFonts w:ascii="宋体" w:hAnsi="宋体"/>
          <w:color w:val="auto"/>
          <w:szCs w:val="21"/>
          <w:highlight w:val="none"/>
        </w:rPr>
        <w:t>标段施工招标评标委员会：</w:t>
      </w:r>
    </w:p>
    <w:p w14:paraId="53296603">
      <w:pPr>
        <w:spacing w:line="400" w:lineRule="exact"/>
        <w:rPr>
          <w:rFonts w:hint="eastAsia" w:ascii="宋体" w:hAnsi="宋体"/>
          <w:color w:val="auto"/>
          <w:szCs w:val="21"/>
          <w:highlight w:val="none"/>
        </w:rPr>
      </w:pPr>
    </w:p>
    <w:p w14:paraId="6FD39E53">
      <w:pPr>
        <w:spacing w:line="400" w:lineRule="exact"/>
        <w:rPr>
          <w:rFonts w:hint="eastAsia" w:ascii="宋体" w:hAnsi="宋体"/>
          <w:color w:val="auto"/>
          <w:szCs w:val="21"/>
          <w:highlight w:val="none"/>
        </w:rPr>
      </w:pPr>
      <w:r>
        <w:rPr>
          <w:rFonts w:ascii="宋体" w:hAnsi="宋体"/>
          <w:color w:val="auto"/>
          <w:szCs w:val="21"/>
          <w:highlight w:val="none"/>
        </w:rPr>
        <w:t>　　问题澄清通知（编号：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）已收悉，现澄清如下：</w:t>
      </w:r>
    </w:p>
    <w:p w14:paraId="3722BBE5">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p>
    <w:p w14:paraId="539785B5">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p>
    <w:p w14:paraId="5E38643C">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 xml:space="preserve">　   </w:t>
      </w:r>
    </w:p>
    <w:p w14:paraId="7336FF85">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p>
    <w:p w14:paraId="7D2A20A4">
      <w:pPr>
        <w:spacing w:line="400" w:lineRule="exact"/>
        <w:rPr>
          <w:rFonts w:hint="eastAsia" w:ascii="宋体" w:hAnsi="宋体"/>
          <w:color w:val="auto"/>
          <w:szCs w:val="21"/>
          <w:highlight w:val="none"/>
        </w:rPr>
      </w:pPr>
      <w:r>
        <w:rPr>
          <w:rFonts w:ascii="宋体" w:hAnsi="宋体"/>
          <w:color w:val="auto"/>
          <w:szCs w:val="21"/>
          <w:highlight w:val="none"/>
        </w:rPr>
        <w:t xml:space="preserve">                       </w:t>
      </w:r>
    </w:p>
    <w:p w14:paraId="1E2FFA16">
      <w:pPr>
        <w:spacing w:line="400" w:lineRule="exact"/>
        <w:rPr>
          <w:rFonts w:hint="eastAsia" w:ascii="宋体" w:hAnsi="宋体"/>
          <w:color w:val="auto"/>
          <w:szCs w:val="21"/>
          <w:highlight w:val="none"/>
        </w:rPr>
      </w:pPr>
      <w:r>
        <w:rPr>
          <w:rFonts w:ascii="宋体" w:hAnsi="宋体"/>
          <w:color w:val="auto"/>
          <w:szCs w:val="21"/>
          <w:highlight w:val="none"/>
        </w:rPr>
        <w:t xml:space="preserve">　 </w:t>
      </w:r>
    </w:p>
    <w:p w14:paraId="23181B33">
      <w:pPr>
        <w:spacing w:line="400" w:lineRule="exact"/>
        <w:rPr>
          <w:rFonts w:hint="eastAsia" w:ascii="宋体" w:hAnsi="宋体"/>
          <w:color w:val="auto"/>
          <w:szCs w:val="21"/>
          <w:highlight w:val="none"/>
        </w:rPr>
      </w:pPr>
    </w:p>
    <w:p w14:paraId="7E2987C8">
      <w:pPr>
        <w:spacing w:line="400" w:lineRule="exact"/>
        <w:rPr>
          <w:rFonts w:hint="eastAsia" w:ascii="宋体" w:hAnsi="宋体"/>
          <w:color w:val="auto"/>
          <w:szCs w:val="21"/>
          <w:highlight w:val="none"/>
          <w:u w:val="single"/>
        </w:rPr>
      </w:pPr>
      <w:r>
        <w:rPr>
          <w:rFonts w:ascii="宋体" w:hAnsi="宋体"/>
          <w:color w:val="auto"/>
          <w:szCs w:val="21"/>
          <w:highlight w:val="none"/>
        </w:rPr>
        <w:t>　　　　　　　　　　　　　　</w:t>
      </w:r>
      <w:r>
        <w:rPr>
          <w:rFonts w:hint="eastAsia" w:ascii="宋体" w:hAnsi="宋体"/>
          <w:color w:val="auto"/>
          <w:szCs w:val="21"/>
          <w:highlight w:val="none"/>
        </w:rPr>
        <w:t xml:space="preserve">  </w:t>
      </w:r>
      <w:r>
        <w:rPr>
          <w:rFonts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s="宋体"/>
          <w:color w:val="auto"/>
          <w:szCs w:val="21"/>
          <w:highlight w:val="none"/>
          <w:u w:val="single"/>
        </w:rPr>
        <w:t>盖单位电子公章</w:t>
      </w:r>
      <w:r>
        <w:rPr>
          <w:rFonts w:ascii="宋体" w:hAnsi="宋体"/>
          <w:color w:val="auto"/>
          <w:szCs w:val="21"/>
          <w:highlight w:val="none"/>
          <w:u w:val="single"/>
        </w:rPr>
        <w:t>）</w:t>
      </w:r>
      <w:r>
        <w:rPr>
          <w:rFonts w:hint="eastAsia" w:ascii="宋体" w:hAnsi="宋体"/>
          <w:color w:val="auto"/>
          <w:szCs w:val="21"/>
          <w:highlight w:val="none"/>
          <w:u w:val="single"/>
        </w:rPr>
        <w:t xml:space="preserve">         </w:t>
      </w:r>
    </w:p>
    <w:p w14:paraId="3EAA438B">
      <w:pPr>
        <w:spacing w:line="400" w:lineRule="exact"/>
        <w:rPr>
          <w:rFonts w:hint="eastAsia" w:ascii="宋体" w:hAnsi="宋体"/>
          <w:color w:val="auto"/>
          <w:szCs w:val="21"/>
          <w:highlight w:val="none"/>
        </w:rPr>
      </w:pPr>
      <w:r>
        <w:rPr>
          <w:rFonts w:ascii="宋体" w:hAnsi="宋体"/>
          <w:color w:val="auto"/>
          <w:szCs w:val="21"/>
          <w:highlight w:val="none"/>
        </w:rPr>
        <w:t>　　　　　　　　　　　　　　　</w:t>
      </w:r>
    </w:p>
    <w:p w14:paraId="7145BDC2">
      <w:pPr>
        <w:spacing w:line="400" w:lineRule="exact"/>
        <w:rPr>
          <w:rFonts w:hint="eastAsia"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 xml:space="preserve">   </w:t>
      </w:r>
      <w:r>
        <w:rPr>
          <w:rFonts w:ascii="宋体" w:hAnsi="宋体"/>
          <w:color w:val="auto"/>
          <w:szCs w:val="21"/>
          <w:highlight w:val="none"/>
        </w:rPr>
        <w:t>　　　　　　　　　　　　　　　</w:t>
      </w:r>
    </w:p>
    <w:p w14:paraId="6ABEE623">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2F233F68">
      <w:pPr>
        <w:rPr>
          <w:color w:val="auto"/>
          <w:highlight w:val="none"/>
        </w:rPr>
      </w:pPr>
    </w:p>
    <w:p w14:paraId="025D68CE">
      <w:pPr>
        <w:rPr>
          <w:color w:val="auto"/>
          <w:highlight w:val="none"/>
        </w:rPr>
      </w:pPr>
    </w:p>
    <w:p w14:paraId="08ED00D4">
      <w:pPr>
        <w:jc w:val="left"/>
        <w:rPr>
          <w:rFonts w:eastAsia="黑体"/>
          <w:color w:val="auto"/>
          <w:highlight w:val="none"/>
        </w:rPr>
      </w:pPr>
      <w:r>
        <w:rPr>
          <w:rFonts w:eastAsia="黑体"/>
          <w:color w:val="auto"/>
          <w:highlight w:val="none"/>
        </w:rPr>
        <w:br w:type="page"/>
      </w:r>
    </w:p>
    <w:p w14:paraId="5FF803C3">
      <w:pPr>
        <w:pStyle w:val="3"/>
        <w:spacing w:before="0" w:after="0" w:line="360" w:lineRule="auto"/>
        <w:rPr>
          <w:rFonts w:hint="eastAsia" w:ascii="宋体" w:hAnsi="宋体"/>
          <w:b w:val="0"/>
          <w:bCs w:val="0"/>
          <w:color w:val="auto"/>
          <w:kern w:val="0"/>
          <w:sz w:val="30"/>
          <w:highlight w:val="none"/>
          <w:lang w:bidi="en-US"/>
        </w:rPr>
      </w:pPr>
      <w:bookmarkStart w:id="250" w:name="_Toc211498613"/>
      <w:r>
        <w:rPr>
          <w:rFonts w:hint="eastAsia"/>
          <w:color w:val="auto"/>
          <w:kern w:val="0"/>
          <w:sz w:val="30"/>
          <w:highlight w:val="none"/>
        </w:rPr>
        <w:t>附件</w:t>
      </w:r>
      <w:r>
        <w:rPr>
          <w:color w:val="auto"/>
          <w:kern w:val="0"/>
          <w:sz w:val="30"/>
          <w:highlight w:val="none"/>
        </w:rPr>
        <w:t>2-9</w:t>
      </w:r>
      <w:r>
        <w:rPr>
          <w:rFonts w:hint="eastAsia"/>
          <w:color w:val="auto"/>
          <w:kern w:val="0"/>
          <w:sz w:val="30"/>
          <w:highlight w:val="none"/>
        </w:rPr>
        <w:t>：</w:t>
      </w:r>
      <w:r>
        <w:rPr>
          <w:rFonts w:hint="eastAsia" w:ascii="宋体" w:hAnsi="宋体"/>
          <w:color w:val="auto"/>
          <w:kern w:val="0"/>
          <w:sz w:val="30"/>
          <w:highlight w:val="none"/>
          <w:lang w:bidi="en-US"/>
        </w:rPr>
        <w:t>招标文件修改通知</w:t>
      </w:r>
      <w:bookmarkEnd w:id="250"/>
    </w:p>
    <w:p w14:paraId="792D3649">
      <w:pPr>
        <w:widowControl/>
        <w:kinsoku w:val="0"/>
        <w:autoSpaceDE w:val="0"/>
        <w:autoSpaceDN w:val="0"/>
        <w:adjustRightInd w:val="0"/>
        <w:snapToGrid w:val="0"/>
        <w:textAlignment w:val="baseline"/>
        <w:rPr>
          <w:rFonts w:hint="eastAsia" w:ascii="宋体" w:hAnsi="宋体"/>
          <w:color w:val="auto"/>
          <w:highlight w:val="none"/>
        </w:rPr>
      </w:pPr>
    </w:p>
    <w:p w14:paraId="04251ABA">
      <w:pPr>
        <w:widowControl/>
        <w:kinsoku w:val="0"/>
        <w:autoSpaceDE w:val="0"/>
        <w:autoSpaceDN w:val="0"/>
        <w:adjustRightInd w:val="0"/>
        <w:snapToGrid w:val="0"/>
        <w:jc w:val="center"/>
        <w:textAlignment w:val="baseline"/>
        <w:rPr>
          <w:rFonts w:hint="eastAsia" w:ascii="宋体" w:hAnsi="宋体"/>
          <w:color w:val="auto"/>
          <w:sz w:val="28"/>
          <w:szCs w:val="28"/>
          <w:highlight w:val="none"/>
        </w:rPr>
      </w:pPr>
      <w:r>
        <w:rPr>
          <w:rFonts w:hint="eastAsia" w:ascii="宋体" w:hAnsi="宋体"/>
          <w:color w:val="auto"/>
          <w:sz w:val="28"/>
          <w:szCs w:val="28"/>
          <w:highlight w:val="none"/>
        </w:rPr>
        <w:t>招标文件修改通知</w:t>
      </w:r>
    </w:p>
    <w:p w14:paraId="0064AD0C">
      <w:pPr>
        <w:widowControl/>
        <w:kinsoku w:val="0"/>
        <w:wordWrap w:val="0"/>
        <w:autoSpaceDE w:val="0"/>
        <w:autoSpaceDN w:val="0"/>
        <w:adjustRightInd w:val="0"/>
        <w:snapToGrid w:val="0"/>
        <w:spacing w:line="360" w:lineRule="auto"/>
        <w:ind w:firstLine="3360" w:firstLineChars="1600"/>
        <w:jc w:val="right"/>
        <w:textAlignment w:val="baseline"/>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2A0CD86">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p>
    <w:p w14:paraId="6B5722B5">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 xml:space="preserve">经研究，对 </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（标段名称）招标文件，作如下修改：</w:t>
      </w:r>
    </w:p>
    <w:p w14:paraId="263814D9">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1、……</w:t>
      </w:r>
    </w:p>
    <w:p w14:paraId="1089A238">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2、……</w:t>
      </w:r>
    </w:p>
    <w:p w14:paraId="5EDB7448">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w:t>
      </w:r>
    </w:p>
    <w:p w14:paraId="0B5EF997">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1661F815">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5C5E9259">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4635F118">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00089B65">
      <w:pPr>
        <w:widowControl/>
        <w:kinsoku w:val="0"/>
        <w:autoSpaceDE w:val="0"/>
        <w:autoSpaceDN w:val="0"/>
        <w:adjustRightInd w:val="0"/>
        <w:snapToGrid w:val="0"/>
        <w:spacing w:line="360" w:lineRule="auto"/>
        <w:textAlignment w:val="baseline"/>
        <w:rPr>
          <w:rFonts w:hint="eastAsia" w:ascii="宋体" w:hAnsi="宋体"/>
          <w:color w:val="auto"/>
          <w:sz w:val="28"/>
          <w:szCs w:val="28"/>
          <w:highlight w:val="none"/>
        </w:rPr>
      </w:pPr>
    </w:p>
    <w:p w14:paraId="040317FB">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50E05695">
      <w:pPr>
        <w:widowControl/>
        <w:kinsoku w:val="0"/>
        <w:autoSpaceDE w:val="0"/>
        <w:autoSpaceDN w:val="0"/>
        <w:adjustRightInd w:val="0"/>
        <w:snapToGrid w:val="0"/>
        <w:spacing w:line="360" w:lineRule="auto"/>
        <w:textAlignment w:val="baseline"/>
        <w:rPr>
          <w:rFonts w:hint="eastAsia" w:ascii="宋体" w:hAnsi="宋体"/>
          <w:color w:val="auto"/>
          <w:sz w:val="28"/>
          <w:szCs w:val="28"/>
          <w:highlight w:val="none"/>
        </w:rPr>
      </w:pPr>
    </w:p>
    <w:p w14:paraId="19E787CB">
      <w:pPr>
        <w:widowControl/>
        <w:kinsoku w:val="0"/>
        <w:autoSpaceDE w:val="0"/>
        <w:autoSpaceDN w:val="0"/>
        <w:adjustRightInd w:val="0"/>
        <w:snapToGrid w:val="0"/>
        <w:spacing w:line="360" w:lineRule="auto"/>
        <w:jc w:val="right"/>
        <w:textAlignment w:val="baseline"/>
        <w:rPr>
          <w:rFonts w:hint="eastAsia" w:ascii="宋体" w:hAnsi="宋体"/>
          <w:color w:val="auto"/>
          <w:szCs w:val="21"/>
          <w:highlight w:val="none"/>
        </w:rPr>
      </w:pPr>
      <w:r>
        <w:rPr>
          <w:rFonts w:hint="eastAsia" w:ascii="宋体" w:hAnsi="宋体"/>
          <w:color w:val="auto"/>
          <w:szCs w:val="21"/>
          <w:highlight w:val="none"/>
        </w:rPr>
        <w:t>招标人/招标代理机构：</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color w:val="auto"/>
          <w:highlight w:val="none"/>
        </w:rPr>
        <w:t>盖单位电子公章</w:t>
      </w:r>
      <w:r>
        <w:rPr>
          <w:rFonts w:hint="eastAsia" w:ascii="宋体" w:hAnsi="宋体"/>
          <w:color w:val="auto"/>
          <w:szCs w:val="21"/>
          <w:highlight w:val="none"/>
        </w:rPr>
        <w:t>）</w:t>
      </w:r>
    </w:p>
    <w:p w14:paraId="1736ED30">
      <w:pPr>
        <w:widowControl/>
        <w:kinsoku w:val="0"/>
        <w:autoSpaceDE w:val="0"/>
        <w:autoSpaceDN w:val="0"/>
        <w:adjustRightInd w:val="0"/>
        <w:snapToGrid w:val="0"/>
        <w:spacing w:line="360" w:lineRule="auto"/>
        <w:ind w:right="420"/>
        <w:jc w:val="right"/>
        <w:textAlignment w:val="baseline"/>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CEC9506">
      <w:pPr>
        <w:spacing w:line="440" w:lineRule="exact"/>
        <w:outlineLvl w:val="2"/>
        <w:rPr>
          <w:b/>
          <w:bCs/>
          <w:color w:val="auto"/>
          <w:kern w:val="0"/>
          <w:sz w:val="24"/>
          <w:highlight w:val="none"/>
        </w:rPr>
      </w:pPr>
    </w:p>
    <w:p w14:paraId="07CF807F">
      <w:pPr>
        <w:rPr>
          <w:b/>
          <w:bCs/>
          <w:color w:val="auto"/>
          <w:kern w:val="0"/>
          <w:sz w:val="24"/>
          <w:highlight w:val="none"/>
        </w:rPr>
      </w:pPr>
      <w:r>
        <w:rPr>
          <w:b/>
          <w:bCs/>
          <w:color w:val="auto"/>
          <w:kern w:val="0"/>
          <w:sz w:val="24"/>
          <w:highlight w:val="none"/>
        </w:rPr>
        <w:br w:type="page"/>
      </w:r>
    </w:p>
    <w:p w14:paraId="3134E5D4">
      <w:pPr>
        <w:jc w:val="center"/>
        <w:rPr>
          <w:rFonts w:eastAsia="黑体"/>
          <w:color w:val="auto"/>
          <w:highlight w:val="none"/>
        </w:rPr>
      </w:pPr>
    </w:p>
    <w:p w14:paraId="77D100D3">
      <w:pPr>
        <w:pStyle w:val="2"/>
        <w:spacing w:before="0" w:after="0"/>
        <w:jc w:val="center"/>
        <w:rPr>
          <w:rFonts w:ascii="Times New Roman" w:hAnsi="Times New Roman" w:eastAsia="黑体"/>
          <w:b w:val="0"/>
          <w:bCs w:val="0"/>
          <w:color w:val="auto"/>
          <w:highlight w:val="none"/>
        </w:rPr>
      </w:pPr>
      <w:bookmarkStart w:id="251" w:name="_Toc211498614"/>
      <w:r>
        <w:rPr>
          <w:rFonts w:ascii="Times New Roman" w:hAnsi="Times New Roman" w:eastAsia="黑体"/>
          <w:b w:val="0"/>
          <w:bCs w:val="0"/>
          <w:color w:val="auto"/>
          <w:highlight w:val="none"/>
        </w:rPr>
        <w:t>第三章  评标办法（经评审的最低投标价法）</w:t>
      </w:r>
      <w:bookmarkEnd w:id="230"/>
      <w:bookmarkEnd w:id="251"/>
    </w:p>
    <w:p w14:paraId="6805E904">
      <w:pPr>
        <w:pStyle w:val="2"/>
        <w:spacing w:before="0" w:after="0"/>
        <w:jc w:val="center"/>
        <w:rPr>
          <w:rFonts w:ascii="Times New Roman" w:hAnsi="Times New Roman" w:eastAsia="黑体"/>
          <w:b w:val="0"/>
          <w:bCs w:val="0"/>
          <w:color w:val="auto"/>
          <w:sz w:val="30"/>
          <w:highlight w:val="none"/>
        </w:rPr>
      </w:pPr>
      <w:bookmarkStart w:id="252" w:name="_Toc211498615"/>
      <w:r>
        <w:rPr>
          <w:rFonts w:ascii="Times New Roman" w:hAnsi="Times New Roman" w:eastAsia="黑体"/>
          <w:b w:val="0"/>
          <w:bCs w:val="0"/>
          <w:color w:val="auto"/>
          <w:sz w:val="30"/>
          <w:highlight w:val="none"/>
        </w:rPr>
        <w:t>评标办法前附表</w:t>
      </w:r>
      <w:bookmarkEnd w:id="224"/>
      <w:bookmarkEnd w:id="252"/>
    </w:p>
    <w:tbl>
      <w:tblPr>
        <w:tblStyle w:val="4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436"/>
        <w:gridCol w:w="176"/>
        <w:gridCol w:w="5807"/>
      </w:tblGrid>
      <w:tr w14:paraId="7F2B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vAlign w:val="center"/>
          </w:tcPr>
          <w:p w14:paraId="0B7007A8">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612" w:type="dxa"/>
            <w:gridSpan w:val="2"/>
            <w:vAlign w:val="center"/>
          </w:tcPr>
          <w:p w14:paraId="0AD58ACF">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07" w:type="dxa"/>
            <w:vAlign w:val="center"/>
          </w:tcPr>
          <w:p w14:paraId="0BDE4D7C">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6A3D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vAlign w:val="center"/>
          </w:tcPr>
          <w:p w14:paraId="77863E9C">
            <w:pPr>
              <w:jc w:val="center"/>
              <w:rPr>
                <w:rFonts w:hint="eastAsia" w:ascii="宋体" w:hAnsi="宋体" w:cs="宋体"/>
                <w:bCs/>
                <w:color w:val="auto"/>
                <w:szCs w:val="21"/>
                <w:highlight w:val="none"/>
              </w:rPr>
            </w:pPr>
            <w:r>
              <w:rPr>
                <w:rFonts w:hint="eastAsia" w:ascii="宋体" w:hAnsi="宋体" w:cs="宋体"/>
                <w:bCs/>
                <w:color w:val="auto"/>
                <w:szCs w:val="21"/>
                <w:highlight w:val="none"/>
              </w:rPr>
              <w:t>2.1</w:t>
            </w:r>
          </w:p>
        </w:tc>
        <w:tc>
          <w:tcPr>
            <w:tcW w:w="2612" w:type="dxa"/>
            <w:gridSpan w:val="2"/>
            <w:vAlign w:val="center"/>
          </w:tcPr>
          <w:p w14:paraId="3C12B62C">
            <w:pPr>
              <w:adjustRightInd w:val="0"/>
              <w:snapToGrid w:val="0"/>
              <w:spacing w:line="360" w:lineRule="auto"/>
              <w:ind w:left="21" w:leftChars="10" w:right="21" w:rightChars="10"/>
              <w:jc w:val="center"/>
              <w:rPr>
                <w:rFonts w:hint="eastAsia" w:ascii="宋体" w:hAnsi="宋体" w:cs="宋体"/>
                <w:bCs/>
                <w:color w:val="auto"/>
                <w:szCs w:val="21"/>
                <w:highlight w:val="none"/>
              </w:rPr>
            </w:pPr>
            <w:r>
              <w:rPr>
                <w:color w:val="auto"/>
                <w:szCs w:val="21"/>
                <w:highlight w:val="none"/>
              </w:rPr>
              <w:t>异常低价警戒线</w:t>
            </w:r>
            <w:r>
              <w:rPr>
                <w:rFonts w:hint="eastAsia"/>
                <w:color w:val="auto"/>
                <w:szCs w:val="21"/>
                <w:highlight w:val="none"/>
              </w:rPr>
              <w:t>评审</w:t>
            </w:r>
          </w:p>
        </w:tc>
        <w:tc>
          <w:tcPr>
            <w:tcW w:w="5807" w:type="dxa"/>
            <w:vAlign w:val="center"/>
          </w:tcPr>
          <w:p w14:paraId="5C9F707D">
            <w:pPr>
              <w:adjustRightInd w:val="0"/>
              <w:snapToGrid w:val="0"/>
              <w:spacing w:line="360" w:lineRule="auto"/>
              <w:ind w:left="21" w:leftChars="10" w:right="21" w:rightChars="10"/>
              <w:rPr>
                <w:color w:val="auto"/>
                <w:szCs w:val="21"/>
                <w:highlight w:val="none"/>
              </w:rPr>
            </w:pPr>
            <w:r>
              <w:rPr>
                <w:color w:val="auto"/>
                <w:szCs w:val="21"/>
                <w:highlight w:val="none"/>
              </w:rPr>
              <w:t>异常低价警戒线</w:t>
            </w:r>
            <w:r>
              <w:rPr>
                <w:rFonts w:hint="eastAsia"/>
                <w:color w:val="auto"/>
                <w:szCs w:val="21"/>
                <w:highlight w:val="none"/>
              </w:rPr>
              <w:t>评审</w:t>
            </w:r>
            <w:r>
              <w:rPr>
                <w:color w:val="auto"/>
                <w:szCs w:val="21"/>
                <w:highlight w:val="none"/>
              </w:rPr>
              <w:t>规则</w:t>
            </w:r>
            <w:r>
              <w:rPr>
                <w:rFonts w:hint="eastAsia"/>
                <w:color w:val="auto"/>
                <w:szCs w:val="21"/>
                <w:highlight w:val="none"/>
              </w:rPr>
              <w:t>：</w:t>
            </w:r>
          </w:p>
          <w:p w14:paraId="3F96B44E">
            <w:pPr>
              <w:adjustRightInd w:val="0"/>
              <w:snapToGrid w:val="0"/>
              <w:spacing w:line="360" w:lineRule="auto"/>
              <w:ind w:left="21" w:leftChars="10" w:right="21" w:rightChars="10"/>
              <w:rPr>
                <w:b/>
                <w:bCs/>
                <w:color w:val="auto"/>
                <w:szCs w:val="21"/>
                <w:highlight w:val="none"/>
              </w:rPr>
            </w:pPr>
            <w:r>
              <w:rPr>
                <w:b/>
                <w:bCs/>
                <w:color w:val="auto"/>
                <w:szCs w:val="21"/>
                <w:highlight w:val="none"/>
              </w:rPr>
              <w:t>1、有效报价范围</w:t>
            </w:r>
          </w:p>
          <w:p w14:paraId="54F39AE1">
            <w:pPr>
              <w:adjustRightInd w:val="0"/>
              <w:snapToGrid w:val="0"/>
              <w:spacing w:line="360" w:lineRule="auto"/>
              <w:ind w:left="21" w:leftChars="10" w:right="21" w:rightChars="10"/>
              <w:rPr>
                <w:color w:val="auto"/>
                <w:szCs w:val="21"/>
                <w:highlight w:val="none"/>
              </w:rPr>
            </w:pPr>
            <w:r>
              <w:rPr>
                <w:color w:val="auto"/>
                <w:szCs w:val="21"/>
                <w:highlight w:val="none"/>
              </w:rPr>
              <w:t>将各投标单位按报价与最高限价进行比值，剔除高于最高投标限价的95%和低于最高投标限价78%的投标报价，并去掉上述范围内最低15%和最高10%的投标单位报价，剩余投标单位的报价作为有效报价纳入异常低价警戒线计算。</w:t>
            </w:r>
          </w:p>
          <w:p w14:paraId="4CAC1895">
            <w:pPr>
              <w:adjustRightInd w:val="0"/>
              <w:snapToGrid w:val="0"/>
              <w:spacing w:line="360" w:lineRule="auto"/>
              <w:ind w:left="21" w:leftChars="10" w:right="21" w:rightChars="10"/>
              <w:rPr>
                <w:b/>
                <w:bCs/>
                <w:color w:val="auto"/>
                <w:szCs w:val="21"/>
                <w:highlight w:val="none"/>
              </w:rPr>
            </w:pPr>
            <w:r>
              <w:rPr>
                <w:b/>
                <w:bCs/>
                <w:color w:val="auto"/>
                <w:szCs w:val="21"/>
                <w:highlight w:val="none"/>
              </w:rPr>
              <w:t>2、计算综合平均数</w:t>
            </w:r>
          </w:p>
          <w:p w14:paraId="2D824F6D">
            <w:pPr>
              <w:adjustRightInd w:val="0"/>
              <w:snapToGrid w:val="0"/>
              <w:spacing w:line="360" w:lineRule="auto"/>
              <w:ind w:left="21" w:leftChars="10" w:right="21" w:rightChars="10"/>
              <w:rPr>
                <w:color w:val="auto"/>
                <w:szCs w:val="21"/>
                <w:highlight w:val="none"/>
              </w:rPr>
            </w:pPr>
            <w:r>
              <w:rPr>
                <w:color w:val="auto"/>
                <w:szCs w:val="21"/>
                <w:highlight w:val="none"/>
              </w:rPr>
              <w:t>综合平均数由以下三项数值的算术平均值确定：</w:t>
            </w:r>
          </w:p>
          <w:p w14:paraId="304660A2">
            <w:pPr>
              <w:adjustRightInd w:val="0"/>
              <w:snapToGrid w:val="0"/>
              <w:spacing w:line="360" w:lineRule="auto"/>
              <w:ind w:left="21" w:leftChars="10" w:right="21" w:rightChars="10"/>
              <w:rPr>
                <w:color w:val="auto"/>
                <w:szCs w:val="21"/>
                <w:highlight w:val="none"/>
              </w:rPr>
            </w:pPr>
            <w:r>
              <w:rPr>
                <w:color w:val="auto"/>
                <w:szCs w:val="21"/>
                <w:highlight w:val="none"/>
              </w:rPr>
              <w:t>算术平均数：所有有效报价的算术平均值；</w:t>
            </w:r>
          </w:p>
          <w:p w14:paraId="5582452A">
            <w:pPr>
              <w:adjustRightInd w:val="0"/>
              <w:snapToGrid w:val="0"/>
              <w:spacing w:line="360" w:lineRule="auto"/>
              <w:ind w:left="21" w:leftChars="10" w:right="21" w:rightChars="10"/>
              <w:rPr>
                <w:color w:val="auto"/>
                <w:szCs w:val="21"/>
                <w:highlight w:val="none"/>
              </w:rPr>
            </w:pPr>
            <w:r>
              <w:rPr>
                <w:color w:val="auto"/>
                <w:szCs w:val="21"/>
                <w:highlight w:val="none"/>
              </w:rPr>
              <w:t>中位数平均数：有效报价排序后的中间值（投标人家数为偶数时取中间两数平均值）；</w:t>
            </w:r>
          </w:p>
          <w:p w14:paraId="39CC60E1">
            <w:pPr>
              <w:adjustRightInd w:val="0"/>
              <w:snapToGrid w:val="0"/>
              <w:spacing w:line="360" w:lineRule="auto"/>
              <w:ind w:left="21" w:leftChars="10" w:right="21" w:rightChars="10"/>
              <w:rPr>
                <w:color w:val="auto"/>
                <w:szCs w:val="21"/>
                <w:highlight w:val="none"/>
              </w:rPr>
            </w:pPr>
            <w:r>
              <w:rPr>
                <w:color w:val="auto"/>
                <w:szCs w:val="21"/>
                <w:highlight w:val="none"/>
              </w:rPr>
              <w:t>四分位数平均数：有效报价的上四分位数与下四分位数的算术平均值，四分位数计算方法详见</w:t>
            </w:r>
            <w:r>
              <w:rPr>
                <w:rFonts w:hint="eastAsia"/>
                <w:color w:val="auto"/>
                <w:szCs w:val="21"/>
                <w:highlight w:val="none"/>
              </w:rPr>
              <w:t>湖南省公共资源交易服务平台公布的</w:t>
            </w:r>
            <w:r>
              <w:rPr>
                <w:color w:val="auto"/>
                <w:szCs w:val="21"/>
                <w:highlight w:val="none"/>
              </w:rPr>
              <w:t>六随机五区间报价得分模型。</w:t>
            </w:r>
          </w:p>
          <w:p w14:paraId="3C458445">
            <w:pPr>
              <w:spacing w:line="360" w:lineRule="auto"/>
              <w:ind w:left="21" w:leftChars="10" w:right="21" w:rightChars="10"/>
              <w:rPr>
                <w:color w:val="auto"/>
                <w:highlight w:val="none"/>
              </w:rPr>
            </w:pPr>
            <w:r>
              <w:rPr>
                <w:color w:val="auto"/>
                <w:szCs w:val="21"/>
                <w:highlight w:val="none"/>
              </w:rPr>
              <w:t>综合平均数=</w:t>
            </w:r>
            <w:r>
              <w:rPr>
                <w:rFonts w:hint="eastAsia"/>
                <w:color w:val="auto"/>
                <w:szCs w:val="21"/>
                <w:highlight w:val="none"/>
              </w:rPr>
              <w:t>（算数平均数+中位数平均数+四分位数平均数）/3</w:t>
            </w:r>
          </w:p>
          <w:p w14:paraId="371DBFB7">
            <w:pPr>
              <w:adjustRightInd w:val="0"/>
              <w:snapToGrid w:val="0"/>
              <w:spacing w:line="360" w:lineRule="auto"/>
              <w:ind w:left="21" w:leftChars="10" w:right="21" w:rightChars="10"/>
              <w:rPr>
                <w:color w:val="auto"/>
                <w:szCs w:val="21"/>
                <w:highlight w:val="none"/>
              </w:rPr>
            </w:pPr>
            <w:r>
              <w:rPr>
                <w:color w:val="auto"/>
                <w:szCs w:val="21"/>
                <w:highlight w:val="none"/>
              </w:rPr>
              <w:t>当有效报价的投标人家数少于5家时，综合平均数取上述范围内的投标人报价算术平均值。</w:t>
            </w:r>
          </w:p>
          <w:p w14:paraId="3C04C022">
            <w:pPr>
              <w:adjustRightInd w:val="0"/>
              <w:snapToGrid w:val="0"/>
              <w:spacing w:line="360" w:lineRule="auto"/>
              <w:ind w:left="21" w:leftChars="10" w:right="21" w:rightChars="10"/>
              <w:rPr>
                <w:b/>
                <w:bCs/>
                <w:color w:val="auto"/>
                <w:szCs w:val="21"/>
                <w:highlight w:val="none"/>
              </w:rPr>
            </w:pPr>
            <w:r>
              <w:rPr>
                <w:b/>
                <w:bCs/>
                <w:color w:val="auto"/>
                <w:szCs w:val="21"/>
                <w:highlight w:val="none"/>
              </w:rPr>
              <w:t>3、计算异常低价警戒线</w:t>
            </w:r>
          </w:p>
          <w:p w14:paraId="6CDFF51F">
            <w:pPr>
              <w:adjustRightInd w:val="0"/>
              <w:snapToGrid w:val="0"/>
              <w:spacing w:line="360" w:lineRule="auto"/>
              <w:ind w:left="21" w:leftChars="10" w:right="21" w:rightChars="10"/>
              <w:rPr>
                <w:color w:val="auto"/>
                <w:szCs w:val="21"/>
                <w:highlight w:val="none"/>
              </w:rPr>
            </w:pPr>
            <w:r>
              <w:rPr>
                <w:color w:val="auto"/>
                <w:szCs w:val="21"/>
                <w:highlight w:val="none"/>
              </w:rPr>
              <w:t>异常低价警戒线=综合平均数</w:t>
            </w:r>
            <w:r>
              <w:rPr>
                <w:rFonts w:hint="eastAsia"/>
                <w:color w:val="auto"/>
                <w:szCs w:val="21"/>
                <w:highlight w:val="none"/>
              </w:rPr>
              <w:t>*（</w:t>
            </w:r>
            <w:r>
              <w:rPr>
                <w:color w:val="auto"/>
                <w:szCs w:val="21"/>
                <w:highlight w:val="none"/>
              </w:rPr>
              <w:t>1-下浮值）（招标人在</w:t>
            </w:r>
            <w:r>
              <w:rPr>
                <w:rFonts w:hint="eastAsia"/>
                <w:color w:val="auto"/>
                <w:szCs w:val="21"/>
                <w:highlight w:val="none"/>
              </w:rPr>
              <w:t>投标须知前附表规定的</w:t>
            </w:r>
            <w:r>
              <w:rPr>
                <w:color w:val="auto"/>
                <w:szCs w:val="21"/>
                <w:highlight w:val="none"/>
              </w:rPr>
              <w:t>下浮区间内选定）</w:t>
            </w:r>
          </w:p>
          <w:p w14:paraId="3EC2A51C">
            <w:pPr>
              <w:adjustRightInd w:val="0"/>
              <w:snapToGrid w:val="0"/>
              <w:spacing w:line="360" w:lineRule="auto"/>
              <w:ind w:left="21" w:leftChars="10" w:right="21" w:rightChars="10"/>
              <w:rPr>
                <w:b/>
                <w:bCs/>
                <w:color w:val="auto"/>
                <w:szCs w:val="21"/>
                <w:highlight w:val="none"/>
              </w:rPr>
            </w:pPr>
            <w:r>
              <w:rPr>
                <w:b/>
                <w:bCs/>
                <w:color w:val="auto"/>
                <w:szCs w:val="21"/>
                <w:highlight w:val="none"/>
              </w:rPr>
              <w:t>4、下浮区间及下浮值的确定</w:t>
            </w:r>
          </w:p>
          <w:p w14:paraId="57282129">
            <w:pPr>
              <w:adjustRightInd w:val="0"/>
              <w:snapToGrid w:val="0"/>
              <w:spacing w:line="360" w:lineRule="auto"/>
              <w:ind w:left="21" w:leftChars="10" w:right="21" w:rightChars="10"/>
              <w:rPr>
                <w:color w:val="auto"/>
                <w:szCs w:val="21"/>
                <w:highlight w:val="none"/>
              </w:rPr>
            </w:pPr>
            <w:r>
              <w:rPr>
                <w:color w:val="auto"/>
                <w:szCs w:val="21"/>
                <w:highlight w:val="none"/>
              </w:rPr>
              <w:t>下浮区间为5%-10%。市州政府对于设置异常低价警戒线的管理要求与权限另有规定的，从其规定。</w:t>
            </w:r>
            <w:r>
              <w:rPr>
                <w:rFonts w:hint="eastAsia"/>
                <w:color w:val="auto"/>
                <w:szCs w:val="21"/>
                <w:highlight w:val="none"/>
              </w:rPr>
              <w:t>本项目下浮值详见第二章投标人须知前附表。</w:t>
            </w:r>
          </w:p>
          <w:p w14:paraId="39173632">
            <w:pPr>
              <w:adjustRightInd w:val="0"/>
              <w:snapToGrid w:val="0"/>
              <w:spacing w:line="360" w:lineRule="auto"/>
              <w:ind w:left="21" w:leftChars="10" w:right="21" w:rightChars="10"/>
              <w:rPr>
                <w:color w:val="auto"/>
                <w:szCs w:val="21"/>
                <w:highlight w:val="none"/>
              </w:rPr>
            </w:pPr>
            <w:r>
              <w:rPr>
                <w:color w:val="auto"/>
                <w:szCs w:val="21"/>
                <w:highlight w:val="none"/>
              </w:rPr>
              <w:t>三、低于投标成本报价竞争行为的确认与处理</w:t>
            </w:r>
          </w:p>
          <w:p w14:paraId="09931D38">
            <w:pPr>
              <w:adjustRightInd w:val="0"/>
              <w:snapToGrid w:val="0"/>
              <w:spacing w:line="360" w:lineRule="auto"/>
              <w:ind w:left="21" w:leftChars="10" w:right="21" w:rightChars="10"/>
              <w:rPr>
                <w:color w:val="auto"/>
                <w:szCs w:val="21"/>
                <w:highlight w:val="none"/>
              </w:rPr>
            </w:pPr>
            <w:r>
              <w:rPr>
                <w:color w:val="auto"/>
                <w:szCs w:val="21"/>
                <w:highlight w:val="none"/>
              </w:rPr>
              <w:t>投标报价低于异常低价警戒线（不含本数）的，视为以低于成本价竞争。</w:t>
            </w:r>
          </w:p>
          <w:p w14:paraId="421F4880">
            <w:pPr>
              <w:adjustRightInd w:val="0"/>
              <w:snapToGrid w:val="0"/>
              <w:spacing w:line="360" w:lineRule="auto"/>
              <w:ind w:left="21" w:leftChars="10" w:right="21" w:rightChars="10"/>
              <w:rPr>
                <w:rFonts w:hint="eastAsia" w:ascii="宋体" w:hAnsi="宋体" w:cs="宋体"/>
                <w:bCs/>
                <w:color w:val="auto"/>
                <w:szCs w:val="21"/>
                <w:highlight w:val="none"/>
              </w:rPr>
            </w:pPr>
            <w:r>
              <w:rPr>
                <w:color w:val="auto"/>
                <w:szCs w:val="21"/>
                <w:highlight w:val="none"/>
              </w:rPr>
              <w:t>电子交易平台自动标记低于警戒线的投标报价，评标委员会对标记的投标报价进行复核确认，确认后按无效投标处理，并记录在评标报告中。</w:t>
            </w:r>
          </w:p>
        </w:tc>
      </w:tr>
      <w:tr w14:paraId="2338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0361BE4C">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419" w:type="dxa"/>
            <w:gridSpan w:val="3"/>
            <w:vAlign w:val="center"/>
          </w:tcPr>
          <w:p w14:paraId="609FC5DB">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707B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203" w:type="dxa"/>
            <w:vMerge w:val="continue"/>
            <w:vAlign w:val="center"/>
          </w:tcPr>
          <w:p w14:paraId="7D2F3092">
            <w:pPr>
              <w:jc w:val="center"/>
              <w:rPr>
                <w:rFonts w:hint="eastAsia" w:ascii="宋体" w:hAnsi="宋体" w:cs="宋体"/>
                <w:color w:val="auto"/>
                <w:szCs w:val="21"/>
                <w:highlight w:val="none"/>
              </w:rPr>
            </w:pPr>
          </w:p>
        </w:tc>
        <w:tc>
          <w:tcPr>
            <w:tcW w:w="2612" w:type="dxa"/>
            <w:gridSpan w:val="2"/>
            <w:vAlign w:val="center"/>
          </w:tcPr>
          <w:p w14:paraId="4CE31A6E">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807" w:type="dxa"/>
            <w:vAlign w:val="center"/>
          </w:tcPr>
          <w:p w14:paraId="325FDB5F">
            <w:pPr>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与营业执照、资质证书、安全生产许可证上的名称一致；省外企业名称与在“湖南省建筑市场监管公共服务平台”报送的一致，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17AA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14:paraId="35A01232">
            <w:pPr>
              <w:jc w:val="center"/>
              <w:rPr>
                <w:rFonts w:hint="eastAsia" w:ascii="宋体" w:hAnsi="宋体" w:cs="宋体"/>
                <w:color w:val="auto"/>
                <w:szCs w:val="21"/>
                <w:highlight w:val="none"/>
              </w:rPr>
            </w:pPr>
          </w:p>
        </w:tc>
        <w:tc>
          <w:tcPr>
            <w:tcW w:w="2612" w:type="dxa"/>
            <w:gridSpan w:val="2"/>
            <w:vAlign w:val="center"/>
          </w:tcPr>
          <w:p w14:paraId="120DC248">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5807" w:type="dxa"/>
            <w:vAlign w:val="center"/>
          </w:tcPr>
          <w:p w14:paraId="29E38AB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12A4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14:paraId="2D54980F">
            <w:pPr>
              <w:jc w:val="center"/>
              <w:rPr>
                <w:rFonts w:hint="eastAsia" w:ascii="宋体" w:hAnsi="宋体" w:cs="宋体"/>
                <w:color w:val="auto"/>
                <w:szCs w:val="21"/>
                <w:highlight w:val="none"/>
              </w:rPr>
            </w:pPr>
          </w:p>
        </w:tc>
        <w:tc>
          <w:tcPr>
            <w:tcW w:w="2612" w:type="dxa"/>
            <w:gridSpan w:val="2"/>
            <w:vAlign w:val="center"/>
          </w:tcPr>
          <w:p w14:paraId="463D69BF">
            <w:pPr>
              <w:jc w:val="center"/>
              <w:rPr>
                <w:rFonts w:hint="eastAsia" w:ascii="宋体" w:hAnsi="宋体" w:cs="宋体"/>
                <w:bCs/>
                <w:color w:val="auto"/>
                <w:szCs w:val="21"/>
                <w:highlight w:val="none"/>
              </w:rPr>
            </w:pPr>
            <w:r>
              <w:rPr>
                <w:rFonts w:hint="eastAsia" w:ascii="宋体" w:hAnsi="宋体" w:cs="宋体"/>
                <w:bCs/>
                <w:color w:val="auto"/>
                <w:szCs w:val="21"/>
                <w:highlight w:val="none"/>
              </w:rPr>
              <w:t>授权委托书（如有）</w:t>
            </w:r>
          </w:p>
        </w:tc>
        <w:tc>
          <w:tcPr>
            <w:tcW w:w="5807" w:type="dxa"/>
            <w:vAlign w:val="center"/>
          </w:tcPr>
          <w:p w14:paraId="1BC79C0E">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提交授权委托书</w:t>
            </w:r>
          </w:p>
        </w:tc>
      </w:tr>
      <w:tr w14:paraId="6FA2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14:paraId="5457D16D">
            <w:pPr>
              <w:jc w:val="center"/>
              <w:rPr>
                <w:rFonts w:hint="eastAsia" w:ascii="宋体" w:hAnsi="宋体" w:cs="宋体"/>
                <w:color w:val="auto"/>
                <w:szCs w:val="21"/>
                <w:highlight w:val="none"/>
              </w:rPr>
            </w:pPr>
          </w:p>
        </w:tc>
        <w:tc>
          <w:tcPr>
            <w:tcW w:w="2612" w:type="dxa"/>
            <w:gridSpan w:val="2"/>
            <w:vAlign w:val="center"/>
          </w:tcPr>
          <w:p w14:paraId="2C458945">
            <w:pPr>
              <w:jc w:val="center"/>
              <w:rPr>
                <w:rFonts w:hint="eastAsia" w:ascii="宋体" w:hAnsi="宋体" w:cs="宋体"/>
                <w:bCs/>
                <w:color w:val="auto"/>
                <w:szCs w:val="21"/>
                <w:highlight w:val="none"/>
              </w:rPr>
            </w:pPr>
            <w:r>
              <w:rPr>
                <w:rFonts w:ascii="宋体" w:hAnsi="宋体" w:cs="宋体"/>
                <w:bCs/>
                <w:color w:val="auto"/>
                <w:szCs w:val="21"/>
                <w:highlight w:val="none"/>
              </w:rPr>
              <w:t>投标文件签字盖章</w:t>
            </w:r>
          </w:p>
        </w:tc>
        <w:tc>
          <w:tcPr>
            <w:tcW w:w="5807" w:type="dxa"/>
            <w:vAlign w:val="center"/>
          </w:tcPr>
          <w:p w14:paraId="277F5050">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符合第二章“投标人须知”第3.7.3项规定</w:t>
            </w:r>
          </w:p>
        </w:tc>
      </w:tr>
      <w:tr w14:paraId="1FA0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14:paraId="190C7869">
            <w:pPr>
              <w:jc w:val="center"/>
              <w:rPr>
                <w:rFonts w:hint="eastAsia" w:ascii="宋体" w:hAnsi="宋体" w:cs="宋体"/>
                <w:color w:val="auto"/>
                <w:szCs w:val="21"/>
                <w:highlight w:val="none"/>
              </w:rPr>
            </w:pPr>
          </w:p>
        </w:tc>
        <w:tc>
          <w:tcPr>
            <w:tcW w:w="2612" w:type="dxa"/>
            <w:gridSpan w:val="2"/>
            <w:vAlign w:val="center"/>
          </w:tcPr>
          <w:p w14:paraId="0063ED4F">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投标报价</w:t>
            </w:r>
          </w:p>
        </w:tc>
        <w:tc>
          <w:tcPr>
            <w:tcW w:w="5807" w:type="dxa"/>
            <w:vAlign w:val="center"/>
          </w:tcPr>
          <w:p w14:paraId="7372F1C1">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只能有一个有效报价</w:t>
            </w:r>
          </w:p>
        </w:tc>
      </w:tr>
      <w:tr w14:paraId="362B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14:paraId="20E5EB85">
            <w:pPr>
              <w:jc w:val="center"/>
              <w:rPr>
                <w:rFonts w:hint="eastAsia" w:ascii="宋体" w:hAnsi="宋体" w:cs="宋体"/>
                <w:color w:val="auto"/>
                <w:szCs w:val="21"/>
                <w:highlight w:val="none"/>
              </w:rPr>
            </w:pPr>
          </w:p>
        </w:tc>
        <w:tc>
          <w:tcPr>
            <w:tcW w:w="2612" w:type="dxa"/>
            <w:gridSpan w:val="2"/>
            <w:vAlign w:val="center"/>
          </w:tcPr>
          <w:p w14:paraId="4DD74461">
            <w:pPr>
              <w:jc w:val="center"/>
              <w:rPr>
                <w:rFonts w:hint="eastAsia" w:ascii="宋体" w:hAnsi="宋体" w:cs="宋体"/>
                <w:color w:val="auto"/>
                <w:szCs w:val="21"/>
                <w:highlight w:val="none"/>
              </w:rPr>
            </w:pPr>
            <w:r>
              <w:rPr>
                <w:rFonts w:hint="eastAsia" w:ascii="宋体" w:hAnsi="宋体" w:cs="宋体"/>
                <w:bCs/>
                <w:color w:val="auto"/>
                <w:szCs w:val="21"/>
                <w:highlight w:val="none"/>
              </w:rPr>
              <w:t>联合体协议书（如有）</w:t>
            </w:r>
          </w:p>
        </w:tc>
        <w:tc>
          <w:tcPr>
            <w:tcW w:w="5807" w:type="dxa"/>
            <w:vAlign w:val="center"/>
          </w:tcPr>
          <w:p w14:paraId="45B08CB5">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6948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03" w:type="dxa"/>
            <w:vMerge w:val="continue"/>
            <w:vAlign w:val="center"/>
          </w:tcPr>
          <w:p w14:paraId="646FD27C">
            <w:pPr>
              <w:jc w:val="center"/>
              <w:rPr>
                <w:rFonts w:hint="eastAsia" w:ascii="宋体" w:hAnsi="宋体" w:cs="宋体"/>
                <w:color w:val="auto"/>
                <w:szCs w:val="21"/>
                <w:highlight w:val="none"/>
              </w:rPr>
            </w:pPr>
          </w:p>
        </w:tc>
        <w:tc>
          <w:tcPr>
            <w:tcW w:w="2612" w:type="dxa"/>
            <w:gridSpan w:val="2"/>
            <w:vAlign w:val="center"/>
          </w:tcPr>
          <w:p w14:paraId="19EA0BFF">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w:t>
            </w:r>
          </w:p>
        </w:tc>
        <w:tc>
          <w:tcPr>
            <w:tcW w:w="5807" w:type="dxa"/>
            <w:vAlign w:val="center"/>
          </w:tcPr>
          <w:p w14:paraId="45505CFC">
            <w:pPr>
              <w:jc w:val="center"/>
              <w:rPr>
                <w:rFonts w:hint="eastAsia" w:ascii="宋体" w:hAnsi="宋体" w:cs="宋体"/>
                <w:bCs/>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3362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restart"/>
            <w:vAlign w:val="center"/>
          </w:tcPr>
          <w:p w14:paraId="39C60461">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419" w:type="dxa"/>
            <w:gridSpan w:val="3"/>
            <w:vAlign w:val="center"/>
          </w:tcPr>
          <w:p w14:paraId="2F501265">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689E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79E99962">
            <w:pPr>
              <w:jc w:val="center"/>
              <w:rPr>
                <w:rFonts w:hint="eastAsia" w:ascii="宋体" w:hAnsi="宋体" w:cs="宋体"/>
                <w:color w:val="auto"/>
                <w:szCs w:val="21"/>
                <w:highlight w:val="none"/>
              </w:rPr>
            </w:pPr>
          </w:p>
        </w:tc>
        <w:tc>
          <w:tcPr>
            <w:tcW w:w="2612" w:type="dxa"/>
            <w:gridSpan w:val="2"/>
            <w:vAlign w:val="center"/>
          </w:tcPr>
          <w:p w14:paraId="4F5EF934">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5807" w:type="dxa"/>
            <w:vAlign w:val="center"/>
          </w:tcPr>
          <w:p w14:paraId="56F179FA">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26EE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3A81305E">
            <w:pPr>
              <w:jc w:val="center"/>
              <w:rPr>
                <w:rFonts w:hint="eastAsia" w:ascii="宋体" w:hAnsi="宋体" w:cs="宋体"/>
                <w:color w:val="auto"/>
                <w:szCs w:val="21"/>
                <w:highlight w:val="none"/>
              </w:rPr>
            </w:pPr>
          </w:p>
        </w:tc>
        <w:tc>
          <w:tcPr>
            <w:tcW w:w="2612" w:type="dxa"/>
            <w:gridSpan w:val="2"/>
            <w:vAlign w:val="center"/>
          </w:tcPr>
          <w:p w14:paraId="2A4B7FDB">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5807" w:type="dxa"/>
            <w:vAlign w:val="center"/>
          </w:tcPr>
          <w:p w14:paraId="35C70F5D">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63FF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3" w:type="dxa"/>
            <w:vMerge w:val="continue"/>
            <w:vAlign w:val="center"/>
          </w:tcPr>
          <w:p w14:paraId="0E73EB78">
            <w:pPr>
              <w:jc w:val="center"/>
              <w:rPr>
                <w:rFonts w:hint="eastAsia" w:ascii="宋体" w:hAnsi="宋体" w:cs="宋体"/>
                <w:color w:val="auto"/>
                <w:szCs w:val="21"/>
                <w:highlight w:val="none"/>
              </w:rPr>
            </w:pPr>
          </w:p>
        </w:tc>
        <w:tc>
          <w:tcPr>
            <w:tcW w:w="2612" w:type="dxa"/>
            <w:gridSpan w:val="2"/>
            <w:vAlign w:val="center"/>
          </w:tcPr>
          <w:p w14:paraId="27FDD57E">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5807" w:type="dxa"/>
            <w:vAlign w:val="center"/>
          </w:tcPr>
          <w:p w14:paraId="4A479B37">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03DC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2B1245E6">
            <w:pPr>
              <w:jc w:val="center"/>
              <w:rPr>
                <w:rFonts w:hint="eastAsia" w:ascii="宋体" w:hAnsi="宋体" w:cs="宋体"/>
                <w:color w:val="auto"/>
                <w:szCs w:val="21"/>
                <w:highlight w:val="none"/>
              </w:rPr>
            </w:pPr>
          </w:p>
        </w:tc>
        <w:tc>
          <w:tcPr>
            <w:tcW w:w="2612" w:type="dxa"/>
            <w:gridSpan w:val="2"/>
            <w:vAlign w:val="center"/>
          </w:tcPr>
          <w:p w14:paraId="4610C30D">
            <w:pPr>
              <w:pStyle w:val="229"/>
              <w:spacing w:line="240" w:lineRule="exact"/>
              <w:ind w:firstLine="0" w:firstLineChars="0"/>
              <w:jc w:val="center"/>
              <w:rPr>
                <w:rFonts w:hint="eastAsia" w:ascii="宋体" w:hAnsi="宋体" w:cs="宋体"/>
                <w:color w:val="auto"/>
                <w:szCs w:val="21"/>
                <w:highlight w:val="none"/>
              </w:rPr>
            </w:pPr>
            <w:bookmarkStart w:id="253" w:name="_Toc193801710"/>
            <w:bookmarkStart w:id="254" w:name="_Toc211498616"/>
            <w:bookmarkStart w:id="255" w:name="_Toc193802668"/>
            <w:bookmarkStart w:id="256" w:name="_Toc193802287"/>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253"/>
            <w:bookmarkEnd w:id="254"/>
            <w:bookmarkEnd w:id="255"/>
            <w:bookmarkEnd w:id="256"/>
          </w:p>
        </w:tc>
        <w:tc>
          <w:tcPr>
            <w:tcW w:w="5807" w:type="dxa"/>
            <w:vAlign w:val="center"/>
          </w:tcPr>
          <w:p w14:paraId="4DC5A4E4">
            <w:pPr>
              <w:pStyle w:val="229"/>
              <w:spacing w:line="240" w:lineRule="exact"/>
              <w:ind w:firstLine="0" w:firstLineChars="0"/>
              <w:jc w:val="left"/>
              <w:rPr>
                <w:rFonts w:hint="eastAsia" w:ascii="宋体" w:hAnsi="宋体" w:cs="宋体"/>
                <w:color w:val="auto"/>
                <w:szCs w:val="21"/>
                <w:highlight w:val="none"/>
              </w:rPr>
            </w:pPr>
            <w:bookmarkStart w:id="257" w:name="_Toc211498617"/>
            <w:bookmarkStart w:id="258" w:name="_Toc193802669"/>
            <w:bookmarkStart w:id="259" w:name="_Toc193801711"/>
            <w:bookmarkStart w:id="260" w:name="_Toc193802288"/>
            <w:r>
              <w:rPr>
                <w:rFonts w:hint="eastAsia" w:ascii="宋体" w:hAnsi="宋体" w:eastAsia="宋体" w:cs="宋体"/>
                <w:bCs/>
                <w:color w:val="auto"/>
                <w:sz w:val="21"/>
                <w:szCs w:val="21"/>
                <w:highlight w:val="none"/>
                <w:u w:val="none"/>
              </w:rPr>
              <w:t>符合第二章投标人须知第1.4.1项规定</w:t>
            </w:r>
            <w:bookmarkEnd w:id="257"/>
            <w:bookmarkEnd w:id="258"/>
            <w:bookmarkEnd w:id="259"/>
            <w:bookmarkEnd w:id="260"/>
          </w:p>
        </w:tc>
      </w:tr>
      <w:tr w14:paraId="7802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5EE6F7A2">
            <w:pPr>
              <w:jc w:val="center"/>
              <w:rPr>
                <w:rFonts w:hint="eastAsia" w:ascii="宋体" w:hAnsi="宋体" w:cs="宋体"/>
                <w:color w:val="auto"/>
                <w:szCs w:val="21"/>
                <w:highlight w:val="none"/>
              </w:rPr>
            </w:pPr>
          </w:p>
        </w:tc>
        <w:tc>
          <w:tcPr>
            <w:tcW w:w="2612" w:type="dxa"/>
            <w:gridSpan w:val="2"/>
            <w:vAlign w:val="center"/>
          </w:tcPr>
          <w:p w14:paraId="35DE5F36">
            <w:pPr>
              <w:pStyle w:val="229"/>
              <w:spacing w:line="240" w:lineRule="exact"/>
              <w:ind w:firstLine="0" w:firstLineChars="0"/>
              <w:jc w:val="center"/>
              <w:rPr>
                <w:rFonts w:hint="eastAsia" w:ascii="宋体" w:hAnsi="宋体" w:eastAsia="宋体" w:cs="宋体"/>
                <w:bCs/>
                <w:color w:val="auto"/>
                <w:sz w:val="21"/>
                <w:szCs w:val="21"/>
                <w:highlight w:val="none"/>
              </w:rPr>
            </w:pPr>
            <w:bookmarkStart w:id="261" w:name="_Toc211498618"/>
            <w:bookmarkStart w:id="262" w:name="_Toc193802670"/>
            <w:bookmarkStart w:id="263" w:name="_Toc193801712"/>
            <w:bookmarkStart w:id="264" w:name="_Toc193802289"/>
            <w:r>
              <w:rPr>
                <w:rFonts w:hint="eastAsia" w:ascii="宋体" w:hAnsi="宋体" w:eastAsia="宋体" w:cs="宋体"/>
                <w:bCs/>
                <w:color w:val="auto"/>
                <w:sz w:val="21"/>
                <w:szCs w:val="21"/>
                <w:highlight w:val="none"/>
                <w:u w:val="none"/>
              </w:rPr>
              <w:t>法定代表人资格（不适用）</w:t>
            </w:r>
            <w:bookmarkEnd w:id="261"/>
            <w:bookmarkEnd w:id="262"/>
            <w:bookmarkEnd w:id="263"/>
            <w:bookmarkEnd w:id="264"/>
          </w:p>
        </w:tc>
        <w:tc>
          <w:tcPr>
            <w:tcW w:w="5807" w:type="dxa"/>
            <w:vAlign w:val="center"/>
          </w:tcPr>
          <w:p w14:paraId="1DB17D7B">
            <w:pPr>
              <w:pStyle w:val="229"/>
              <w:spacing w:line="240" w:lineRule="exact"/>
              <w:ind w:firstLine="0" w:firstLineChars="0"/>
              <w:jc w:val="left"/>
              <w:rPr>
                <w:rFonts w:hint="eastAsia" w:ascii="宋体" w:hAnsi="宋体" w:cs="宋体"/>
                <w:color w:val="auto"/>
                <w:szCs w:val="21"/>
                <w:highlight w:val="none"/>
              </w:rPr>
            </w:pPr>
            <w:bookmarkStart w:id="265" w:name="_Toc211498619"/>
            <w:bookmarkStart w:id="266" w:name="_Toc193802671"/>
            <w:bookmarkStart w:id="267" w:name="_Toc193802290"/>
            <w:bookmarkStart w:id="268" w:name="_Toc193801713"/>
            <w:r>
              <w:rPr>
                <w:rFonts w:hint="eastAsia" w:ascii="宋体" w:hAnsi="宋体" w:eastAsia="宋体" w:cs="宋体"/>
                <w:bCs/>
                <w:color w:val="auto"/>
                <w:sz w:val="21"/>
                <w:szCs w:val="21"/>
                <w:highlight w:val="none"/>
                <w:u w:val="none"/>
              </w:rPr>
              <w:t>符合第二章投标人须知第1.4.1项规定</w:t>
            </w:r>
            <w:bookmarkEnd w:id="265"/>
            <w:bookmarkEnd w:id="266"/>
            <w:bookmarkEnd w:id="267"/>
            <w:bookmarkEnd w:id="268"/>
          </w:p>
        </w:tc>
      </w:tr>
      <w:tr w14:paraId="702C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1771A0B2">
            <w:pPr>
              <w:jc w:val="center"/>
              <w:rPr>
                <w:rFonts w:hint="eastAsia" w:ascii="宋体" w:hAnsi="宋体" w:cs="宋体"/>
                <w:color w:val="auto"/>
                <w:szCs w:val="21"/>
                <w:highlight w:val="none"/>
              </w:rPr>
            </w:pPr>
          </w:p>
        </w:tc>
        <w:tc>
          <w:tcPr>
            <w:tcW w:w="2612" w:type="dxa"/>
            <w:gridSpan w:val="2"/>
            <w:vAlign w:val="center"/>
          </w:tcPr>
          <w:p w14:paraId="45AA0DEE">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5807" w:type="dxa"/>
            <w:vAlign w:val="center"/>
          </w:tcPr>
          <w:p w14:paraId="03529DF6">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2F79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2408753D">
            <w:pPr>
              <w:jc w:val="center"/>
              <w:rPr>
                <w:rFonts w:hint="eastAsia" w:ascii="宋体" w:hAnsi="宋体" w:cs="宋体"/>
                <w:color w:val="auto"/>
                <w:szCs w:val="21"/>
                <w:highlight w:val="none"/>
              </w:rPr>
            </w:pPr>
          </w:p>
        </w:tc>
        <w:tc>
          <w:tcPr>
            <w:tcW w:w="2612" w:type="dxa"/>
            <w:gridSpan w:val="2"/>
            <w:vAlign w:val="center"/>
          </w:tcPr>
          <w:p w14:paraId="194D1ACA">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5807" w:type="dxa"/>
            <w:vAlign w:val="center"/>
          </w:tcPr>
          <w:p w14:paraId="15A556C8">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11E1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20E32AF2">
            <w:pPr>
              <w:jc w:val="center"/>
              <w:rPr>
                <w:rFonts w:hint="eastAsia" w:ascii="宋体" w:hAnsi="宋体" w:cs="宋体"/>
                <w:color w:val="auto"/>
                <w:szCs w:val="21"/>
                <w:highlight w:val="none"/>
              </w:rPr>
            </w:pPr>
          </w:p>
        </w:tc>
        <w:tc>
          <w:tcPr>
            <w:tcW w:w="2612" w:type="dxa"/>
            <w:gridSpan w:val="2"/>
            <w:vAlign w:val="center"/>
          </w:tcPr>
          <w:p w14:paraId="6F152A24">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5807" w:type="dxa"/>
            <w:vAlign w:val="center"/>
          </w:tcPr>
          <w:p w14:paraId="4F08935B">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0608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42442E65">
            <w:pPr>
              <w:jc w:val="center"/>
              <w:rPr>
                <w:rFonts w:hint="eastAsia" w:ascii="宋体" w:hAnsi="宋体" w:cs="宋体"/>
                <w:color w:val="auto"/>
                <w:szCs w:val="21"/>
                <w:highlight w:val="none"/>
              </w:rPr>
            </w:pPr>
          </w:p>
        </w:tc>
        <w:tc>
          <w:tcPr>
            <w:tcW w:w="2612" w:type="dxa"/>
            <w:gridSpan w:val="2"/>
            <w:vAlign w:val="center"/>
          </w:tcPr>
          <w:p w14:paraId="1D2EBBDE">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807" w:type="dxa"/>
            <w:vAlign w:val="center"/>
          </w:tcPr>
          <w:p w14:paraId="48E7A57E">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7569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03" w:type="dxa"/>
            <w:vMerge w:val="continue"/>
            <w:vAlign w:val="center"/>
          </w:tcPr>
          <w:p w14:paraId="4BDC5C3B">
            <w:pPr>
              <w:jc w:val="center"/>
              <w:rPr>
                <w:rFonts w:hint="eastAsia" w:ascii="宋体" w:hAnsi="宋体" w:cs="宋体"/>
                <w:color w:val="auto"/>
                <w:szCs w:val="21"/>
                <w:highlight w:val="none"/>
              </w:rPr>
            </w:pPr>
          </w:p>
        </w:tc>
        <w:tc>
          <w:tcPr>
            <w:tcW w:w="8419" w:type="dxa"/>
            <w:gridSpan w:val="3"/>
            <w:vAlign w:val="center"/>
          </w:tcPr>
          <w:p w14:paraId="6D11571E">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不再对投标人资格进行评审。投标人资格预审申请文件的内容发生了重大变化的，由交易系统依据资格预审文件中规定的标准和方法，对照投标人资格预审申请文件中的资料以及开标前更新的资料，对其更新的资料进行评审，其变化后的资格条件不得低于原有资格条件要求。</w:t>
            </w:r>
          </w:p>
          <w:p w14:paraId="7269D008">
            <w:pPr>
              <w:rPr>
                <w:rFonts w:hint="eastAsia" w:ascii="宋体" w:hAnsi="宋体" w:cs="宋体"/>
                <w:bCs/>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tc>
      </w:tr>
      <w:tr w14:paraId="6A6F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Merge w:val="restart"/>
            <w:vAlign w:val="center"/>
          </w:tcPr>
          <w:p w14:paraId="438DEBC7">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419" w:type="dxa"/>
            <w:gridSpan w:val="3"/>
            <w:vAlign w:val="center"/>
          </w:tcPr>
          <w:p w14:paraId="4805DD80">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56DE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20598A03">
            <w:pPr>
              <w:jc w:val="center"/>
              <w:rPr>
                <w:rFonts w:hint="eastAsia" w:ascii="宋体" w:hAnsi="宋体" w:cs="宋体"/>
                <w:color w:val="auto"/>
                <w:szCs w:val="21"/>
                <w:highlight w:val="none"/>
              </w:rPr>
            </w:pPr>
          </w:p>
        </w:tc>
        <w:tc>
          <w:tcPr>
            <w:tcW w:w="2436" w:type="dxa"/>
            <w:vAlign w:val="center"/>
          </w:tcPr>
          <w:p w14:paraId="431F22EB">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983" w:type="dxa"/>
            <w:gridSpan w:val="2"/>
            <w:vAlign w:val="center"/>
          </w:tcPr>
          <w:p w14:paraId="2687610E">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1F00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1203" w:type="dxa"/>
            <w:vMerge w:val="continue"/>
            <w:vAlign w:val="center"/>
          </w:tcPr>
          <w:p w14:paraId="5E26DE26">
            <w:pPr>
              <w:jc w:val="center"/>
              <w:rPr>
                <w:rFonts w:hint="eastAsia" w:ascii="宋体" w:hAnsi="宋体" w:cs="宋体"/>
                <w:color w:val="auto"/>
                <w:szCs w:val="21"/>
                <w:highlight w:val="none"/>
              </w:rPr>
            </w:pPr>
          </w:p>
        </w:tc>
        <w:tc>
          <w:tcPr>
            <w:tcW w:w="2436" w:type="dxa"/>
            <w:vAlign w:val="center"/>
          </w:tcPr>
          <w:p w14:paraId="058D07CA">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983" w:type="dxa"/>
            <w:gridSpan w:val="2"/>
            <w:vAlign w:val="center"/>
          </w:tcPr>
          <w:p w14:paraId="3DC2B9E1">
            <w:pPr>
              <w:rPr>
                <w:rFonts w:ascii="Calibri" w:hAnsi="Calibri" w:cs="Calibri"/>
                <w:color w:val="auto"/>
                <w:szCs w:val="21"/>
                <w:highlight w:val="none"/>
              </w:rPr>
            </w:pPr>
            <w:r>
              <w:rPr>
                <w:rFonts w:hint="eastAsia" w:ascii="Calibri" w:hAnsi="Calibri" w:cs="Calibri"/>
                <w:color w:val="auto"/>
                <w:szCs w:val="21"/>
                <w:highlight w:val="none"/>
              </w:rPr>
              <w:t>投标报价未超过招标文件规定的最高投标限价；</w:t>
            </w:r>
          </w:p>
          <w:p w14:paraId="1B2139A8">
            <w:pPr>
              <w:rPr>
                <w:rFonts w:ascii="Calibri" w:hAnsi="Calibri" w:cs="Calibri"/>
                <w:color w:val="auto"/>
                <w:szCs w:val="21"/>
                <w:highlight w:val="none"/>
              </w:rPr>
            </w:pPr>
            <w:r>
              <w:rPr>
                <w:rFonts w:hint="eastAsia" w:ascii="Calibri" w:hAnsi="Calibri" w:cs="Calibri"/>
                <w:color w:val="auto"/>
                <w:szCs w:val="21"/>
                <w:highlight w:val="none"/>
              </w:rPr>
              <w:t>投标报价中的安全生产措施费费率未低于省住房城乡建设主管部门公布的费率；</w:t>
            </w:r>
          </w:p>
          <w:p w14:paraId="44BFFA26">
            <w:pPr>
              <w:rPr>
                <w:rFonts w:ascii="Calibri" w:hAnsi="Calibri" w:cs="Calibri"/>
                <w:color w:val="auto"/>
                <w:szCs w:val="21"/>
                <w:highlight w:val="none"/>
              </w:rPr>
            </w:pPr>
            <w:r>
              <w:rPr>
                <w:rFonts w:hint="eastAsia" w:ascii="Calibri" w:hAnsi="Calibri" w:cs="Calibri"/>
                <w:color w:val="auto"/>
                <w:szCs w:val="21"/>
                <w:highlight w:val="none"/>
              </w:rPr>
              <w:t>投标报价中的增值税按照政府有关主管部门的规定计算费用；</w:t>
            </w:r>
          </w:p>
          <w:p w14:paraId="3AFEC09E">
            <w:pPr>
              <w:rPr>
                <w:rFonts w:ascii="Calibri" w:hAnsi="Calibri" w:cs="Calibri"/>
                <w:color w:val="auto"/>
                <w:szCs w:val="21"/>
                <w:highlight w:val="none"/>
              </w:rPr>
            </w:pPr>
            <w:r>
              <w:rPr>
                <w:rFonts w:hint="eastAsia" w:ascii="Calibri" w:hAnsi="Calibri" w:cs="Calibri"/>
                <w:color w:val="auto"/>
                <w:szCs w:val="21"/>
                <w:highlight w:val="none"/>
              </w:rPr>
              <w:t>投标报价中的暂列金额和专业工程暂估价金额和材料暂估单价与招标人公布的暂列金额和专业工程暂估价金额和材料暂估单价保持一致的；</w:t>
            </w:r>
          </w:p>
          <w:p w14:paraId="40EB9AEA">
            <w:pPr>
              <w:rPr>
                <w:rFonts w:hint="eastAsia" w:ascii="宋体" w:hAnsi="宋体" w:cs="宋体"/>
                <w:color w:val="auto"/>
                <w:szCs w:val="21"/>
                <w:highlight w:val="none"/>
              </w:rPr>
            </w:pPr>
            <w:r>
              <w:rPr>
                <w:rFonts w:hint="eastAsia" w:ascii="Calibri" w:hAnsi="Calibri" w:cs="Calibri"/>
                <w:color w:val="auto"/>
                <w:szCs w:val="21"/>
                <w:highlight w:val="none"/>
              </w:rPr>
              <w:t>投标报价中的分部分项工程项目清单（不含在分部分项工程项目清单中列项的措施项目费）项目编码、项目名称、项目特征、计量单位和工程数量与招标</w:t>
            </w:r>
            <w:r>
              <w:rPr>
                <w:rFonts w:hint="eastAsia" w:ascii="Calibri" w:hAnsi="Calibri" w:cs="Calibri"/>
                <w:color w:val="auto"/>
                <w:szCs w:val="21"/>
                <w:highlight w:val="none"/>
                <w:lang w:eastAsia="zh"/>
              </w:rPr>
              <w:t>人公布的</w:t>
            </w:r>
            <w:r>
              <w:rPr>
                <w:rFonts w:hint="eastAsia" w:ascii="Calibri" w:hAnsi="Calibri" w:cs="Calibri"/>
                <w:color w:val="auto"/>
                <w:szCs w:val="21"/>
                <w:highlight w:val="none"/>
              </w:rPr>
              <w:t>分部分项工程项目清单（不含在分部分项工程项目清单中列项的措施项目费）项目编码、项目名称、项目特征、计量单位和工程数量保持一致的（适用于采用单价合同的工程）。</w:t>
            </w:r>
          </w:p>
        </w:tc>
      </w:tr>
      <w:tr w14:paraId="1403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0ADA10D8">
            <w:pPr>
              <w:jc w:val="center"/>
              <w:rPr>
                <w:rFonts w:hint="eastAsia" w:ascii="宋体" w:hAnsi="宋体" w:cs="宋体"/>
                <w:color w:val="auto"/>
                <w:szCs w:val="21"/>
                <w:highlight w:val="none"/>
              </w:rPr>
            </w:pPr>
          </w:p>
        </w:tc>
        <w:tc>
          <w:tcPr>
            <w:tcW w:w="2436" w:type="dxa"/>
            <w:vAlign w:val="center"/>
          </w:tcPr>
          <w:p w14:paraId="6A48F36A">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983" w:type="dxa"/>
            <w:gridSpan w:val="2"/>
            <w:vAlign w:val="center"/>
          </w:tcPr>
          <w:p w14:paraId="299FD244">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4DE1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762CE647">
            <w:pPr>
              <w:jc w:val="center"/>
              <w:rPr>
                <w:rFonts w:hint="eastAsia" w:ascii="宋体" w:hAnsi="宋体" w:cs="宋体"/>
                <w:color w:val="auto"/>
                <w:szCs w:val="21"/>
                <w:highlight w:val="none"/>
              </w:rPr>
            </w:pPr>
          </w:p>
        </w:tc>
        <w:tc>
          <w:tcPr>
            <w:tcW w:w="2436" w:type="dxa"/>
            <w:vAlign w:val="center"/>
          </w:tcPr>
          <w:p w14:paraId="29E58EE6">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5983" w:type="dxa"/>
            <w:gridSpan w:val="2"/>
            <w:vAlign w:val="center"/>
          </w:tcPr>
          <w:p w14:paraId="04DA76CB">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4BB0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1FF26F93">
            <w:pPr>
              <w:jc w:val="center"/>
              <w:rPr>
                <w:rFonts w:hint="eastAsia" w:ascii="宋体" w:hAnsi="宋体" w:cs="宋体"/>
                <w:color w:val="auto"/>
                <w:szCs w:val="21"/>
                <w:highlight w:val="none"/>
              </w:rPr>
            </w:pPr>
          </w:p>
        </w:tc>
        <w:tc>
          <w:tcPr>
            <w:tcW w:w="2436" w:type="dxa"/>
            <w:vAlign w:val="center"/>
          </w:tcPr>
          <w:p w14:paraId="4B52D46F">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w:t>
            </w:r>
            <w:r>
              <w:rPr>
                <w:rFonts w:hint="eastAsia" w:ascii="宋体" w:hAnsi="宋体" w:cs="宋体"/>
                <w:color w:val="auto"/>
                <w:szCs w:val="21"/>
                <w:highlight w:val="none"/>
              </w:rPr>
              <w:t>报送</w:t>
            </w:r>
          </w:p>
        </w:tc>
        <w:tc>
          <w:tcPr>
            <w:tcW w:w="5983" w:type="dxa"/>
            <w:gridSpan w:val="2"/>
            <w:vAlign w:val="center"/>
          </w:tcPr>
          <w:p w14:paraId="25D8B0E7">
            <w:pPr>
              <w:rPr>
                <w:rFonts w:hint="eastAsia" w:ascii="宋体" w:hAnsi="宋体" w:cs="宋体"/>
                <w:color w:val="auto"/>
                <w:kern w:val="0"/>
                <w:szCs w:val="21"/>
                <w:highlight w:val="none"/>
              </w:rPr>
            </w:pPr>
            <w:r>
              <w:rPr>
                <w:rFonts w:hint="eastAsia" w:ascii="Calibri" w:hAnsi="Calibri" w:cs="Calibri"/>
                <w:color w:val="auto"/>
                <w:szCs w:val="21"/>
                <w:highlight w:val="none"/>
              </w:rPr>
              <w:t xml:space="preserve">符合第二章“投标人须知”的规定   </w:t>
            </w:r>
          </w:p>
        </w:tc>
      </w:tr>
      <w:tr w14:paraId="170F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03" w:type="dxa"/>
            <w:vMerge w:val="continue"/>
            <w:vAlign w:val="center"/>
          </w:tcPr>
          <w:p w14:paraId="4C446034">
            <w:pPr>
              <w:jc w:val="center"/>
              <w:rPr>
                <w:rFonts w:hint="eastAsia" w:ascii="宋体" w:hAnsi="宋体" w:cs="宋体"/>
                <w:color w:val="auto"/>
                <w:szCs w:val="21"/>
                <w:highlight w:val="none"/>
              </w:rPr>
            </w:pPr>
          </w:p>
        </w:tc>
        <w:tc>
          <w:tcPr>
            <w:tcW w:w="2436" w:type="dxa"/>
            <w:vAlign w:val="center"/>
          </w:tcPr>
          <w:p w14:paraId="419C2D99">
            <w:pPr>
              <w:jc w:val="center"/>
              <w:rPr>
                <w:rFonts w:ascii="Calibri" w:hAnsi="Calibri" w:cs="Calibri"/>
                <w:color w:val="auto"/>
                <w:szCs w:val="21"/>
                <w:highlight w:val="none"/>
              </w:rPr>
            </w:pPr>
            <w:r>
              <w:rPr>
                <w:rFonts w:hint="eastAsia" w:ascii="宋体" w:hAnsi="宋体" w:cs="宋体"/>
                <w:bCs/>
                <w:color w:val="auto"/>
                <w:szCs w:val="21"/>
                <w:highlight w:val="none"/>
              </w:rPr>
              <w:t>拟任项目经理在建情况</w:t>
            </w:r>
          </w:p>
        </w:tc>
        <w:tc>
          <w:tcPr>
            <w:tcW w:w="5983" w:type="dxa"/>
            <w:gridSpan w:val="2"/>
            <w:vAlign w:val="center"/>
          </w:tcPr>
          <w:p w14:paraId="22B92473">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符合第二章“投标人须知”的规定</w:t>
            </w:r>
          </w:p>
        </w:tc>
      </w:tr>
      <w:tr w14:paraId="5AEB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203" w:type="dxa"/>
            <w:vMerge w:val="continue"/>
            <w:vAlign w:val="center"/>
          </w:tcPr>
          <w:p w14:paraId="2F426405">
            <w:pPr>
              <w:jc w:val="center"/>
              <w:rPr>
                <w:rFonts w:hint="eastAsia" w:ascii="宋体" w:hAnsi="宋体" w:cs="宋体"/>
                <w:color w:val="auto"/>
                <w:szCs w:val="21"/>
                <w:highlight w:val="none"/>
              </w:rPr>
            </w:pPr>
          </w:p>
        </w:tc>
        <w:tc>
          <w:tcPr>
            <w:tcW w:w="2436" w:type="dxa"/>
            <w:vAlign w:val="center"/>
          </w:tcPr>
          <w:p w14:paraId="6B7D5A2C">
            <w:pPr>
              <w:jc w:val="center"/>
              <w:rPr>
                <w:rFonts w:ascii="Calibri" w:hAnsi="Calibri" w:cs="Calibri"/>
                <w:color w:val="auto"/>
                <w:szCs w:val="21"/>
                <w:highlight w:val="none"/>
              </w:rPr>
            </w:pPr>
            <w:r>
              <w:rPr>
                <w:rFonts w:hint="eastAsia" w:ascii="宋体" w:hAnsi="宋体" w:cs="宋体"/>
                <w:bCs/>
                <w:color w:val="auto"/>
                <w:szCs w:val="21"/>
                <w:highlight w:val="none"/>
              </w:rPr>
              <w:t>投标保证金</w:t>
            </w:r>
          </w:p>
        </w:tc>
        <w:tc>
          <w:tcPr>
            <w:tcW w:w="5983" w:type="dxa"/>
            <w:gridSpan w:val="2"/>
            <w:vAlign w:val="center"/>
          </w:tcPr>
          <w:p w14:paraId="543FBD0C">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376F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086D2666">
            <w:pPr>
              <w:jc w:val="center"/>
              <w:rPr>
                <w:rFonts w:hint="eastAsia" w:ascii="宋体" w:hAnsi="宋体" w:cs="宋体"/>
                <w:color w:val="auto"/>
                <w:szCs w:val="21"/>
                <w:highlight w:val="none"/>
              </w:rPr>
            </w:pPr>
          </w:p>
        </w:tc>
        <w:tc>
          <w:tcPr>
            <w:tcW w:w="2436" w:type="dxa"/>
            <w:vAlign w:val="center"/>
          </w:tcPr>
          <w:p w14:paraId="337226C8">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983" w:type="dxa"/>
            <w:gridSpan w:val="2"/>
            <w:vAlign w:val="center"/>
          </w:tcPr>
          <w:p w14:paraId="4ACA926C">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529B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388E55EA">
            <w:pPr>
              <w:jc w:val="center"/>
              <w:rPr>
                <w:rFonts w:hint="eastAsia" w:ascii="宋体" w:hAnsi="宋体" w:cs="宋体"/>
                <w:color w:val="auto"/>
                <w:szCs w:val="21"/>
                <w:highlight w:val="none"/>
              </w:rPr>
            </w:pPr>
          </w:p>
        </w:tc>
        <w:tc>
          <w:tcPr>
            <w:tcW w:w="2436" w:type="dxa"/>
            <w:vAlign w:val="center"/>
          </w:tcPr>
          <w:p w14:paraId="7839A1AD">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5983" w:type="dxa"/>
            <w:gridSpan w:val="2"/>
            <w:vAlign w:val="center"/>
          </w:tcPr>
          <w:p w14:paraId="3C2838BC">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45F6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2DEE3F5C">
            <w:pPr>
              <w:jc w:val="center"/>
              <w:rPr>
                <w:rFonts w:hint="eastAsia" w:ascii="宋体" w:hAnsi="宋体" w:cs="宋体"/>
                <w:color w:val="auto"/>
                <w:szCs w:val="21"/>
                <w:highlight w:val="none"/>
              </w:rPr>
            </w:pPr>
          </w:p>
        </w:tc>
        <w:tc>
          <w:tcPr>
            <w:tcW w:w="2436" w:type="dxa"/>
            <w:vAlign w:val="center"/>
          </w:tcPr>
          <w:p w14:paraId="5C86431F">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5983" w:type="dxa"/>
            <w:gridSpan w:val="2"/>
            <w:vAlign w:val="center"/>
          </w:tcPr>
          <w:p w14:paraId="195B858C">
            <w:pPr>
              <w:pStyle w:val="224"/>
              <w:rPr>
                <w:rFonts w:hint="eastAsia" w:ascii="宋体" w:hAnsi="宋体" w:eastAsia="宋体" w:cs="宋体"/>
                <w:color w:val="auto"/>
                <w:szCs w:val="21"/>
                <w:highlight w:val="none"/>
              </w:rPr>
            </w:pPr>
            <w:r>
              <w:rPr>
                <w:rFonts w:hint="eastAsia" w:ascii="宋体" w:hAnsi="宋体" w:eastAsia="宋体" w:cs="宋体"/>
                <w:bCs/>
                <w:color w:val="auto"/>
                <w:kern w:val="2"/>
                <w:sz w:val="21"/>
                <w:szCs w:val="21"/>
                <w:highlight w:val="none"/>
              </w:rPr>
              <w:t>符合第七章技术标准和要求（合同技术条款）的规定</w:t>
            </w:r>
          </w:p>
        </w:tc>
      </w:tr>
      <w:tr w14:paraId="083D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0CCE86E4">
            <w:pPr>
              <w:jc w:val="center"/>
              <w:rPr>
                <w:rFonts w:hint="eastAsia" w:ascii="宋体" w:hAnsi="宋体" w:cs="宋体"/>
                <w:color w:val="auto"/>
                <w:szCs w:val="21"/>
                <w:highlight w:val="none"/>
              </w:rPr>
            </w:pPr>
          </w:p>
        </w:tc>
        <w:tc>
          <w:tcPr>
            <w:tcW w:w="2436" w:type="dxa"/>
            <w:vAlign w:val="center"/>
          </w:tcPr>
          <w:p w14:paraId="106FF885">
            <w:pPr>
              <w:spacing w:after="0"/>
              <w:jc w:val="center"/>
              <w:rPr>
                <w:rFonts w:hint="eastAsia" w:ascii="宋体" w:hAnsi="宋体" w:cs="宋体"/>
                <w:bCs/>
                <w:color w:val="auto"/>
                <w:szCs w:val="21"/>
                <w:highlight w:val="none"/>
              </w:rPr>
            </w:pPr>
            <w:r>
              <w:rPr>
                <w:rFonts w:hint="eastAsia"/>
                <w:color w:val="auto"/>
                <w:highlight w:val="none"/>
              </w:rPr>
              <w:t>党建工作要求</w:t>
            </w:r>
          </w:p>
        </w:tc>
        <w:tc>
          <w:tcPr>
            <w:tcW w:w="5983" w:type="dxa"/>
            <w:gridSpan w:val="2"/>
            <w:vAlign w:val="center"/>
          </w:tcPr>
          <w:p w14:paraId="050744E8">
            <w:pPr>
              <w:spacing w:after="0"/>
              <w:rPr>
                <w:rFonts w:hint="eastAsia" w:ascii="宋体" w:hAnsi="宋体" w:cs="宋体"/>
                <w:bCs/>
                <w:color w:val="auto"/>
                <w:szCs w:val="21"/>
                <w:highlight w:val="none"/>
              </w:rPr>
            </w:pPr>
            <w:r>
              <w:rPr>
                <w:rFonts w:hint="eastAsia"/>
                <w:color w:val="auto"/>
                <w:highlight w:val="none"/>
              </w:rPr>
              <w:t>符合第二章投标人须知前附表第10.19.5款规定。</w:t>
            </w:r>
          </w:p>
        </w:tc>
      </w:tr>
      <w:tr w14:paraId="66C5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22AC8379">
            <w:pPr>
              <w:jc w:val="center"/>
              <w:rPr>
                <w:rFonts w:hint="eastAsia" w:ascii="宋体" w:hAnsi="宋体" w:cs="宋体"/>
                <w:color w:val="auto"/>
                <w:szCs w:val="21"/>
                <w:highlight w:val="none"/>
              </w:rPr>
            </w:pPr>
          </w:p>
        </w:tc>
        <w:tc>
          <w:tcPr>
            <w:tcW w:w="2436" w:type="dxa"/>
            <w:vAlign w:val="center"/>
          </w:tcPr>
          <w:p w14:paraId="498F3A12">
            <w:pPr>
              <w:jc w:val="center"/>
              <w:rPr>
                <w:rFonts w:hint="eastAsia" w:ascii="宋体" w:hAnsi="宋体" w:cs="宋体"/>
                <w:bCs/>
                <w:color w:val="auto"/>
                <w:szCs w:val="21"/>
                <w:highlight w:val="none"/>
              </w:rPr>
            </w:pPr>
            <w:r>
              <w:rPr>
                <w:rFonts w:hint="eastAsia" w:ascii="宋体" w:hAnsi="宋体" w:cs="宋体"/>
                <w:bCs/>
                <w:color w:val="auto"/>
                <w:szCs w:val="21"/>
                <w:highlight w:val="none"/>
              </w:rPr>
              <w:t>工程结算款支付账户（不适用）</w:t>
            </w:r>
          </w:p>
        </w:tc>
        <w:tc>
          <w:tcPr>
            <w:tcW w:w="5983" w:type="dxa"/>
            <w:gridSpan w:val="2"/>
            <w:vAlign w:val="center"/>
          </w:tcPr>
          <w:p w14:paraId="190A2436">
            <w:pPr>
              <w:pStyle w:val="224"/>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符合第二章投标人须知第10条的规定</w:t>
            </w:r>
          </w:p>
        </w:tc>
      </w:tr>
      <w:tr w14:paraId="7DA3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Align w:val="center"/>
          </w:tcPr>
          <w:p w14:paraId="59939AFE">
            <w:pPr>
              <w:snapToGrid w:val="0"/>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419" w:type="dxa"/>
            <w:gridSpan w:val="3"/>
            <w:vAlign w:val="center"/>
          </w:tcPr>
          <w:p w14:paraId="5853B241">
            <w:pPr>
              <w:snapToGrid w:val="0"/>
              <w:ind w:firstLine="4" w:firstLineChars="2"/>
              <w:jc w:val="center"/>
              <w:rPr>
                <w:rFonts w:hint="eastAsia" w:ascii="宋体" w:hAnsi="宋体" w:cs="宋体"/>
                <w:bCs/>
                <w:color w:val="auto"/>
                <w:szCs w:val="21"/>
                <w:highlight w:val="none"/>
              </w:rPr>
            </w:pPr>
            <w:r>
              <w:rPr>
                <w:rFonts w:hint="eastAsia" w:ascii="宋体" w:hAnsi="宋体" w:cs="宋体"/>
                <w:color w:val="auto"/>
                <w:szCs w:val="21"/>
                <w:highlight w:val="none"/>
              </w:rPr>
              <w:t>编列内容</w:t>
            </w:r>
          </w:p>
        </w:tc>
      </w:tr>
      <w:tr w14:paraId="14E0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Align w:val="center"/>
          </w:tcPr>
          <w:p w14:paraId="7B53379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36" w:type="dxa"/>
            <w:vAlign w:val="center"/>
          </w:tcPr>
          <w:p w14:paraId="4FB30DE1">
            <w:pPr>
              <w:snapToGrid w:val="0"/>
              <w:jc w:val="center"/>
              <w:rPr>
                <w:rFonts w:hint="eastAsia" w:ascii="宋体" w:hAnsi="宋体" w:cs="宋体"/>
                <w:bCs/>
                <w:color w:val="auto"/>
                <w:szCs w:val="21"/>
                <w:highlight w:val="none"/>
              </w:rPr>
            </w:pPr>
            <w:r>
              <w:rPr>
                <w:rFonts w:hint="eastAsia" w:ascii="宋体" w:hAnsi="宋体" w:cs="宋体"/>
                <w:color w:val="auto"/>
                <w:szCs w:val="21"/>
                <w:highlight w:val="none"/>
              </w:rPr>
              <w:t>评标程序</w:t>
            </w:r>
          </w:p>
        </w:tc>
        <w:tc>
          <w:tcPr>
            <w:tcW w:w="5983" w:type="dxa"/>
            <w:gridSpan w:val="2"/>
            <w:vAlign w:val="center"/>
          </w:tcPr>
          <w:p w14:paraId="00C8BC5D">
            <w:pPr>
              <w:snapToGrid w:val="0"/>
              <w:rPr>
                <w:rFonts w:hint="eastAsia" w:ascii="宋体" w:hAnsi="宋体" w:cs="宋体"/>
                <w:bCs/>
                <w:color w:val="auto"/>
                <w:szCs w:val="21"/>
                <w:highlight w:val="none"/>
              </w:rPr>
            </w:pPr>
            <w:r>
              <w:rPr>
                <w:rFonts w:hint="eastAsia" w:ascii="宋体" w:hAnsi="宋体" w:cs="宋体"/>
                <w:color w:val="auto"/>
                <w:szCs w:val="21"/>
                <w:highlight w:val="none"/>
              </w:rPr>
              <w:t>详见本章正文</w:t>
            </w:r>
          </w:p>
        </w:tc>
      </w:tr>
      <w:tr w14:paraId="445A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Align w:val="center"/>
          </w:tcPr>
          <w:p w14:paraId="14E211B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436" w:type="dxa"/>
            <w:vAlign w:val="center"/>
          </w:tcPr>
          <w:p w14:paraId="514E6615">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否决投标情形</w:t>
            </w:r>
          </w:p>
        </w:tc>
        <w:tc>
          <w:tcPr>
            <w:tcW w:w="5983" w:type="dxa"/>
            <w:gridSpan w:val="2"/>
            <w:vAlign w:val="center"/>
          </w:tcPr>
          <w:p w14:paraId="3E9D8349">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bl>
    <w:p w14:paraId="50D10311">
      <w:pPr>
        <w:widowControl/>
        <w:jc w:val="left"/>
        <w:rPr>
          <w:color w:val="auto"/>
          <w:highlight w:val="none"/>
        </w:rPr>
      </w:pPr>
    </w:p>
    <w:p w14:paraId="5FEE82F1">
      <w:pPr>
        <w:spacing w:line="312" w:lineRule="auto"/>
        <w:jc w:val="center"/>
        <w:rPr>
          <w:rFonts w:eastAsia="黑体"/>
          <w:bCs/>
          <w:color w:val="auto"/>
          <w:sz w:val="30"/>
          <w:highlight w:val="none"/>
        </w:rPr>
      </w:pPr>
      <w:r>
        <w:rPr>
          <w:color w:val="auto"/>
          <w:highlight w:val="none"/>
        </w:rPr>
        <w:br w:type="page"/>
      </w:r>
      <w:bookmarkStart w:id="269" w:name="_Hlk193448317"/>
      <w:r>
        <w:rPr>
          <w:rFonts w:eastAsia="黑体"/>
          <w:bCs/>
          <w:color w:val="auto"/>
          <w:sz w:val="30"/>
          <w:highlight w:val="none"/>
        </w:rPr>
        <w:t>评标办法（经评审的最低投标价法）</w:t>
      </w:r>
    </w:p>
    <w:p w14:paraId="556B7AF1">
      <w:pPr>
        <w:snapToGrid w:val="0"/>
        <w:spacing w:line="400" w:lineRule="exact"/>
        <w:ind w:firstLine="420" w:firstLineChars="200"/>
        <w:rPr>
          <w:color w:val="auto"/>
          <w:highlight w:val="none"/>
        </w:rPr>
      </w:pPr>
      <w:r>
        <w:rPr>
          <w:rFonts w:hint="eastAsia"/>
          <w:color w:val="auto"/>
          <w:highlight w:val="none"/>
        </w:rPr>
        <w:t>本次评标采用经评审的最低投标价法。按照不低于异常低价警戒线的投标人投标价格从低至高的排序，由交易系统自动识别一定数量的投标单位进行阶段性初步评审，评标委员会对通过初步评审的投标单位，将经评审的投标价格由低到高的顺序推荐中标候选人，</w:t>
      </w:r>
      <w:r>
        <w:rPr>
          <w:rFonts w:hint="eastAsia" w:ascii="宋体" w:hAnsi="宋体" w:cs="宋体"/>
          <w:bCs/>
          <w:color w:val="auto"/>
          <w:szCs w:val="21"/>
          <w:highlight w:val="none"/>
        </w:rPr>
        <w:t>投标价格相同不能确定中标候选人高低排序的，</w:t>
      </w:r>
      <w:r>
        <w:rPr>
          <w:rFonts w:hint="eastAsia"/>
          <w:color w:val="auto"/>
          <w:highlight w:val="none"/>
        </w:rPr>
        <w:t>由交易系统随机确定不能高低排序的中标候选人。投标报价以“元”为单位，小数点后保留2位，按四舍五入原则进行排序 。</w:t>
      </w:r>
    </w:p>
    <w:p w14:paraId="38BC2208">
      <w:pPr>
        <w:pStyle w:val="3"/>
        <w:snapToGrid w:val="0"/>
        <w:spacing w:before="0" w:after="0" w:line="400" w:lineRule="exact"/>
        <w:rPr>
          <w:rFonts w:ascii="Times New Roman" w:hAnsi="Times New Roman" w:eastAsia="黑体"/>
          <w:b w:val="0"/>
          <w:bCs w:val="0"/>
          <w:color w:val="auto"/>
          <w:sz w:val="30"/>
          <w:highlight w:val="none"/>
        </w:rPr>
      </w:pPr>
      <w:bookmarkStart w:id="270" w:name="_Toc9178332"/>
      <w:bookmarkStart w:id="271" w:name="_Toc80006100"/>
      <w:bookmarkStart w:id="272" w:name="_Toc9178190"/>
      <w:bookmarkStart w:id="273" w:name="_Toc211498620"/>
      <w:bookmarkStart w:id="274" w:name="_Toc9178529"/>
      <w:r>
        <w:rPr>
          <w:rFonts w:ascii="Times New Roman" w:hAnsi="Times New Roman" w:eastAsia="黑体"/>
          <w:b w:val="0"/>
          <w:bCs w:val="0"/>
          <w:color w:val="auto"/>
          <w:sz w:val="30"/>
          <w:highlight w:val="none"/>
        </w:rPr>
        <w:t>1.评审标准</w:t>
      </w:r>
      <w:bookmarkEnd w:id="270"/>
      <w:bookmarkEnd w:id="271"/>
      <w:bookmarkEnd w:id="272"/>
      <w:bookmarkEnd w:id="273"/>
      <w:bookmarkEnd w:id="274"/>
    </w:p>
    <w:p w14:paraId="37E71D00">
      <w:pPr>
        <w:snapToGrid w:val="0"/>
        <w:spacing w:line="400" w:lineRule="exact"/>
        <w:ind w:firstLine="420" w:firstLineChars="200"/>
        <w:rPr>
          <w:color w:val="auto"/>
          <w:highlight w:val="none"/>
        </w:rPr>
      </w:pPr>
      <w:r>
        <w:rPr>
          <w:rFonts w:hint="eastAsia"/>
          <w:color w:val="auto"/>
          <w:highlight w:val="none"/>
        </w:rPr>
        <w:t>1</w:t>
      </w:r>
      <w:r>
        <w:rPr>
          <w:color w:val="auto"/>
          <w:highlight w:val="none"/>
        </w:rPr>
        <w:t>.1 形式评审标准：见评标办法前附表。</w:t>
      </w:r>
    </w:p>
    <w:p w14:paraId="6BC6D311">
      <w:pPr>
        <w:snapToGrid w:val="0"/>
        <w:spacing w:line="400" w:lineRule="exact"/>
        <w:ind w:firstLine="420" w:firstLineChars="200"/>
        <w:rPr>
          <w:color w:val="auto"/>
          <w:highlight w:val="none"/>
        </w:rPr>
      </w:pPr>
      <w:r>
        <w:rPr>
          <w:color w:val="auto"/>
          <w:highlight w:val="none"/>
        </w:rPr>
        <w:t>1.2 资格评审标准：见评标办法前附表</w:t>
      </w:r>
    </w:p>
    <w:p w14:paraId="746CB9E8">
      <w:pPr>
        <w:snapToGrid w:val="0"/>
        <w:spacing w:line="400" w:lineRule="exact"/>
        <w:ind w:firstLine="840" w:firstLineChars="400"/>
        <w:rPr>
          <w:color w:val="auto"/>
          <w:highlight w:val="none"/>
        </w:rPr>
      </w:pPr>
      <w:r>
        <w:rPr>
          <w:color w:val="auto"/>
          <w:highlight w:val="none"/>
        </w:rPr>
        <w:t>已进行资格预审的，见本招标项目资格预审文件第三章“资格审查办法”详细审查标准</w:t>
      </w:r>
      <w:r>
        <w:rPr>
          <w:rFonts w:hint="eastAsia"/>
          <w:color w:val="auto"/>
          <w:highlight w:val="none"/>
        </w:rPr>
        <w:t>。</w:t>
      </w:r>
    </w:p>
    <w:p w14:paraId="0688BBE4">
      <w:pPr>
        <w:snapToGrid w:val="0"/>
        <w:spacing w:line="400" w:lineRule="exact"/>
        <w:ind w:firstLine="420" w:firstLineChars="200"/>
        <w:rPr>
          <w:color w:val="auto"/>
          <w:highlight w:val="none"/>
        </w:rPr>
      </w:pPr>
      <w:r>
        <w:rPr>
          <w:color w:val="auto"/>
          <w:highlight w:val="none"/>
        </w:rPr>
        <w:t>1.3 响应性评审标准：见评标办法前附表。</w:t>
      </w:r>
    </w:p>
    <w:p w14:paraId="6C9DE66E">
      <w:pPr>
        <w:pStyle w:val="3"/>
        <w:snapToGrid w:val="0"/>
        <w:spacing w:before="0" w:after="0" w:line="400" w:lineRule="exact"/>
        <w:rPr>
          <w:rFonts w:ascii="Times New Roman" w:hAnsi="Times New Roman" w:eastAsia="黑体"/>
          <w:b w:val="0"/>
          <w:bCs w:val="0"/>
          <w:color w:val="auto"/>
          <w:sz w:val="30"/>
          <w:highlight w:val="none"/>
        </w:rPr>
      </w:pPr>
      <w:bookmarkStart w:id="275" w:name="_Toc9178191"/>
      <w:bookmarkStart w:id="276" w:name="_Toc211498621"/>
      <w:bookmarkStart w:id="277" w:name="_Toc80006101"/>
      <w:bookmarkStart w:id="278" w:name="_Toc9178333"/>
      <w:bookmarkStart w:id="279" w:name="_Toc9178530"/>
      <w:r>
        <w:rPr>
          <w:rFonts w:ascii="Times New Roman" w:hAnsi="Times New Roman" w:eastAsia="黑体"/>
          <w:b w:val="0"/>
          <w:bCs w:val="0"/>
          <w:color w:val="auto"/>
          <w:sz w:val="30"/>
          <w:highlight w:val="none"/>
        </w:rPr>
        <w:t>2.评审程序</w:t>
      </w:r>
      <w:bookmarkEnd w:id="275"/>
      <w:bookmarkEnd w:id="276"/>
      <w:bookmarkEnd w:id="277"/>
      <w:bookmarkEnd w:id="278"/>
      <w:bookmarkEnd w:id="279"/>
    </w:p>
    <w:p w14:paraId="463C3F55">
      <w:pPr>
        <w:snapToGrid w:val="0"/>
        <w:spacing w:line="400" w:lineRule="exact"/>
        <w:ind w:firstLine="420" w:firstLineChars="200"/>
        <w:rPr>
          <w:color w:val="auto"/>
          <w:highlight w:val="none"/>
        </w:rPr>
      </w:pPr>
      <w:r>
        <w:rPr>
          <w:rFonts w:hint="eastAsia"/>
          <w:color w:val="auto"/>
          <w:highlight w:val="none"/>
        </w:rPr>
        <w:t>2.1异常低价警戒线评审：具体详见评标办法前附表规定。</w:t>
      </w:r>
    </w:p>
    <w:p w14:paraId="3775C730">
      <w:pPr>
        <w:snapToGrid w:val="0"/>
        <w:spacing w:line="400" w:lineRule="exact"/>
        <w:ind w:firstLine="420" w:firstLineChars="200"/>
        <w:rPr>
          <w:color w:val="auto"/>
          <w:highlight w:val="none"/>
        </w:rPr>
      </w:pPr>
      <w:r>
        <w:rPr>
          <w:rFonts w:hint="eastAsia"/>
          <w:color w:val="auto"/>
          <w:highlight w:val="none"/>
        </w:rPr>
        <w:t>2.2确定进入初步评审的阶段的名单：具体详见第二章投标人须知前附表规定。</w:t>
      </w:r>
    </w:p>
    <w:p w14:paraId="3B81AF0F">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2.3形式、资格、响应性评审；</w:t>
      </w:r>
    </w:p>
    <w:p w14:paraId="31A6EFCE">
      <w:pPr>
        <w:shd w:val="clear" w:color="auto" w:fill="FFFFFF"/>
        <w:snapToGrid w:val="0"/>
        <w:spacing w:line="400" w:lineRule="exact"/>
        <w:ind w:firstLine="420" w:firstLineChars="200"/>
        <w:rPr>
          <w:color w:val="auto"/>
          <w:kern w:val="0"/>
          <w:szCs w:val="32"/>
          <w:highlight w:val="none"/>
        </w:rPr>
      </w:pPr>
      <w:r>
        <w:rPr>
          <w:color w:val="auto"/>
          <w:kern w:val="0"/>
          <w:szCs w:val="32"/>
          <w:highlight w:val="none"/>
        </w:rPr>
        <w:t xml:space="preserve">2.4 </w:t>
      </w:r>
      <w:r>
        <w:rPr>
          <w:rFonts w:hint="eastAsia"/>
          <w:color w:val="auto"/>
          <w:kern w:val="0"/>
          <w:szCs w:val="32"/>
          <w:highlight w:val="none"/>
        </w:rPr>
        <w:t>评标委员会复核；</w:t>
      </w:r>
    </w:p>
    <w:p w14:paraId="361D2286">
      <w:pPr>
        <w:shd w:val="clear" w:color="auto" w:fill="FFFFFF"/>
        <w:snapToGrid w:val="0"/>
        <w:spacing w:line="400" w:lineRule="exact"/>
        <w:ind w:firstLine="420" w:firstLineChars="200"/>
        <w:rPr>
          <w:color w:val="auto"/>
          <w:kern w:val="0"/>
          <w:szCs w:val="32"/>
          <w:highlight w:val="none"/>
        </w:rPr>
      </w:pPr>
      <w:r>
        <w:rPr>
          <w:color w:val="auto"/>
          <w:kern w:val="0"/>
          <w:szCs w:val="32"/>
          <w:highlight w:val="none"/>
        </w:rPr>
        <w:t>2.5</w:t>
      </w:r>
      <w:r>
        <w:rPr>
          <w:rFonts w:hint="eastAsia"/>
          <w:color w:val="auto"/>
          <w:kern w:val="0"/>
          <w:szCs w:val="32"/>
          <w:highlight w:val="none"/>
        </w:rPr>
        <w:t>评标委员会邀请招标人、招标代理机构进行复核，并提出复核意见，评标委员会对复核意见进行讨论，并记录</w:t>
      </w:r>
      <w:r>
        <w:rPr>
          <w:rFonts w:hint="eastAsia"/>
          <w:color w:val="auto"/>
          <w:szCs w:val="21"/>
          <w:highlight w:val="none"/>
        </w:rPr>
        <w:t>采纳和不采纳情况及不采纳理由</w:t>
      </w:r>
      <w:r>
        <w:rPr>
          <w:rFonts w:hint="eastAsia"/>
          <w:color w:val="auto"/>
          <w:kern w:val="0"/>
          <w:szCs w:val="32"/>
          <w:highlight w:val="none"/>
        </w:rPr>
        <w:t>；</w:t>
      </w:r>
    </w:p>
    <w:p w14:paraId="177D96EA">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2.6投标价格由低到高排序；</w:t>
      </w:r>
    </w:p>
    <w:p w14:paraId="5FB01DFA">
      <w:pPr>
        <w:shd w:val="clear" w:color="auto" w:fill="FFFFFF"/>
        <w:snapToGrid w:val="0"/>
        <w:spacing w:line="400" w:lineRule="exact"/>
        <w:ind w:firstLine="420" w:firstLineChars="200"/>
        <w:rPr>
          <w:color w:val="auto"/>
          <w:kern w:val="0"/>
          <w:szCs w:val="32"/>
          <w:highlight w:val="none"/>
        </w:rPr>
      </w:pPr>
      <w:r>
        <w:rPr>
          <w:color w:val="auto"/>
          <w:kern w:val="0"/>
          <w:szCs w:val="32"/>
          <w:highlight w:val="none"/>
        </w:rPr>
        <w:t>2.</w:t>
      </w:r>
      <w:r>
        <w:rPr>
          <w:rFonts w:hint="eastAsia"/>
          <w:color w:val="auto"/>
          <w:kern w:val="0"/>
          <w:szCs w:val="32"/>
          <w:highlight w:val="none"/>
        </w:rPr>
        <w:t>7</w:t>
      </w:r>
      <w:r>
        <w:rPr>
          <w:color w:val="auto"/>
          <w:kern w:val="0"/>
          <w:szCs w:val="32"/>
          <w:highlight w:val="none"/>
        </w:rPr>
        <w:t xml:space="preserve"> </w:t>
      </w:r>
      <w:r>
        <w:rPr>
          <w:rFonts w:hint="eastAsia"/>
          <w:color w:val="auto"/>
          <w:kern w:val="0"/>
          <w:szCs w:val="32"/>
          <w:highlight w:val="none"/>
        </w:rPr>
        <w:t>汇总结果；</w:t>
      </w:r>
    </w:p>
    <w:p w14:paraId="4B55D8CE">
      <w:pPr>
        <w:spacing w:line="360" w:lineRule="auto"/>
        <w:ind w:firstLine="420" w:firstLineChars="200"/>
        <w:rPr>
          <w:rFonts w:eastAsia="黑体"/>
          <w:color w:val="auto"/>
          <w:sz w:val="24"/>
          <w:highlight w:val="none"/>
        </w:rPr>
      </w:pPr>
      <w:r>
        <w:rPr>
          <w:rFonts w:hint="eastAsia"/>
          <w:color w:val="auto"/>
          <w:highlight w:val="none"/>
        </w:rPr>
        <w:t>2.8</w:t>
      </w:r>
      <w:r>
        <w:rPr>
          <w:color w:val="auto"/>
          <w:highlight w:val="none"/>
        </w:rPr>
        <w:t>提交评标报告。</w:t>
      </w:r>
    </w:p>
    <w:p w14:paraId="73E6EC65">
      <w:pPr>
        <w:pStyle w:val="3"/>
        <w:snapToGrid w:val="0"/>
        <w:spacing w:before="0" w:after="0" w:line="400" w:lineRule="exact"/>
        <w:rPr>
          <w:rFonts w:ascii="Times New Roman" w:hAnsi="Times New Roman" w:eastAsia="黑体"/>
          <w:b w:val="0"/>
          <w:bCs w:val="0"/>
          <w:color w:val="auto"/>
          <w:sz w:val="30"/>
          <w:highlight w:val="none"/>
        </w:rPr>
      </w:pPr>
      <w:bookmarkStart w:id="280" w:name="_Toc211498622"/>
      <w:r>
        <w:rPr>
          <w:rFonts w:ascii="Times New Roman" w:hAnsi="Times New Roman" w:eastAsia="黑体"/>
          <w:b w:val="0"/>
          <w:bCs w:val="0"/>
          <w:color w:val="auto"/>
          <w:sz w:val="30"/>
          <w:highlight w:val="none"/>
        </w:rPr>
        <w:t>3.</w:t>
      </w:r>
      <w:r>
        <w:rPr>
          <w:rFonts w:hint="eastAsia" w:ascii="Times New Roman" w:hAnsi="Times New Roman" w:eastAsia="黑体"/>
          <w:b w:val="0"/>
          <w:bCs w:val="0"/>
          <w:color w:val="auto"/>
          <w:sz w:val="30"/>
          <w:highlight w:val="none"/>
        </w:rPr>
        <w:t>初步评审（</w:t>
      </w:r>
      <w:r>
        <w:rPr>
          <w:rFonts w:ascii="Times New Roman" w:hAnsi="Times New Roman" w:eastAsia="黑体"/>
          <w:b w:val="0"/>
          <w:bCs w:val="0"/>
          <w:color w:val="auto"/>
          <w:sz w:val="30"/>
          <w:highlight w:val="none"/>
        </w:rPr>
        <w:t>形式、资格、响应性评审</w:t>
      </w:r>
      <w:r>
        <w:rPr>
          <w:rFonts w:hint="eastAsia" w:ascii="Times New Roman" w:hAnsi="Times New Roman" w:eastAsia="黑体"/>
          <w:b w:val="0"/>
          <w:bCs w:val="0"/>
          <w:color w:val="auto"/>
          <w:sz w:val="30"/>
          <w:highlight w:val="none"/>
        </w:rPr>
        <w:t>）</w:t>
      </w:r>
      <w:bookmarkEnd w:id="280"/>
    </w:p>
    <w:p w14:paraId="07DE9FB5">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依据评标办法的规定对投标文件进行评审。有一项不符合评审标准的，应当予以否决。</w:t>
      </w:r>
    </w:p>
    <w:p w14:paraId="31F985CF">
      <w:pPr>
        <w:pStyle w:val="162"/>
        <w:rPr>
          <w:color w:val="auto"/>
          <w:highlight w:val="none"/>
        </w:rPr>
      </w:pPr>
      <w:bookmarkStart w:id="281" w:name="_Toc193802675"/>
      <w:bookmarkStart w:id="282" w:name="_Toc211498623"/>
      <w:bookmarkStart w:id="283" w:name="_Toc193802294"/>
      <w:r>
        <w:rPr>
          <w:rFonts w:hint="eastAsia"/>
          <w:color w:val="auto"/>
          <w:highlight w:val="none"/>
        </w:rPr>
        <w:t>3</w:t>
      </w:r>
      <w:r>
        <w:rPr>
          <w:color w:val="auto"/>
          <w:highlight w:val="none"/>
        </w:rPr>
        <w:t>.1 形式评审</w:t>
      </w:r>
      <w:bookmarkEnd w:id="281"/>
      <w:bookmarkEnd w:id="282"/>
      <w:bookmarkEnd w:id="283"/>
    </w:p>
    <w:p w14:paraId="1D12100F">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根据评标办法前附表中规定的评审因素和评审标准，对投标人的投标文件进行形式评审。</w:t>
      </w:r>
    </w:p>
    <w:p w14:paraId="4C1E3C68">
      <w:pPr>
        <w:pStyle w:val="162"/>
        <w:rPr>
          <w:color w:val="auto"/>
          <w:highlight w:val="none"/>
        </w:rPr>
      </w:pPr>
      <w:bookmarkStart w:id="284" w:name="_Toc211498624"/>
      <w:bookmarkStart w:id="285" w:name="_Toc193802295"/>
      <w:bookmarkStart w:id="286" w:name="_Toc193802676"/>
      <w:r>
        <w:rPr>
          <w:rFonts w:hint="eastAsia"/>
          <w:color w:val="auto"/>
          <w:highlight w:val="none"/>
        </w:rPr>
        <w:t>3</w:t>
      </w:r>
      <w:r>
        <w:rPr>
          <w:color w:val="auto"/>
          <w:highlight w:val="none"/>
        </w:rPr>
        <w:t>.2 资格评审</w:t>
      </w:r>
      <w:bookmarkEnd w:id="284"/>
      <w:bookmarkEnd w:id="285"/>
      <w:bookmarkEnd w:id="286"/>
    </w:p>
    <w:p w14:paraId="51535696">
      <w:pPr>
        <w:spacing w:line="360" w:lineRule="auto"/>
        <w:ind w:firstLine="420" w:firstLineChars="200"/>
        <w:rPr>
          <w:color w:val="auto"/>
          <w:highlight w:val="none"/>
        </w:rPr>
      </w:pPr>
      <w:r>
        <w:rPr>
          <w:rFonts w:hint="eastAsia"/>
          <w:color w:val="auto"/>
          <w:highlight w:val="none"/>
        </w:rPr>
        <w:t>3</w:t>
      </w:r>
      <w:r>
        <w:rPr>
          <w:color w:val="auto"/>
          <w:highlight w:val="none"/>
        </w:rPr>
        <w:t>.2.1未进行资格预审的，由</w:t>
      </w:r>
      <w:r>
        <w:rPr>
          <w:rFonts w:hint="eastAsia"/>
          <w:color w:val="auto"/>
          <w:szCs w:val="21"/>
          <w:highlight w:val="none"/>
        </w:rPr>
        <w:t>交易系统</w:t>
      </w:r>
      <w:r>
        <w:rPr>
          <w:color w:val="auto"/>
          <w:highlight w:val="none"/>
        </w:rPr>
        <w:t>根据评标办法前附表规定的评审因素和评审标准，对投标人的投标文件进行资格评审。</w:t>
      </w:r>
    </w:p>
    <w:p w14:paraId="38C4F82A">
      <w:pPr>
        <w:spacing w:line="360" w:lineRule="auto"/>
        <w:ind w:firstLine="420" w:firstLineChars="200"/>
        <w:rPr>
          <w:color w:val="auto"/>
          <w:highlight w:val="none"/>
        </w:rPr>
      </w:pPr>
      <w:r>
        <w:rPr>
          <w:rFonts w:hint="eastAsia"/>
          <w:color w:val="auto"/>
          <w:highlight w:val="none"/>
        </w:rPr>
        <w:t>3</w:t>
      </w:r>
      <w:r>
        <w:rPr>
          <w:color w:val="auto"/>
          <w:highlight w:val="none"/>
        </w:rPr>
        <w:t>.2.</w:t>
      </w:r>
      <w:r>
        <w:rPr>
          <w:rFonts w:hint="eastAsia"/>
          <w:color w:val="auto"/>
          <w:highlight w:val="none"/>
        </w:rPr>
        <w:t>2</w:t>
      </w:r>
      <w:r>
        <w:rPr>
          <w:color w:val="auto"/>
          <w:highlight w:val="none"/>
        </w:rPr>
        <w:t>已进行资格预审的，</w:t>
      </w:r>
      <w:r>
        <w:rPr>
          <w:rFonts w:hint="eastAsia"/>
          <w:color w:val="auto"/>
          <w:szCs w:val="21"/>
          <w:highlight w:val="none"/>
        </w:rPr>
        <w:t>交易系统</w:t>
      </w:r>
      <w:r>
        <w:rPr>
          <w:color w:val="auto"/>
          <w:highlight w:val="none"/>
        </w:rPr>
        <w:t>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w:t>
      </w:r>
      <w:r>
        <w:rPr>
          <w:rFonts w:hint="eastAsia"/>
          <w:color w:val="auto"/>
          <w:szCs w:val="21"/>
          <w:highlight w:val="none"/>
        </w:rPr>
        <w:t>交易系统</w:t>
      </w:r>
      <w:r>
        <w:rPr>
          <w:color w:val="auto"/>
          <w:highlight w:val="none"/>
        </w:rPr>
        <w:t>依据资格预审文件规定的标准和方法，对照投标人资格预审申请文件中的资料以及开标前更新的资料，对其更新的资料进行评审，其变化后的资格条件不得低于原有资格条件要求。</w:t>
      </w:r>
    </w:p>
    <w:p w14:paraId="2317E6A7">
      <w:pPr>
        <w:pStyle w:val="162"/>
        <w:rPr>
          <w:color w:val="auto"/>
          <w:szCs w:val="21"/>
          <w:highlight w:val="none"/>
        </w:rPr>
      </w:pPr>
      <w:bookmarkStart w:id="287" w:name="_Toc211498625"/>
      <w:bookmarkStart w:id="288" w:name="_Toc193802296"/>
      <w:bookmarkStart w:id="289" w:name="_Toc193802677"/>
      <w:r>
        <w:rPr>
          <w:rFonts w:hint="eastAsia"/>
          <w:color w:val="auto"/>
          <w:szCs w:val="21"/>
          <w:highlight w:val="none"/>
        </w:rPr>
        <w:t>3.3 响应性评审</w:t>
      </w:r>
      <w:bookmarkEnd w:id="287"/>
      <w:bookmarkEnd w:id="288"/>
      <w:bookmarkEnd w:id="289"/>
    </w:p>
    <w:p w14:paraId="52B04ACC">
      <w:pPr>
        <w:spacing w:line="360" w:lineRule="auto"/>
        <w:ind w:firstLine="420" w:firstLineChars="200"/>
        <w:rPr>
          <w:color w:val="auto"/>
          <w:highlight w:val="none"/>
        </w:rPr>
      </w:pPr>
      <w:r>
        <w:rPr>
          <w:rFonts w:hint="eastAsia"/>
          <w:color w:val="auto"/>
          <w:highlight w:val="none"/>
        </w:rPr>
        <w:t>3</w:t>
      </w:r>
      <w:r>
        <w:rPr>
          <w:color w:val="auto"/>
          <w:highlight w:val="none"/>
        </w:rPr>
        <w:t xml:space="preserve">.3.1 </w:t>
      </w:r>
      <w:r>
        <w:rPr>
          <w:rFonts w:hint="eastAsia"/>
          <w:color w:val="auto"/>
          <w:szCs w:val="21"/>
          <w:highlight w:val="none"/>
        </w:rPr>
        <w:t>交易系统</w:t>
      </w:r>
      <w:r>
        <w:rPr>
          <w:color w:val="auto"/>
          <w:highlight w:val="none"/>
        </w:rPr>
        <w:t>根据评标办法前附表中规定的评审因素和评审标准，对投标人的投标文件进行响应性评审。</w:t>
      </w:r>
    </w:p>
    <w:p w14:paraId="776B56FD">
      <w:pPr>
        <w:spacing w:line="360" w:lineRule="auto"/>
        <w:ind w:firstLine="420" w:firstLineChars="200"/>
        <w:rPr>
          <w:color w:val="auto"/>
          <w:highlight w:val="none"/>
        </w:rPr>
      </w:pPr>
      <w:r>
        <w:rPr>
          <w:rFonts w:hint="eastAsia"/>
          <w:color w:val="auto"/>
          <w:highlight w:val="none"/>
        </w:rPr>
        <w:t>3</w:t>
      </w:r>
      <w:r>
        <w:rPr>
          <w:color w:val="auto"/>
          <w:highlight w:val="none"/>
        </w:rPr>
        <w:t>.3.2 招标文件设定了最高投标限价的，投标人投标价格不得超出（不含等于）“投标人须知”前附表载明的最高投标限价。</w:t>
      </w:r>
    </w:p>
    <w:p w14:paraId="51387B20">
      <w:pPr>
        <w:pStyle w:val="162"/>
        <w:rPr>
          <w:color w:val="auto"/>
          <w:szCs w:val="21"/>
          <w:highlight w:val="none"/>
        </w:rPr>
      </w:pPr>
      <w:bookmarkStart w:id="290" w:name="_Toc211498626"/>
      <w:r>
        <w:rPr>
          <w:rFonts w:hint="eastAsia"/>
          <w:color w:val="auto"/>
          <w:szCs w:val="21"/>
          <w:highlight w:val="none"/>
        </w:rPr>
        <w:t>3.4  算术错误修正（适用于招标人自主确定清单计量计价的项目）</w:t>
      </w:r>
      <w:bookmarkEnd w:id="290"/>
    </w:p>
    <w:p w14:paraId="707277F8">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交易系统检查投标人投标报价是否有算术错误，算术性错误分析和修正按以下原则进行，修正的价格经投标人通过电子交易平台确认后具有约束力。投标人不接受修正价格的，应当否决其投标。</w:t>
      </w:r>
    </w:p>
    <w:p w14:paraId="79051E2D">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601FAD9A">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001BF1CD">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670C1D95">
      <w:pPr>
        <w:pStyle w:val="162"/>
        <w:rPr>
          <w:color w:val="auto"/>
          <w:szCs w:val="21"/>
          <w:highlight w:val="none"/>
        </w:rPr>
      </w:pPr>
      <w:bookmarkStart w:id="291" w:name="_Toc211498627"/>
      <w:r>
        <w:rPr>
          <w:rFonts w:hint="eastAsia"/>
          <w:color w:val="auto"/>
          <w:szCs w:val="21"/>
          <w:highlight w:val="none"/>
        </w:rPr>
        <w:t>3.4  算术误差修正，细微偏差、报价合理性、报价完整性(漏报或未报)分析（适用于采用“24清单标准”的项目）</w:t>
      </w:r>
      <w:bookmarkEnd w:id="291"/>
    </w:p>
    <w:p w14:paraId="5468C86B">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交易系统检查投标人投标报价是否有算术误差、细微偏差、报价合理性、报价完整性(漏报或未报)问题，并按第二章投标人须知前附表第10.19.6款“规定”由招标人委托评标委员会启动投标报价澄清或说明。</w:t>
      </w:r>
    </w:p>
    <w:p w14:paraId="2763B8AF">
      <w:pPr>
        <w:spacing w:line="360" w:lineRule="auto"/>
        <w:ind w:firstLine="420" w:firstLineChars="200"/>
        <w:rPr>
          <w:color w:val="auto"/>
          <w:highlight w:val="none"/>
        </w:rPr>
      </w:pPr>
      <w:r>
        <w:rPr>
          <w:rFonts w:hint="eastAsia"/>
          <w:color w:val="auto"/>
          <w:szCs w:val="21"/>
          <w:highlight w:val="none"/>
        </w:rPr>
        <w:t>按第二章投标人须知前附表第10.19.6款“规定”中第2小点对投标人的投标文件存在算术误差及细微偏差进行修正的，修正报价汇总后的总价应与投标总价扉页内填报的投标总价一致，修正的价格经投标人通过电子交易平台确认后具有约束力。投标人不接受修正价格的，应当否决其投标。投标人对修正结果有不同意见或未通过电子交易平台进行确认的，评标委员会应重新复核修正结果，再次按上述程序分别进行确认、复核。</w:t>
      </w:r>
    </w:p>
    <w:p w14:paraId="6390044A">
      <w:pPr>
        <w:pStyle w:val="162"/>
        <w:rPr>
          <w:color w:val="auto"/>
          <w:szCs w:val="21"/>
          <w:highlight w:val="none"/>
        </w:rPr>
      </w:pPr>
      <w:bookmarkStart w:id="292" w:name="_Toc193802679"/>
      <w:bookmarkStart w:id="293" w:name="_Toc211498628"/>
      <w:bookmarkStart w:id="294" w:name="_Toc193802298"/>
      <w:bookmarkStart w:id="295" w:name="_Toc193801721"/>
      <w:r>
        <w:rPr>
          <w:rFonts w:hint="eastAsia"/>
          <w:color w:val="auto"/>
          <w:szCs w:val="21"/>
          <w:highlight w:val="none"/>
        </w:rPr>
        <w:t>3.5是否予以否决投标</w:t>
      </w:r>
      <w:bookmarkEnd w:id="292"/>
      <w:bookmarkEnd w:id="293"/>
      <w:bookmarkEnd w:id="294"/>
      <w:bookmarkEnd w:id="295"/>
    </w:p>
    <w:p w14:paraId="097409AA">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14:paraId="3041FDC1">
      <w:pPr>
        <w:pStyle w:val="3"/>
        <w:snapToGrid w:val="0"/>
        <w:spacing w:before="0" w:after="0" w:line="400" w:lineRule="exact"/>
        <w:rPr>
          <w:rFonts w:ascii="Times New Roman" w:hAnsi="Times New Roman" w:eastAsia="黑体"/>
          <w:b w:val="0"/>
          <w:bCs w:val="0"/>
          <w:color w:val="auto"/>
          <w:sz w:val="30"/>
          <w:highlight w:val="none"/>
        </w:rPr>
      </w:pPr>
      <w:bookmarkStart w:id="296" w:name="_Toc211498629"/>
      <w:r>
        <w:rPr>
          <w:rFonts w:hint="eastAsia" w:ascii="Times New Roman" w:hAnsi="Times New Roman" w:eastAsia="黑体"/>
          <w:b w:val="0"/>
          <w:bCs w:val="0"/>
          <w:color w:val="auto"/>
          <w:sz w:val="30"/>
          <w:highlight w:val="none"/>
        </w:rPr>
        <w:t>4</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评标委员会复核</w:t>
      </w:r>
      <w:bookmarkEnd w:id="296"/>
    </w:p>
    <w:p w14:paraId="78A1041C">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6C68B77A">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3C07AA6F">
      <w:pPr>
        <w:pStyle w:val="3"/>
        <w:snapToGrid w:val="0"/>
        <w:spacing w:before="0" w:after="0" w:line="400" w:lineRule="exact"/>
        <w:rPr>
          <w:rFonts w:ascii="Times New Roman" w:hAnsi="Times New Roman" w:eastAsia="黑体"/>
          <w:b w:val="0"/>
          <w:bCs w:val="0"/>
          <w:color w:val="auto"/>
          <w:sz w:val="30"/>
          <w:highlight w:val="none"/>
        </w:rPr>
      </w:pPr>
      <w:bookmarkStart w:id="297" w:name="_Toc211498630"/>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投标价格排序</w:t>
      </w:r>
      <w:bookmarkEnd w:id="297"/>
    </w:p>
    <w:p w14:paraId="13E3D5F9">
      <w:pPr>
        <w:spacing w:before="153" w:line="322" w:lineRule="auto"/>
        <w:ind w:right="68" w:firstLine="424"/>
        <w:rPr>
          <w:rFonts w:hint="eastAsia" w:ascii="宋体" w:hAnsi="宋体" w:cs="宋体"/>
          <w:color w:val="auto"/>
          <w:sz w:val="20"/>
          <w:szCs w:val="20"/>
          <w:highlight w:val="none"/>
        </w:rPr>
      </w:pPr>
      <w:r>
        <w:rPr>
          <w:rFonts w:hint="eastAsia"/>
          <w:color w:val="auto"/>
          <w:szCs w:val="21"/>
          <w:highlight w:val="none"/>
        </w:rPr>
        <w:t>交易系统对通过初步评审（包括形式评审、资格评审、响应性评审，下同）的投标人，将经评审的投标价格由低到高的顺序推荐中标候选人。</w:t>
      </w:r>
    </w:p>
    <w:p w14:paraId="5804176B">
      <w:pPr>
        <w:pStyle w:val="3"/>
        <w:snapToGrid w:val="0"/>
        <w:spacing w:before="0" w:after="0" w:line="400" w:lineRule="exact"/>
        <w:rPr>
          <w:rFonts w:ascii="Times New Roman" w:hAnsi="Times New Roman" w:eastAsia="黑体"/>
          <w:b w:val="0"/>
          <w:bCs w:val="0"/>
          <w:color w:val="auto"/>
          <w:sz w:val="30"/>
          <w:highlight w:val="none"/>
        </w:rPr>
      </w:pPr>
      <w:bookmarkStart w:id="298" w:name="_Toc211498631"/>
      <w:r>
        <w:rPr>
          <w:rFonts w:ascii="Times New Roman" w:hAnsi="Times New Roman" w:eastAsia="黑体"/>
          <w:b w:val="0"/>
          <w:bCs w:val="0"/>
          <w:color w:val="auto"/>
          <w:sz w:val="30"/>
          <w:highlight w:val="none"/>
        </w:rPr>
        <w:t>6.投标文件的澄清和补正</w:t>
      </w:r>
      <w:bookmarkEnd w:id="298"/>
    </w:p>
    <w:p w14:paraId="56167F15">
      <w:pPr>
        <w:snapToGrid w:val="0"/>
        <w:spacing w:line="400" w:lineRule="exact"/>
        <w:ind w:firstLine="420" w:firstLineChars="200"/>
        <w:rPr>
          <w:color w:val="auto"/>
          <w:highlight w:val="none"/>
        </w:rPr>
      </w:pPr>
      <w:r>
        <w:rPr>
          <w:rFonts w:hint="eastAsia"/>
          <w:color w:val="auto"/>
          <w:highlight w:val="none"/>
        </w:rPr>
        <w:t>6</w:t>
      </w:r>
      <w:r>
        <w:rPr>
          <w:color w:val="auto"/>
          <w:highlight w:val="none"/>
        </w:rPr>
        <w:t>.1</w:t>
      </w:r>
      <w:r>
        <w:rPr>
          <w:rFonts w:hint="eastAsia"/>
          <w:color w:val="auto"/>
          <w:highlight w:val="none"/>
        </w:rPr>
        <w:t xml:space="preserve"> </w:t>
      </w:r>
      <w:r>
        <w:rPr>
          <w:color w:val="auto"/>
          <w:highlight w:val="none"/>
        </w:rPr>
        <w:t>评标委员会可以书面形式要求投标人对所提交的投标文件中不明确的内容进行书面澄清</w:t>
      </w:r>
      <w:r>
        <w:rPr>
          <w:rFonts w:hint="eastAsia"/>
          <w:color w:val="auto"/>
          <w:highlight w:val="none"/>
        </w:rPr>
        <w:t>、</w:t>
      </w:r>
      <w:r>
        <w:rPr>
          <w:color w:val="auto"/>
          <w:highlight w:val="none"/>
        </w:rPr>
        <w:t>说明或者补正。评标委员会不接受投标人主动提出的澄清、说明或补正。</w:t>
      </w:r>
    </w:p>
    <w:p w14:paraId="37138657">
      <w:pPr>
        <w:snapToGrid w:val="0"/>
        <w:spacing w:line="400" w:lineRule="exact"/>
        <w:ind w:firstLine="420" w:firstLineChars="200"/>
        <w:rPr>
          <w:color w:val="auto"/>
          <w:highlight w:val="none"/>
        </w:rPr>
      </w:pPr>
      <w:r>
        <w:rPr>
          <w:rFonts w:hint="eastAsia"/>
          <w:color w:val="auto"/>
          <w:highlight w:val="none"/>
        </w:rPr>
        <w:t>6</w:t>
      </w:r>
      <w:r>
        <w:rPr>
          <w:color w:val="auto"/>
          <w:highlight w:val="none"/>
        </w:rPr>
        <w:t>.2 澄清、说明和补正不得改变投标文件的实质性内容。投标人的书面澄清、说明和补正属于投标文件的组成部分。</w:t>
      </w:r>
    </w:p>
    <w:p w14:paraId="1C3EBCE2">
      <w:pPr>
        <w:snapToGrid w:val="0"/>
        <w:spacing w:line="400" w:lineRule="exact"/>
        <w:ind w:firstLine="420" w:firstLineChars="200"/>
        <w:rPr>
          <w:color w:val="auto"/>
          <w:highlight w:val="none"/>
        </w:rPr>
      </w:pPr>
      <w:r>
        <w:rPr>
          <w:rFonts w:hint="eastAsia"/>
          <w:color w:val="auto"/>
          <w:highlight w:val="none"/>
        </w:rPr>
        <w:t>6</w:t>
      </w:r>
      <w:r>
        <w:rPr>
          <w:color w:val="auto"/>
          <w:highlight w:val="none"/>
        </w:rPr>
        <w:t>.3 评标委员会对投标人提交的澄清、说明或补正有疑问的，可以要求投标人进一步澄清、说明或补正</w:t>
      </w:r>
      <w:r>
        <w:rPr>
          <w:rFonts w:hint="eastAsia"/>
          <w:color w:val="auto"/>
          <w:highlight w:val="none"/>
        </w:rPr>
        <w:t>。</w:t>
      </w:r>
    </w:p>
    <w:p w14:paraId="5D1668EB">
      <w:pPr>
        <w:snapToGrid w:val="0"/>
        <w:spacing w:line="400" w:lineRule="exact"/>
        <w:ind w:firstLine="420" w:firstLineChars="200"/>
        <w:rPr>
          <w:bCs/>
          <w:color w:val="auto"/>
          <w:szCs w:val="21"/>
          <w:highlight w:val="none"/>
        </w:rPr>
      </w:pPr>
      <w:r>
        <w:rPr>
          <w:rFonts w:hint="eastAsia"/>
          <w:bCs/>
          <w:color w:val="auto"/>
          <w:szCs w:val="21"/>
          <w:highlight w:val="none"/>
        </w:rPr>
        <w:t>6.4 评审过程中，评标委员会拟作出否决投标决定的，应要求投标人进行书面澄清、说明或补正，未进行该程序的，不得作出否决投标决定，投标人未按要求进行回复的除外。</w:t>
      </w:r>
    </w:p>
    <w:p w14:paraId="765291D1">
      <w:pPr>
        <w:pStyle w:val="3"/>
        <w:snapToGrid w:val="0"/>
        <w:spacing w:before="0" w:after="0" w:line="400" w:lineRule="exact"/>
        <w:rPr>
          <w:rFonts w:ascii="Times New Roman" w:hAnsi="Times New Roman" w:eastAsia="黑体"/>
          <w:b w:val="0"/>
          <w:bCs w:val="0"/>
          <w:color w:val="auto"/>
          <w:sz w:val="30"/>
          <w:highlight w:val="none"/>
        </w:rPr>
      </w:pPr>
      <w:bookmarkStart w:id="299" w:name="_Toc211498632"/>
      <w:r>
        <w:rPr>
          <w:rFonts w:ascii="Times New Roman" w:hAnsi="Times New Roman" w:eastAsia="黑体"/>
          <w:b w:val="0"/>
          <w:bCs w:val="0"/>
          <w:color w:val="auto"/>
          <w:sz w:val="30"/>
          <w:highlight w:val="none"/>
        </w:rPr>
        <w:t>7.中标人的确定</w:t>
      </w:r>
      <w:bookmarkEnd w:id="299"/>
    </w:p>
    <w:p w14:paraId="77D61E9D">
      <w:pPr>
        <w:snapToGrid w:val="0"/>
        <w:spacing w:line="400" w:lineRule="exact"/>
        <w:ind w:firstLine="420" w:firstLineChars="200"/>
        <w:rPr>
          <w:color w:val="auto"/>
          <w:highlight w:val="none"/>
        </w:rPr>
      </w:pPr>
      <w:r>
        <w:rPr>
          <w:rFonts w:hint="eastAsia"/>
          <w:color w:val="auto"/>
          <w:szCs w:val="21"/>
          <w:highlight w:val="none"/>
        </w:rPr>
        <w:t>7</w:t>
      </w:r>
      <w:r>
        <w:rPr>
          <w:color w:val="auto"/>
          <w:szCs w:val="21"/>
          <w:highlight w:val="none"/>
        </w:rPr>
        <w:t xml:space="preserve">.1 </w:t>
      </w:r>
      <w:r>
        <w:rPr>
          <w:rFonts w:hint="eastAsia"/>
          <w:color w:val="auto"/>
          <w:highlight w:val="none"/>
        </w:rPr>
        <w:t>对通过初步评审的投标人，</w:t>
      </w:r>
      <w:r>
        <w:rPr>
          <w:rFonts w:hint="eastAsia" w:ascii="宋体" w:hAnsi="宋体" w:cs="宋体"/>
          <w:color w:val="auto"/>
          <w:sz w:val="20"/>
          <w:szCs w:val="20"/>
          <w:highlight w:val="none"/>
        </w:rPr>
        <w:t>交易系统</w:t>
      </w:r>
      <w:r>
        <w:rPr>
          <w:rFonts w:hint="eastAsia"/>
          <w:color w:val="auto"/>
          <w:highlight w:val="none"/>
        </w:rPr>
        <w:t>将评审的投标价格由低到高的顺序推荐中标候选人。</w:t>
      </w:r>
    </w:p>
    <w:p w14:paraId="3240E1F0">
      <w:pPr>
        <w:spacing w:line="360" w:lineRule="auto"/>
        <w:ind w:firstLine="420" w:firstLineChars="200"/>
        <w:rPr>
          <w:color w:val="auto"/>
          <w:szCs w:val="21"/>
          <w:highlight w:val="none"/>
        </w:rPr>
      </w:pPr>
      <w:r>
        <w:rPr>
          <w:color w:val="auto"/>
          <w:szCs w:val="21"/>
          <w:highlight w:val="none"/>
        </w:rPr>
        <w:t xml:space="preserve">7.2 </w:t>
      </w:r>
      <w:r>
        <w:rPr>
          <w:rFonts w:hint="eastAsia"/>
          <w:color w:val="auto"/>
          <w:szCs w:val="21"/>
          <w:highlight w:val="none"/>
        </w:rPr>
        <w:t>确定中标人</w:t>
      </w:r>
    </w:p>
    <w:p w14:paraId="69153902">
      <w:pPr>
        <w:adjustRightInd w:val="0"/>
        <w:snapToGrid w:val="0"/>
        <w:spacing w:line="360" w:lineRule="auto"/>
        <w:ind w:firstLine="420" w:firstLineChars="200"/>
        <w:rPr>
          <w:color w:val="auto"/>
          <w:szCs w:val="21"/>
          <w:highlight w:val="none"/>
        </w:rPr>
      </w:pPr>
      <w:r>
        <w:rPr>
          <w:rFonts w:hint="eastAsia"/>
          <w:color w:val="auto"/>
          <w:szCs w:val="21"/>
          <w:highlight w:val="none"/>
        </w:rPr>
        <w:t>招标人对评标委员会推荐的中标候选人进行公示。公示期满，按照相关规定确定中标人。</w:t>
      </w:r>
    </w:p>
    <w:p w14:paraId="5A1CB2B7">
      <w:pPr>
        <w:snapToGrid w:val="0"/>
        <w:spacing w:line="400" w:lineRule="exact"/>
        <w:rPr>
          <w:color w:val="auto"/>
          <w:szCs w:val="21"/>
          <w:highlight w:val="none"/>
        </w:rPr>
      </w:pPr>
      <w:r>
        <w:rPr>
          <w:rFonts w:hint="eastAsia"/>
          <w:color w:val="auto"/>
          <w:szCs w:val="21"/>
          <w:highlight w:val="none"/>
        </w:rPr>
        <w:t xml:space="preserve">    7</w:t>
      </w:r>
      <w:r>
        <w:rPr>
          <w:color w:val="auto"/>
          <w:szCs w:val="21"/>
          <w:highlight w:val="none"/>
        </w:rPr>
        <w:t>.3 编制评标报告</w:t>
      </w:r>
    </w:p>
    <w:p w14:paraId="07EC13F3">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5DE7B30C">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27418F09">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291C137A">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4FE031CC">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23C88A8B">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694B1430">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14:paraId="43BD04FC">
      <w:pPr>
        <w:adjustRightInd w:val="0"/>
        <w:snapToGrid w:val="0"/>
        <w:spacing w:before="94" w:beforeLines="30" w:line="300" w:lineRule="auto"/>
        <w:ind w:firstLine="420" w:firstLineChars="200"/>
        <w:rPr>
          <w:color w:val="auto"/>
          <w:szCs w:val="21"/>
          <w:highlight w:val="none"/>
        </w:rPr>
      </w:pPr>
      <w:r>
        <w:rPr>
          <w:color w:val="auto"/>
          <w:szCs w:val="21"/>
          <w:highlight w:val="none"/>
        </w:rPr>
        <w:t>（7）经</w:t>
      </w:r>
      <w:r>
        <w:rPr>
          <w:rFonts w:hint="eastAsia"/>
          <w:color w:val="auto"/>
          <w:szCs w:val="21"/>
          <w:highlight w:val="none"/>
        </w:rPr>
        <w:t>排序</w:t>
      </w:r>
      <w:r>
        <w:rPr>
          <w:color w:val="auto"/>
          <w:szCs w:val="21"/>
          <w:highlight w:val="none"/>
        </w:rPr>
        <w:t>的价格一览表（包括评标委员会在评标过程中所形成的所有记载评标结果、结论的表格、说明、记录等文件）；</w:t>
      </w:r>
    </w:p>
    <w:p w14:paraId="50B28343">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8</w:t>
      </w:r>
      <w:r>
        <w:rPr>
          <w:color w:val="auto"/>
          <w:szCs w:val="21"/>
          <w:highlight w:val="none"/>
        </w:rPr>
        <w:t>）推荐的中标候选人名单与签订合同前要处理的事宜；</w:t>
      </w:r>
    </w:p>
    <w:p w14:paraId="3B236CA3">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9</w:t>
      </w:r>
      <w:r>
        <w:rPr>
          <w:color w:val="auto"/>
          <w:szCs w:val="21"/>
          <w:highlight w:val="none"/>
        </w:rPr>
        <w:t>）澄清、说明、补正事项纪要。</w:t>
      </w:r>
    </w:p>
    <w:p w14:paraId="66E3C766">
      <w:pPr>
        <w:pStyle w:val="3"/>
        <w:snapToGrid w:val="0"/>
        <w:spacing w:before="0" w:after="0" w:line="400" w:lineRule="exact"/>
        <w:rPr>
          <w:rFonts w:ascii="Times New Roman" w:hAnsi="Times New Roman" w:eastAsia="黑体"/>
          <w:b w:val="0"/>
          <w:bCs w:val="0"/>
          <w:color w:val="auto"/>
          <w:sz w:val="30"/>
          <w:highlight w:val="none"/>
        </w:rPr>
      </w:pPr>
      <w:bookmarkStart w:id="300" w:name="_Toc211498633"/>
      <w:r>
        <w:rPr>
          <w:rFonts w:ascii="Times New Roman" w:hAnsi="Times New Roman" w:eastAsia="黑体"/>
          <w:b w:val="0"/>
          <w:bCs w:val="0"/>
          <w:color w:val="auto"/>
          <w:sz w:val="30"/>
          <w:highlight w:val="none"/>
        </w:rPr>
        <w:t>8.特殊情况的处置程序</w:t>
      </w:r>
      <w:bookmarkEnd w:id="300"/>
    </w:p>
    <w:p w14:paraId="4892C23A">
      <w:pPr>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 关于评标活动暂停</w:t>
      </w:r>
    </w:p>
    <w:p w14:paraId="0E2D7E1A">
      <w:pPr>
        <w:adjustRightInd w:val="0"/>
        <w:snapToGrid w:val="0"/>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.1.1 评标委员会应当执行连续评标的原则，按评标办法中规定的程序、内容、方法、标准完成全部评标工作。除特殊情况外，评标活动不得暂停。</w:t>
      </w:r>
    </w:p>
    <w:p w14:paraId="7DB0E592">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.1.2 发生评标暂停情况时，评标委员会应当封存全部投标文件和评标记录，待特殊情况的影响结束且具备继续评标的条件时，由原评标委员会继续评标。</w:t>
      </w:r>
    </w:p>
    <w:p w14:paraId="359837CF">
      <w:pPr>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.2 关于评标中途更换评委</w:t>
      </w:r>
    </w:p>
    <w:p w14:paraId="4382A91E">
      <w:pPr>
        <w:adjustRightInd w:val="0"/>
        <w:snapToGrid w:val="0"/>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.2.1 除非发生下列情况之一，不得在评标中途更换评标委员会成员：</w:t>
      </w:r>
    </w:p>
    <w:p w14:paraId="34593496">
      <w:pPr>
        <w:adjustRightInd w:val="0"/>
        <w:snapToGrid w:val="0"/>
        <w:spacing w:line="360" w:lineRule="auto"/>
        <w:ind w:firstLine="210" w:firstLineChars="100"/>
        <w:rPr>
          <w:color w:val="auto"/>
          <w:szCs w:val="21"/>
          <w:highlight w:val="none"/>
        </w:rPr>
      </w:pPr>
      <w:r>
        <w:rPr>
          <w:color w:val="auto"/>
          <w:szCs w:val="21"/>
          <w:highlight w:val="none"/>
        </w:rPr>
        <w:t>（1）因不可抗拒的原因，评标委员会成员不能到场或需在评标中途退出评标活动。</w:t>
      </w:r>
    </w:p>
    <w:p w14:paraId="0369C299">
      <w:pPr>
        <w:adjustRightInd w:val="0"/>
        <w:snapToGrid w:val="0"/>
        <w:spacing w:line="360" w:lineRule="auto"/>
        <w:ind w:firstLine="210" w:firstLineChars="100"/>
        <w:rPr>
          <w:color w:val="auto"/>
          <w:szCs w:val="21"/>
          <w:highlight w:val="none"/>
        </w:rPr>
      </w:pPr>
      <w:r>
        <w:rPr>
          <w:color w:val="auto"/>
          <w:szCs w:val="21"/>
          <w:highlight w:val="none"/>
        </w:rPr>
        <w:t>（2）根据法律法规规定，某个或某几个评标委员会成员需要回避。</w:t>
      </w:r>
    </w:p>
    <w:p w14:paraId="67412A25">
      <w:pPr>
        <w:adjustRightInd w:val="0"/>
        <w:snapToGrid w:val="0"/>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.2.2 退出评标的评标委员会成员，其完成的评标行为无效。由招标人根据</w:t>
      </w:r>
      <w:r>
        <w:rPr>
          <w:rFonts w:hint="eastAsia"/>
          <w:color w:val="auto"/>
          <w:szCs w:val="21"/>
          <w:highlight w:val="none"/>
        </w:rPr>
        <w:t>有关规定</w:t>
      </w:r>
      <w:r>
        <w:rPr>
          <w:color w:val="auto"/>
          <w:szCs w:val="21"/>
          <w:highlight w:val="none"/>
        </w:rPr>
        <w:t>另行确定替代者进行评标。</w:t>
      </w:r>
    </w:p>
    <w:p w14:paraId="015B9110">
      <w:pPr>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.3 记名投票</w:t>
      </w:r>
    </w:p>
    <w:p w14:paraId="060497FF">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6D2801B6">
      <w:pPr>
        <w:pStyle w:val="3"/>
        <w:snapToGrid w:val="0"/>
        <w:spacing w:before="0" w:after="0" w:line="400" w:lineRule="exact"/>
        <w:rPr>
          <w:rFonts w:ascii="Times New Roman" w:hAnsi="Times New Roman" w:eastAsia="黑体"/>
          <w:b w:val="0"/>
          <w:bCs w:val="0"/>
          <w:color w:val="auto"/>
          <w:sz w:val="30"/>
          <w:highlight w:val="none"/>
        </w:rPr>
      </w:pPr>
      <w:bookmarkStart w:id="301" w:name="_Toc211498634"/>
      <w:r>
        <w:rPr>
          <w:rFonts w:ascii="Times New Roman" w:hAnsi="Times New Roman" w:eastAsia="黑体"/>
          <w:b w:val="0"/>
          <w:bCs w:val="0"/>
          <w:color w:val="auto"/>
          <w:sz w:val="30"/>
          <w:highlight w:val="none"/>
        </w:rPr>
        <w:t>9.补充条款</w:t>
      </w:r>
      <w:bookmarkEnd w:id="301"/>
    </w:p>
    <w:p w14:paraId="2DF622A6">
      <w:pPr>
        <w:adjustRightInd w:val="0"/>
        <w:snapToGrid w:val="0"/>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5BCBCA75">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438BB559">
      <w:pPr>
        <w:adjustRightInd w:val="0"/>
        <w:snapToGrid w:val="0"/>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3FE20828">
      <w:pPr>
        <w:adjustRightInd w:val="0"/>
        <w:snapToGrid w:val="0"/>
        <w:spacing w:line="360" w:lineRule="auto"/>
        <w:ind w:firstLine="600" w:firstLineChars="200"/>
        <w:rPr>
          <w:color w:val="auto"/>
          <w:highlight w:val="none"/>
          <w:lang w:val="zh-CN"/>
        </w:rPr>
      </w:pPr>
      <w:r>
        <w:rPr>
          <w:rFonts w:eastAsia="黑体"/>
          <w:bCs/>
          <w:color w:val="auto"/>
          <w:sz w:val="30"/>
          <w:highlight w:val="none"/>
        </w:rPr>
        <w:br w:type="page"/>
      </w:r>
      <w:bookmarkEnd w:id="0"/>
    </w:p>
    <w:bookmarkEnd w:id="269"/>
    <w:p w14:paraId="6D0D4FE7">
      <w:pPr>
        <w:pStyle w:val="2"/>
        <w:spacing w:before="0" w:after="0"/>
        <w:jc w:val="center"/>
        <w:rPr>
          <w:rFonts w:ascii="Times New Roman" w:hAnsi="Times New Roman" w:eastAsia="黑体"/>
          <w:b w:val="0"/>
          <w:bCs w:val="0"/>
          <w:color w:val="auto"/>
          <w:highlight w:val="none"/>
        </w:rPr>
      </w:pPr>
      <w:bookmarkStart w:id="302" w:name="_Toc211498635"/>
      <w:bookmarkStart w:id="303" w:name="_Toc80006103"/>
      <w:r>
        <w:rPr>
          <w:rFonts w:ascii="Times New Roman" w:hAnsi="Times New Roman" w:eastAsia="黑体"/>
          <w:b w:val="0"/>
          <w:bCs w:val="0"/>
          <w:color w:val="auto"/>
          <w:highlight w:val="none"/>
        </w:rPr>
        <w:t>第三章  评标办法（</w:t>
      </w:r>
      <w:r>
        <w:rPr>
          <w:rFonts w:hint="eastAsia" w:ascii="Times New Roman" w:hAnsi="Times New Roman" w:eastAsia="黑体"/>
          <w:b w:val="0"/>
          <w:bCs w:val="0"/>
          <w:color w:val="auto"/>
          <w:highlight w:val="none"/>
        </w:rPr>
        <w:t>合理低价法</w:t>
      </w:r>
      <w:r>
        <w:rPr>
          <w:rFonts w:ascii="Times New Roman" w:hAnsi="Times New Roman" w:eastAsia="黑体"/>
          <w:b w:val="0"/>
          <w:bCs w:val="0"/>
          <w:color w:val="auto"/>
          <w:highlight w:val="none"/>
        </w:rPr>
        <w:t>）</w:t>
      </w:r>
      <w:bookmarkEnd w:id="302"/>
    </w:p>
    <w:p w14:paraId="4CEEB22F">
      <w:pPr>
        <w:pStyle w:val="2"/>
        <w:spacing w:before="0" w:after="0"/>
        <w:jc w:val="center"/>
        <w:rPr>
          <w:rFonts w:ascii="Times New Roman" w:hAnsi="Times New Roman" w:eastAsia="黑体"/>
          <w:b w:val="0"/>
          <w:bCs w:val="0"/>
          <w:color w:val="auto"/>
          <w:sz w:val="30"/>
          <w:highlight w:val="none"/>
        </w:rPr>
      </w:pPr>
      <w:bookmarkStart w:id="304" w:name="_Toc211498636"/>
      <w:r>
        <w:rPr>
          <w:rFonts w:ascii="Times New Roman" w:hAnsi="Times New Roman" w:eastAsia="黑体"/>
          <w:b w:val="0"/>
          <w:bCs w:val="0"/>
          <w:color w:val="auto"/>
          <w:sz w:val="30"/>
          <w:highlight w:val="none"/>
        </w:rPr>
        <w:t>评标办法前附表</w:t>
      </w:r>
      <w:bookmarkEnd w:id="304"/>
    </w:p>
    <w:tbl>
      <w:tblPr>
        <w:tblStyle w:val="4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4"/>
        <w:gridCol w:w="2357"/>
        <w:gridCol w:w="231"/>
        <w:gridCol w:w="73"/>
        <w:gridCol w:w="4575"/>
        <w:gridCol w:w="15"/>
        <w:gridCol w:w="1134"/>
        <w:gridCol w:w="10"/>
      </w:tblGrid>
      <w:tr w14:paraId="06F3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vAlign w:val="center"/>
          </w:tcPr>
          <w:p w14:paraId="17B0BA3B">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612" w:type="dxa"/>
            <w:gridSpan w:val="3"/>
            <w:vAlign w:val="center"/>
          </w:tcPr>
          <w:p w14:paraId="0C97E3CE">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07" w:type="dxa"/>
            <w:gridSpan w:val="5"/>
            <w:vAlign w:val="center"/>
          </w:tcPr>
          <w:p w14:paraId="0708CA87">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03B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24E54189">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419" w:type="dxa"/>
            <w:gridSpan w:val="8"/>
            <w:vAlign w:val="center"/>
          </w:tcPr>
          <w:p w14:paraId="2F4FE751">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086A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03" w:type="dxa"/>
            <w:vMerge w:val="continue"/>
            <w:vAlign w:val="center"/>
          </w:tcPr>
          <w:p w14:paraId="67F9EC0B">
            <w:pPr>
              <w:jc w:val="center"/>
              <w:rPr>
                <w:rFonts w:hint="eastAsia" w:ascii="宋体" w:hAnsi="宋体" w:cs="宋体"/>
                <w:color w:val="auto"/>
                <w:szCs w:val="21"/>
                <w:highlight w:val="none"/>
              </w:rPr>
            </w:pPr>
          </w:p>
        </w:tc>
        <w:tc>
          <w:tcPr>
            <w:tcW w:w="2612" w:type="dxa"/>
            <w:gridSpan w:val="3"/>
            <w:vAlign w:val="center"/>
          </w:tcPr>
          <w:p w14:paraId="1F718FA7">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807" w:type="dxa"/>
            <w:gridSpan w:val="5"/>
            <w:vAlign w:val="center"/>
          </w:tcPr>
          <w:p w14:paraId="4E8D3852">
            <w:pPr>
              <w:jc w:val="left"/>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与营业执照、资质证书、安全生产许可证上的名称一致；省外企业名称与在“湖南省建筑市场监管公共服务平台”报送的一致，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7C52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4D29367C">
            <w:pPr>
              <w:jc w:val="center"/>
              <w:rPr>
                <w:rFonts w:hint="eastAsia" w:ascii="宋体" w:hAnsi="宋体" w:cs="宋体"/>
                <w:color w:val="auto"/>
                <w:szCs w:val="21"/>
                <w:highlight w:val="none"/>
              </w:rPr>
            </w:pPr>
          </w:p>
        </w:tc>
        <w:tc>
          <w:tcPr>
            <w:tcW w:w="2612" w:type="dxa"/>
            <w:gridSpan w:val="3"/>
            <w:vAlign w:val="center"/>
          </w:tcPr>
          <w:p w14:paraId="2E3DAA6B">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5807" w:type="dxa"/>
            <w:gridSpan w:val="5"/>
            <w:vAlign w:val="center"/>
          </w:tcPr>
          <w:p w14:paraId="245B738F">
            <w:pPr>
              <w:jc w:val="left"/>
              <w:rPr>
                <w:rFonts w:hint="eastAsia" w:ascii="宋体" w:hAnsi="宋体" w:cs="宋体"/>
                <w:color w:val="auto"/>
                <w:szCs w:val="21"/>
                <w:highlight w:val="none"/>
              </w:rPr>
            </w:pPr>
            <w:r>
              <w:rPr>
                <w:rFonts w:hint="eastAsia" w:ascii="宋体" w:hAnsi="宋体" w:cs="宋体"/>
                <w:bCs/>
                <w:color w:val="auto"/>
                <w:szCs w:val="21"/>
                <w:highlight w:val="none"/>
              </w:rPr>
              <w:t>提交法定代表人身份证明</w:t>
            </w:r>
          </w:p>
        </w:tc>
      </w:tr>
      <w:tr w14:paraId="3F8D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62FB3768">
            <w:pPr>
              <w:jc w:val="center"/>
              <w:rPr>
                <w:rFonts w:hint="eastAsia" w:ascii="宋体" w:hAnsi="宋体" w:cs="宋体"/>
                <w:color w:val="auto"/>
                <w:szCs w:val="21"/>
                <w:highlight w:val="none"/>
              </w:rPr>
            </w:pPr>
          </w:p>
        </w:tc>
        <w:tc>
          <w:tcPr>
            <w:tcW w:w="2612" w:type="dxa"/>
            <w:gridSpan w:val="3"/>
            <w:vAlign w:val="center"/>
          </w:tcPr>
          <w:p w14:paraId="3950F099">
            <w:pPr>
              <w:jc w:val="center"/>
              <w:rPr>
                <w:rFonts w:hint="eastAsia" w:ascii="宋体" w:hAnsi="宋体" w:cs="宋体"/>
                <w:color w:val="auto"/>
                <w:szCs w:val="21"/>
                <w:highlight w:val="none"/>
              </w:rPr>
            </w:pPr>
            <w:r>
              <w:rPr>
                <w:rFonts w:hint="eastAsia" w:ascii="宋体" w:hAnsi="宋体" w:cs="宋体"/>
                <w:bCs/>
                <w:color w:val="auto"/>
                <w:szCs w:val="21"/>
                <w:highlight w:val="none"/>
              </w:rPr>
              <w:t>授权委托书（如有）</w:t>
            </w:r>
          </w:p>
        </w:tc>
        <w:tc>
          <w:tcPr>
            <w:tcW w:w="5807" w:type="dxa"/>
            <w:gridSpan w:val="5"/>
            <w:vAlign w:val="center"/>
          </w:tcPr>
          <w:p w14:paraId="2D16D7C1">
            <w:pPr>
              <w:jc w:val="left"/>
              <w:rPr>
                <w:rFonts w:hint="eastAsia" w:ascii="宋体" w:hAnsi="宋体" w:cs="宋体"/>
                <w:color w:val="auto"/>
                <w:szCs w:val="21"/>
                <w:highlight w:val="none"/>
              </w:rPr>
            </w:pPr>
            <w:r>
              <w:rPr>
                <w:rFonts w:hint="eastAsia" w:ascii="宋体" w:hAnsi="宋体" w:cs="宋体"/>
                <w:bCs/>
                <w:color w:val="auto"/>
                <w:szCs w:val="21"/>
                <w:highlight w:val="none"/>
              </w:rPr>
              <w:t>提交授权委托书</w:t>
            </w:r>
          </w:p>
        </w:tc>
      </w:tr>
      <w:tr w14:paraId="051C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60155AAC">
            <w:pPr>
              <w:jc w:val="center"/>
              <w:rPr>
                <w:rFonts w:hint="eastAsia" w:ascii="宋体" w:hAnsi="宋体" w:cs="宋体"/>
                <w:color w:val="auto"/>
                <w:szCs w:val="21"/>
                <w:highlight w:val="none"/>
              </w:rPr>
            </w:pPr>
          </w:p>
        </w:tc>
        <w:tc>
          <w:tcPr>
            <w:tcW w:w="2612" w:type="dxa"/>
            <w:gridSpan w:val="3"/>
            <w:vAlign w:val="center"/>
          </w:tcPr>
          <w:p w14:paraId="41589E54">
            <w:pPr>
              <w:jc w:val="center"/>
              <w:rPr>
                <w:rFonts w:hint="eastAsia" w:ascii="宋体" w:hAnsi="宋体" w:cs="宋体"/>
                <w:color w:val="auto"/>
                <w:szCs w:val="21"/>
                <w:highlight w:val="none"/>
              </w:rPr>
            </w:pPr>
            <w:r>
              <w:rPr>
                <w:rFonts w:ascii="宋体" w:hAnsi="宋体" w:cs="宋体"/>
                <w:bCs/>
                <w:color w:val="auto"/>
                <w:szCs w:val="21"/>
                <w:highlight w:val="none"/>
              </w:rPr>
              <w:t>投标文件签字盖章</w:t>
            </w:r>
          </w:p>
        </w:tc>
        <w:tc>
          <w:tcPr>
            <w:tcW w:w="5807" w:type="dxa"/>
            <w:gridSpan w:val="5"/>
            <w:vAlign w:val="center"/>
          </w:tcPr>
          <w:p w14:paraId="61A18E12">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符合第二章“投标人须知”第3.7.3项规定</w:t>
            </w:r>
          </w:p>
        </w:tc>
      </w:tr>
      <w:tr w14:paraId="5EE3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71DD8F9D">
            <w:pPr>
              <w:jc w:val="center"/>
              <w:rPr>
                <w:rFonts w:hint="eastAsia" w:ascii="宋体" w:hAnsi="宋体" w:cs="宋体"/>
                <w:color w:val="auto"/>
                <w:szCs w:val="21"/>
                <w:highlight w:val="none"/>
              </w:rPr>
            </w:pPr>
          </w:p>
        </w:tc>
        <w:tc>
          <w:tcPr>
            <w:tcW w:w="2612" w:type="dxa"/>
            <w:gridSpan w:val="3"/>
            <w:vAlign w:val="center"/>
          </w:tcPr>
          <w:p w14:paraId="01D39B65">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5807" w:type="dxa"/>
            <w:gridSpan w:val="5"/>
            <w:vAlign w:val="center"/>
          </w:tcPr>
          <w:p w14:paraId="1CA4950B">
            <w:pPr>
              <w:jc w:val="left"/>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6D77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3" w:type="dxa"/>
            <w:vMerge w:val="continue"/>
            <w:vAlign w:val="center"/>
          </w:tcPr>
          <w:p w14:paraId="59F74D4C">
            <w:pPr>
              <w:jc w:val="center"/>
              <w:rPr>
                <w:rFonts w:hint="eastAsia" w:ascii="宋体" w:hAnsi="宋体" w:cs="宋体"/>
                <w:color w:val="auto"/>
                <w:szCs w:val="21"/>
                <w:highlight w:val="none"/>
              </w:rPr>
            </w:pPr>
          </w:p>
        </w:tc>
        <w:tc>
          <w:tcPr>
            <w:tcW w:w="2612" w:type="dxa"/>
            <w:gridSpan w:val="3"/>
            <w:vAlign w:val="center"/>
          </w:tcPr>
          <w:p w14:paraId="1316CA3E">
            <w:pPr>
              <w:jc w:val="center"/>
              <w:rPr>
                <w:rFonts w:hint="eastAsia" w:ascii="宋体" w:hAnsi="宋体" w:cs="宋体"/>
                <w:color w:val="auto"/>
                <w:szCs w:val="21"/>
                <w:highlight w:val="none"/>
              </w:rPr>
            </w:pPr>
            <w:r>
              <w:rPr>
                <w:rFonts w:hint="eastAsia" w:ascii="宋体" w:hAnsi="宋体" w:cs="宋体"/>
                <w:bCs/>
                <w:color w:val="auto"/>
                <w:szCs w:val="21"/>
                <w:highlight w:val="none"/>
              </w:rPr>
              <w:t>联合体协议书（如有）</w:t>
            </w:r>
          </w:p>
        </w:tc>
        <w:tc>
          <w:tcPr>
            <w:tcW w:w="5807" w:type="dxa"/>
            <w:gridSpan w:val="5"/>
            <w:vAlign w:val="center"/>
          </w:tcPr>
          <w:p w14:paraId="773618E0">
            <w:pPr>
              <w:jc w:val="left"/>
              <w:rPr>
                <w:rFonts w:hint="eastAsia" w:ascii="宋体" w:hAnsi="宋体" w:cs="宋体"/>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2BDD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3" w:type="dxa"/>
            <w:vMerge w:val="continue"/>
            <w:vAlign w:val="center"/>
          </w:tcPr>
          <w:p w14:paraId="46EEEA0D">
            <w:pPr>
              <w:jc w:val="center"/>
              <w:rPr>
                <w:rFonts w:hint="eastAsia" w:ascii="宋体" w:hAnsi="宋体" w:cs="宋体"/>
                <w:color w:val="auto"/>
                <w:szCs w:val="21"/>
                <w:highlight w:val="none"/>
              </w:rPr>
            </w:pPr>
          </w:p>
        </w:tc>
        <w:tc>
          <w:tcPr>
            <w:tcW w:w="2612" w:type="dxa"/>
            <w:gridSpan w:val="3"/>
            <w:vAlign w:val="center"/>
          </w:tcPr>
          <w:p w14:paraId="5BC1BA82">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w:t>
            </w:r>
          </w:p>
        </w:tc>
        <w:tc>
          <w:tcPr>
            <w:tcW w:w="5807" w:type="dxa"/>
            <w:gridSpan w:val="5"/>
            <w:vAlign w:val="center"/>
          </w:tcPr>
          <w:p w14:paraId="75368C2F">
            <w:pPr>
              <w:jc w:val="left"/>
              <w:rPr>
                <w:rFonts w:hint="eastAsia" w:ascii="宋体" w:hAnsi="宋体" w:cs="宋体"/>
                <w:bCs/>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231C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1AD1BB27">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1.2 </w:t>
            </w:r>
          </w:p>
        </w:tc>
        <w:tc>
          <w:tcPr>
            <w:tcW w:w="8419" w:type="dxa"/>
            <w:gridSpan w:val="8"/>
            <w:vAlign w:val="center"/>
          </w:tcPr>
          <w:p w14:paraId="6207C006">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057C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2F9E76C3">
            <w:pPr>
              <w:jc w:val="center"/>
              <w:rPr>
                <w:rFonts w:hint="eastAsia" w:ascii="宋体" w:hAnsi="宋体" w:cs="宋体"/>
                <w:color w:val="auto"/>
                <w:szCs w:val="21"/>
                <w:highlight w:val="none"/>
              </w:rPr>
            </w:pPr>
          </w:p>
        </w:tc>
        <w:tc>
          <w:tcPr>
            <w:tcW w:w="2612" w:type="dxa"/>
            <w:gridSpan w:val="3"/>
            <w:vAlign w:val="center"/>
          </w:tcPr>
          <w:p w14:paraId="1166A5CF">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5807" w:type="dxa"/>
            <w:gridSpan w:val="5"/>
            <w:vAlign w:val="center"/>
          </w:tcPr>
          <w:p w14:paraId="2E5F8DBE">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746D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28E41551">
            <w:pPr>
              <w:jc w:val="center"/>
              <w:rPr>
                <w:rFonts w:hint="eastAsia" w:ascii="宋体" w:hAnsi="宋体" w:cs="宋体"/>
                <w:color w:val="auto"/>
                <w:szCs w:val="21"/>
                <w:highlight w:val="none"/>
              </w:rPr>
            </w:pPr>
          </w:p>
        </w:tc>
        <w:tc>
          <w:tcPr>
            <w:tcW w:w="2612" w:type="dxa"/>
            <w:gridSpan w:val="3"/>
            <w:vAlign w:val="center"/>
          </w:tcPr>
          <w:p w14:paraId="47D5ADA0">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5807" w:type="dxa"/>
            <w:gridSpan w:val="5"/>
            <w:vAlign w:val="center"/>
          </w:tcPr>
          <w:p w14:paraId="3AB110A4">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5305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3" w:type="dxa"/>
            <w:vMerge w:val="continue"/>
            <w:vAlign w:val="center"/>
          </w:tcPr>
          <w:p w14:paraId="5C45CEF2">
            <w:pPr>
              <w:jc w:val="center"/>
              <w:rPr>
                <w:rFonts w:hint="eastAsia" w:ascii="宋体" w:hAnsi="宋体" w:cs="宋体"/>
                <w:color w:val="auto"/>
                <w:szCs w:val="21"/>
                <w:highlight w:val="none"/>
              </w:rPr>
            </w:pPr>
          </w:p>
        </w:tc>
        <w:tc>
          <w:tcPr>
            <w:tcW w:w="2612" w:type="dxa"/>
            <w:gridSpan w:val="3"/>
            <w:vAlign w:val="center"/>
          </w:tcPr>
          <w:p w14:paraId="190AAD46">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5807" w:type="dxa"/>
            <w:gridSpan w:val="5"/>
            <w:vAlign w:val="center"/>
          </w:tcPr>
          <w:p w14:paraId="03F9BFA2">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07C3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3701DA62">
            <w:pPr>
              <w:jc w:val="center"/>
              <w:rPr>
                <w:rFonts w:hint="eastAsia" w:ascii="宋体" w:hAnsi="宋体" w:cs="宋体"/>
                <w:color w:val="auto"/>
                <w:szCs w:val="21"/>
                <w:highlight w:val="none"/>
              </w:rPr>
            </w:pPr>
          </w:p>
        </w:tc>
        <w:tc>
          <w:tcPr>
            <w:tcW w:w="2612" w:type="dxa"/>
            <w:gridSpan w:val="3"/>
            <w:vAlign w:val="center"/>
          </w:tcPr>
          <w:p w14:paraId="7681EC60">
            <w:pPr>
              <w:pStyle w:val="229"/>
              <w:spacing w:line="240" w:lineRule="exact"/>
              <w:ind w:firstLine="0" w:firstLineChars="0"/>
              <w:jc w:val="center"/>
              <w:rPr>
                <w:rFonts w:hint="eastAsia" w:ascii="宋体" w:hAnsi="宋体" w:cs="宋体"/>
                <w:color w:val="auto"/>
                <w:szCs w:val="21"/>
                <w:highlight w:val="none"/>
              </w:rPr>
            </w:pPr>
            <w:bookmarkStart w:id="305" w:name="_Toc193802312"/>
            <w:bookmarkStart w:id="306" w:name="_Toc193802693"/>
            <w:bookmarkStart w:id="307" w:name="_Toc211498637"/>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305"/>
            <w:bookmarkEnd w:id="306"/>
            <w:bookmarkEnd w:id="307"/>
          </w:p>
        </w:tc>
        <w:tc>
          <w:tcPr>
            <w:tcW w:w="5807" w:type="dxa"/>
            <w:gridSpan w:val="5"/>
            <w:vAlign w:val="center"/>
          </w:tcPr>
          <w:p w14:paraId="69E6DEEE">
            <w:pPr>
              <w:pStyle w:val="229"/>
              <w:spacing w:line="240" w:lineRule="exact"/>
              <w:ind w:firstLine="0" w:firstLineChars="0"/>
              <w:jc w:val="left"/>
              <w:rPr>
                <w:rFonts w:hint="eastAsia" w:ascii="宋体" w:hAnsi="宋体" w:cs="宋体"/>
                <w:color w:val="auto"/>
                <w:szCs w:val="21"/>
                <w:highlight w:val="none"/>
              </w:rPr>
            </w:pPr>
            <w:bookmarkStart w:id="308" w:name="_Toc193802313"/>
            <w:bookmarkStart w:id="309" w:name="_Toc193802694"/>
            <w:bookmarkStart w:id="310" w:name="_Toc211498638"/>
            <w:r>
              <w:rPr>
                <w:rFonts w:hint="eastAsia" w:ascii="宋体" w:hAnsi="宋体" w:eastAsia="宋体" w:cs="宋体"/>
                <w:bCs/>
                <w:color w:val="auto"/>
                <w:sz w:val="21"/>
                <w:szCs w:val="21"/>
                <w:highlight w:val="none"/>
                <w:u w:val="none"/>
              </w:rPr>
              <w:t>符合第二章投标人须知第1.4.1项规定</w:t>
            </w:r>
            <w:bookmarkEnd w:id="308"/>
            <w:bookmarkEnd w:id="309"/>
            <w:bookmarkEnd w:id="310"/>
          </w:p>
        </w:tc>
      </w:tr>
      <w:tr w14:paraId="6C2B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52DD57DA">
            <w:pPr>
              <w:jc w:val="center"/>
              <w:rPr>
                <w:rFonts w:hint="eastAsia" w:ascii="宋体" w:hAnsi="宋体" w:cs="宋体"/>
                <w:color w:val="auto"/>
                <w:szCs w:val="21"/>
                <w:highlight w:val="none"/>
              </w:rPr>
            </w:pPr>
          </w:p>
        </w:tc>
        <w:tc>
          <w:tcPr>
            <w:tcW w:w="2612" w:type="dxa"/>
            <w:gridSpan w:val="3"/>
            <w:vAlign w:val="center"/>
          </w:tcPr>
          <w:p w14:paraId="38ED745F">
            <w:pPr>
              <w:pStyle w:val="229"/>
              <w:spacing w:line="240" w:lineRule="exact"/>
              <w:ind w:firstLine="0" w:firstLineChars="0"/>
              <w:jc w:val="center"/>
              <w:rPr>
                <w:rFonts w:hint="eastAsia" w:ascii="宋体" w:hAnsi="宋体" w:cs="宋体"/>
                <w:color w:val="auto"/>
                <w:szCs w:val="21"/>
                <w:highlight w:val="none"/>
              </w:rPr>
            </w:pPr>
            <w:bookmarkStart w:id="311" w:name="_Toc211498639"/>
            <w:bookmarkStart w:id="312" w:name="_Toc193802695"/>
            <w:bookmarkStart w:id="313" w:name="_Toc193802314"/>
            <w:r>
              <w:rPr>
                <w:rFonts w:hint="eastAsia" w:ascii="宋体" w:hAnsi="宋体" w:eastAsia="宋体" w:cs="宋体"/>
                <w:bCs/>
                <w:color w:val="auto"/>
                <w:sz w:val="21"/>
                <w:szCs w:val="21"/>
                <w:highlight w:val="none"/>
                <w:u w:val="none"/>
              </w:rPr>
              <w:t>法定代表人资格（不适用）</w:t>
            </w:r>
            <w:bookmarkEnd w:id="311"/>
            <w:bookmarkEnd w:id="312"/>
            <w:bookmarkEnd w:id="313"/>
          </w:p>
        </w:tc>
        <w:tc>
          <w:tcPr>
            <w:tcW w:w="5807" w:type="dxa"/>
            <w:gridSpan w:val="5"/>
            <w:vAlign w:val="center"/>
          </w:tcPr>
          <w:p w14:paraId="24D5D21E">
            <w:pPr>
              <w:pStyle w:val="229"/>
              <w:spacing w:line="240" w:lineRule="exact"/>
              <w:ind w:firstLine="0" w:firstLineChars="0"/>
              <w:jc w:val="left"/>
              <w:rPr>
                <w:rFonts w:hint="eastAsia" w:ascii="宋体" w:hAnsi="宋体" w:cs="宋体"/>
                <w:color w:val="auto"/>
                <w:szCs w:val="21"/>
                <w:highlight w:val="none"/>
              </w:rPr>
            </w:pPr>
            <w:bookmarkStart w:id="314" w:name="_Toc193802315"/>
            <w:bookmarkStart w:id="315" w:name="_Toc193802696"/>
            <w:bookmarkStart w:id="316" w:name="_Toc211498640"/>
            <w:r>
              <w:rPr>
                <w:rFonts w:hint="eastAsia" w:ascii="宋体" w:hAnsi="宋体" w:eastAsia="宋体" w:cs="宋体"/>
                <w:bCs/>
                <w:color w:val="auto"/>
                <w:sz w:val="21"/>
                <w:szCs w:val="21"/>
                <w:highlight w:val="none"/>
                <w:u w:val="none"/>
              </w:rPr>
              <w:t>符合第二章投标人须知第1.4.1项规定</w:t>
            </w:r>
            <w:bookmarkEnd w:id="314"/>
            <w:bookmarkEnd w:id="315"/>
            <w:bookmarkEnd w:id="316"/>
          </w:p>
        </w:tc>
      </w:tr>
      <w:tr w14:paraId="5702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1DBCAAF6">
            <w:pPr>
              <w:jc w:val="center"/>
              <w:rPr>
                <w:rFonts w:hint="eastAsia" w:ascii="宋体" w:hAnsi="宋体" w:cs="宋体"/>
                <w:color w:val="auto"/>
                <w:szCs w:val="21"/>
                <w:highlight w:val="none"/>
              </w:rPr>
            </w:pPr>
          </w:p>
        </w:tc>
        <w:tc>
          <w:tcPr>
            <w:tcW w:w="2612" w:type="dxa"/>
            <w:gridSpan w:val="3"/>
            <w:vAlign w:val="center"/>
          </w:tcPr>
          <w:p w14:paraId="7AFA9436">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5807" w:type="dxa"/>
            <w:gridSpan w:val="5"/>
            <w:vAlign w:val="center"/>
          </w:tcPr>
          <w:p w14:paraId="46B3884B">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3CC0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08E8C5C0">
            <w:pPr>
              <w:jc w:val="center"/>
              <w:rPr>
                <w:rFonts w:hint="eastAsia" w:ascii="宋体" w:hAnsi="宋体" w:cs="宋体"/>
                <w:color w:val="auto"/>
                <w:szCs w:val="21"/>
                <w:highlight w:val="none"/>
              </w:rPr>
            </w:pPr>
          </w:p>
        </w:tc>
        <w:tc>
          <w:tcPr>
            <w:tcW w:w="2612" w:type="dxa"/>
            <w:gridSpan w:val="3"/>
            <w:vAlign w:val="center"/>
          </w:tcPr>
          <w:p w14:paraId="395C4250">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5807" w:type="dxa"/>
            <w:gridSpan w:val="5"/>
            <w:vAlign w:val="center"/>
          </w:tcPr>
          <w:p w14:paraId="521BC51E">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081E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1095EA2D">
            <w:pPr>
              <w:jc w:val="center"/>
              <w:rPr>
                <w:rFonts w:hint="eastAsia" w:ascii="宋体" w:hAnsi="宋体" w:cs="宋体"/>
                <w:color w:val="auto"/>
                <w:szCs w:val="21"/>
                <w:highlight w:val="none"/>
              </w:rPr>
            </w:pPr>
          </w:p>
        </w:tc>
        <w:tc>
          <w:tcPr>
            <w:tcW w:w="2612" w:type="dxa"/>
            <w:gridSpan w:val="3"/>
            <w:vAlign w:val="center"/>
          </w:tcPr>
          <w:p w14:paraId="074D8678">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5807" w:type="dxa"/>
            <w:gridSpan w:val="5"/>
            <w:vAlign w:val="center"/>
          </w:tcPr>
          <w:p w14:paraId="7B155066">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70B3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70220594">
            <w:pPr>
              <w:jc w:val="center"/>
              <w:rPr>
                <w:rFonts w:hint="eastAsia" w:ascii="宋体" w:hAnsi="宋体" w:cs="宋体"/>
                <w:color w:val="auto"/>
                <w:szCs w:val="21"/>
                <w:highlight w:val="none"/>
              </w:rPr>
            </w:pPr>
          </w:p>
        </w:tc>
        <w:tc>
          <w:tcPr>
            <w:tcW w:w="2612" w:type="dxa"/>
            <w:gridSpan w:val="3"/>
            <w:vAlign w:val="center"/>
          </w:tcPr>
          <w:p w14:paraId="17C0F2A4">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807" w:type="dxa"/>
            <w:gridSpan w:val="5"/>
            <w:vAlign w:val="center"/>
          </w:tcPr>
          <w:p w14:paraId="776562F2">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5893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03" w:type="dxa"/>
            <w:vMerge w:val="continue"/>
            <w:vAlign w:val="center"/>
          </w:tcPr>
          <w:p w14:paraId="0F3AA867">
            <w:pPr>
              <w:jc w:val="center"/>
              <w:rPr>
                <w:rFonts w:hint="eastAsia" w:ascii="宋体" w:hAnsi="宋体" w:cs="宋体"/>
                <w:color w:val="auto"/>
                <w:szCs w:val="21"/>
                <w:highlight w:val="none"/>
              </w:rPr>
            </w:pPr>
          </w:p>
        </w:tc>
        <w:tc>
          <w:tcPr>
            <w:tcW w:w="8419" w:type="dxa"/>
            <w:gridSpan w:val="8"/>
            <w:vAlign w:val="center"/>
          </w:tcPr>
          <w:p w14:paraId="2D6F362D">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不再对投标人资格进行评审。投标人资格预审申请文件的内容发生了重大变化的，由交易系统依据资格预审文件中规定的标准和方法，对照投标人资格预审申请文件中的资料以及开标前更新的资料，对其更新的资料进行评审，其变化后的资格条件不得低于原有资格条件要求。</w:t>
            </w:r>
          </w:p>
          <w:p w14:paraId="3D480E54">
            <w:pPr>
              <w:rPr>
                <w:rFonts w:hint="eastAsia" w:ascii="宋体" w:hAnsi="宋体" w:cs="宋体"/>
                <w:bCs/>
                <w:color w:val="auto"/>
                <w:szCs w:val="21"/>
                <w:highlight w:val="none"/>
              </w:rPr>
            </w:pPr>
            <w:r>
              <w:rPr>
                <w:rFonts w:hint="eastAsia" w:ascii="宋体" w:hAnsi="宋体" w:cs="宋体"/>
                <w:color w:val="auto"/>
                <w:szCs w:val="21"/>
                <w:highlight w:val="none"/>
              </w:rPr>
              <w:t xml:space="preserve">2.未进行资格预审的，由交易系统根据评审标准，对投标人资格进行评审。 </w:t>
            </w:r>
          </w:p>
        </w:tc>
      </w:tr>
      <w:tr w14:paraId="3144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Align w:val="center"/>
          </w:tcPr>
          <w:p w14:paraId="1D0ADB8C">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357" w:type="dxa"/>
            <w:vAlign w:val="center"/>
          </w:tcPr>
          <w:p w14:paraId="4F092E9C">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6028" w:type="dxa"/>
            <w:gridSpan w:val="5"/>
            <w:vAlign w:val="center"/>
          </w:tcPr>
          <w:p w14:paraId="2602C610">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01E1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7" w:hRule="atLeast"/>
          <w:jc w:val="center"/>
        </w:trPr>
        <w:tc>
          <w:tcPr>
            <w:tcW w:w="1227" w:type="dxa"/>
            <w:gridSpan w:val="2"/>
            <w:vMerge w:val="restart"/>
            <w:vAlign w:val="center"/>
          </w:tcPr>
          <w:p w14:paraId="4A18E270">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385" w:type="dxa"/>
            <w:gridSpan w:val="6"/>
            <w:vAlign w:val="center"/>
          </w:tcPr>
          <w:p w14:paraId="737296DA">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459A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Merge w:val="continue"/>
            <w:vAlign w:val="center"/>
          </w:tcPr>
          <w:p w14:paraId="7D66EFA1">
            <w:pPr>
              <w:jc w:val="center"/>
              <w:rPr>
                <w:rFonts w:hint="eastAsia" w:ascii="宋体" w:hAnsi="宋体" w:cs="宋体"/>
                <w:color w:val="auto"/>
                <w:szCs w:val="21"/>
                <w:highlight w:val="none"/>
              </w:rPr>
            </w:pPr>
          </w:p>
        </w:tc>
        <w:tc>
          <w:tcPr>
            <w:tcW w:w="2357" w:type="dxa"/>
            <w:vAlign w:val="center"/>
          </w:tcPr>
          <w:p w14:paraId="53035D93">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028" w:type="dxa"/>
            <w:gridSpan w:val="5"/>
            <w:vAlign w:val="center"/>
          </w:tcPr>
          <w:p w14:paraId="6073AE93">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5A9D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29" w:hRule="atLeast"/>
          <w:jc w:val="center"/>
        </w:trPr>
        <w:tc>
          <w:tcPr>
            <w:tcW w:w="1227" w:type="dxa"/>
            <w:gridSpan w:val="2"/>
            <w:vMerge w:val="continue"/>
            <w:vAlign w:val="center"/>
          </w:tcPr>
          <w:p w14:paraId="2BDF962D">
            <w:pPr>
              <w:jc w:val="center"/>
              <w:rPr>
                <w:rFonts w:hint="eastAsia" w:ascii="宋体" w:hAnsi="宋体" w:cs="宋体"/>
                <w:color w:val="auto"/>
                <w:szCs w:val="21"/>
                <w:highlight w:val="none"/>
              </w:rPr>
            </w:pPr>
          </w:p>
        </w:tc>
        <w:tc>
          <w:tcPr>
            <w:tcW w:w="2357" w:type="dxa"/>
            <w:vAlign w:val="center"/>
          </w:tcPr>
          <w:p w14:paraId="0ACAAD12">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028" w:type="dxa"/>
            <w:gridSpan w:val="5"/>
            <w:vAlign w:val="center"/>
          </w:tcPr>
          <w:p w14:paraId="0602AC61">
            <w:pPr>
              <w:rPr>
                <w:rFonts w:ascii="Calibri" w:hAnsi="Calibri" w:cs="Calibri"/>
                <w:color w:val="auto"/>
                <w:szCs w:val="21"/>
                <w:highlight w:val="none"/>
              </w:rPr>
            </w:pPr>
            <w:r>
              <w:rPr>
                <w:rFonts w:hint="eastAsia" w:ascii="Calibri" w:hAnsi="Calibri" w:cs="Calibri"/>
                <w:color w:val="auto"/>
                <w:szCs w:val="21"/>
                <w:highlight w:val="none"/>
              </w:rPr>
              <w:t>投标报价未超过招标文件规定的最高投标限价；</w:t>
            </w:r>
          </w:p>
          <w:p w14:paraId="3E5D9123">
            <w:pPr>
              <w:rPr>
                <w:rFonts w:ascii="Calibri" w:hAnsi="Calibri" w:cs="Calibri"/>
                <w:color w:val="auto"/>
                <w:szCs w:val="21"/>
                <w:highlight w:val="none"/>
              </w:rPr>
            </w:pPr>
            <w:r>
              <w:rPr>
                <w:rFonts w:hint="eastAsia" w:ascii="Calibri" w:hAnsi="Calibri" w:cs="Calibri"/>
                <w:color w:val="auto"/>
                <w:szCs w:val="21"/>
                <w:highlight w:val="none"/>
              </w:rPr>
              <w:t>投标报价中的安全生产措施费费率未低于省住房城乡建设主管部门公布的费率；</w:t>
            </w:r>
          </w:p>
          <w:p w14:paraId="223F814A">
            <w:pPr>
              <w:rPr>
                <w:rFonts w:ascii="Calibri" w:hAnsi="Calibri" w:cs="Calibri"/>
                <w:color w:val="auto"/>
                <w:szCs w:val="21"/>
                <w:highlight w:val="none"/>
              </w:rPr>
            </w:pPr>
            <w:r>
              <w:rPr>
                <w:rFonts w:hint="eastAsia" w:ascii="Calibri" w:hAnsi="Calibri" w:cs="Calibri"/>
                <w:color w:val="auto"/>
                <w:szCs w:val="21"/>
                <w:highlight w:val="none"/>
              </w:rPr>
              <w:t>投标报价中的增值税按照政府有关主管部门的规定计算费用；</w:t>
            </w:r>
          </w:p>
          <w:p w14:paraId="6994DD1C">
            <w:pPr>
              <w:rPr>
                <w:rFonts w:ascii="Calibri" w:hAnsi="Calibri" w:cs="Calibri"/>
                <w:color w:val="auto"/>
                <w:szCs w:val="21"/>
                <w:highlight w:val="none"/>
              </w:rPr>
            </w:pPr>
            <w:r>
              <w:rPr>
                <w:rFonts w:hint="eastAsia" w:ascii="Calibri" w:hAnsi="Calibri" w:cs="Calibri"/>
                <w:color w:val="auto"/>
                <w:szCs w:val="21"/>
                <w:highlight w:val="none"/>
              </w:rPr>
              <w:t>投标报价中的暂列金额和专业工程暂估价金额和材料暂估单价与招标人公布的暂列金额和专业工程暂估价金额和材料暂估单价保持一致的；</w:t>
            </w:r>
          </w:p>
          <w:p w14:paraId="361895CB">
            <w:pPr>
              <w:rPr>
                <w:rFonts w:hint="eastAsia" w:ascii="宋体" w:hAnsi="宋体" w:cs="宋体"/>
                <w:color w:val="auto"/>
                <w:szCs w:val="21"/>
                <w:highlight w:val="none"/>
              </w:rPr>
            </w:pPr>
            <w:r>
              <w:rPr>
                <w:rFonts w:hint="eastAsia" w:ascii="Calibri" w:hAnsi="Calibri" w:cs="Calibri"/>
                <w:color w:val="auto"/>
                <w:szCs w:val="21"/>
                <w:highlight w:val="none"/>
              </w:rPr>
              <w:t>投标报价中的分部分项工程项目清单（不含在分部分项工程项目清单中列项的措施项目费）项目编码、项目名称、项目特征、计量单位和工程数量与招标</w:t>
            </w:r>
            <w:r>
              <w:rPr>
                <w:rFonts w:hint="eastAsia" w:ascii="Calibri" w:hAnsi="Calibri" w:cs="Calibri"/>
                <w:color w:val="auto"/>
                <w:szCs w:val="21"/>
                <w:highlight w:val="none"/>
                <w:lang w:eastAsia="zh"/>
              </w:rPr>
              <w:t>人公布的</w:t>
            </w:r>
            <w:r>
              <w:rPr>
                <w:rFonts w:hint="eastAsia" w:ascii="Calibri" w:hAnsi="Calibri" w:cs="Calibri"/>
                <w:color w:val="auto"/>
                <w:szCs w:val="21"/>
                <w:highlight w:val="none"/>
              </w:rPr>
              <w:t>分部分项工程项目清单（不含在分部分项工程项目清单中列项的措施项目费）项目编码、项目名称、项目特征、计量单位和工程数量保持一致的（适用于采用单价合同的工程）。</w:t>
            </w:r>
          </w:p>
        </w:tc>
      </w:tr>
      <w:tr w14:paraId="4B71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29" w:hRule="atLeast"/>
          <w:jc w:val="center"/>
        </w:trPr>
        <w:tc>
          <w:tcPr>
            <w:tcW w:w="1227" w:type="dxa"/>
            <w:gridSpan w:val="2"/>
            <w:vMerge w:val="continue"/>
            <w:vAlign w:val="center"/>
          </w:tcPr>
          <w:p w14:paraId="63129D50">
            <w:pPr>
              <w:jc w:val="center"/>
              <w:rPr>
                <w:rFonts w:hint="eastAsia" w:ascii="宋体" w:hAnsi="宋体" w:cs="宋体"/>
                <w:color w:val="auto"/>
                <w:szCs w:val="21"/>
                <w:highlight w:val="none"/>
              </w:rPr>
            </w:pPr>
          </w:p>
        </w:tc>
        <w:tc>
          <w:tcPr>
            <w:tcW w:w="2357" w:type="dxa"/>
            <w:vAlign w:val="center"/>
          </w:tcPr>
          <w:p w14:paraId="3E2994A5">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028" w:type="dxa"/>
            <w:gridSpan w:val="5"/>
            <w:vAlign w:val="center"/>
          </w:tcPr>
          <w:p w14:paraId="6203FA20">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4784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 w:hRule="atLeast"/>
          <w:jc w:val="center"/>
        </w:trPr>
        <w:tc>
          <w:tcPr>
            <w:tcW w:w="1227" w:type="dxa"/>
            <w:gridSpan w:val="2"/>
            <w:vMerge w:val="continue"/>
            <w:vAlign w:val="center"/>
          </w:tcPr>
          <w:p w14:paraId="70E9C6A4">
            <w:pPr>
              <w:jc w:val="center"/>
              <w:rPr>
                <w:rFonts w:hint="eastAsia" w:ascii="宋体" w:hAnsi="宋体" w:cs="宋体"/>
                <w:color w:val="auto"/>
                <w:szCs w:val="21"/>
                <w:highlight w:val="none"/>
              </w:rPr>
            </w:pPr>
          </w:p>
        </w:tc>
        <w:tc>
          <w:tcPr>
            <w:tcW w:w="2357" w:type="dxa"/>
            <w:vAlign w:val="center"/>
          </w:tcPr>
          <w:p w14:paraId="63636B56">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6028" w:type="dxa"/>
            <w:gridSpan w:val="5"/>
            <w:vAlign w:val="center"/>
          </w:tcPr>
          <w:p w14:paraId="4DCC3C4A">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2606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88" w:hRule="atLeast"/>
          <w:jc w:val="center"/>
        </w:trPr>
        <w:tc>
          <w:tcPr>
            <w:tcW w:w="1227" w:type="dxa"/>
            <w:gridSpan w:val="2"/>
            <w:vMerge w:val="continue"/>
            <w:vAlign w:val="center"/>
          </w:tcPr>
          <w:p w14:paraId="4EA0DFF7">
            <w:pPr>
              <w:jc w:val="center"/>
              <w:rPr>
                <w:rFonts w:hint="eastAsia" w:ascii="宋体" w:hAnsi="宋体" w:cs="宋体"/>
                <w:color w:val="auto"/>
                <w:szCs w:val="21"/>
                <w:highlight w:val="none"/>
              </w:rPr>
            </w:pPr>
          </w:p>
        </w:tc>
        <w:tc>
          <w:tcPr>
            <w:tcW w:w="2357" w:type="dxa"/>
            <w:vAlign w:val="center"/>
          </w:tcPr>
          <w:p w14:paraId="320EF500">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w:t>
            </w:r>
            <w:r>
              <w:rPr>
                <w:rFonts w:hint="eastAsia" w:ascii="宋体" w:hAnsi="宋体" w:cs="宋体"/>
                <w:color w:val="auto"/>
                <w:szCs w:val="21"/>
                <w:highlight w:val="none"/>
              </w:rPr>
              <w:t>报送</w:t>
            </w:r>
          </w:p>
        </w:tc>
        <w:tc>
          <w:tcPr>
            <w:tcW w:w="6028" w:type="dxa"/>
            <w:gridSpan w:val="5"/>
            <w:vAlign w:val="center"/>
          </w:tcPr>
          <w:p w14:paraId="5A95C098">
            <w:pPr>
              <w:rPr>
                <w:rFonts w:hint="eastAsia" w:ascii="宋体" w:hAnsi="宋体" w:cs="宋体"/>
                <w:color w:val="auto"/>
                <w:kern w:val="0"/>
                <w:szCs w:val="21"/>
                <w:highlight w:val="none"/>
              </w:rPr>
            </w:pPr>
            <w:r>
              <w:rPr>
                <w:rFonts w:hint="eastAsia" w:ascii="Calibri" w:hAnsi="Calibri" w:cs="Calibri"/>
                <w:color w:val="auto"/>
                <w:szCs w:val="21"/>
                <w:highlight w:val="none"/>
              </w:rPr>
              <w:t xml:space="preserve">符合第二章“投标人须知”的规定   </w:t>
            </w:r>
          </w:p>
        </w:tc>
      </w:tr>
      <w:tr w14:paraId="24C9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12" w:hRule="atLeast"/>
          <w:jc w:val="center"/>
        </w:trPr>
        <w:tc>
          <w:tcPr>
            <w:tcW w:w="1227" w:type="dxa"/>
            <w:gridSpan w:val="2"/>
            <w:vMerge w:val="continue"/>
            <w:vAlign w:val="center"/>
          </w:tcPr>
          <w:p w14:paraId="119E5A36">
            <w:pPr>
              <w:jc w:val="center"/>
              <w:rPr>
                <w:rFonts w:hint="eastAsia" w:ascii="宋体" w:hAnsi="宋体" w:cs="宋体"/>
                <w:color w:val="auto"/>
                <w:szCs w:val="21"/>
                <w:highlight w:val="none"/>
              </w:rPr>
            </w:pPr>
          </w:p>
        </w:tc>
        <w:tc>
          <w:tcPr>
            <w:tcW w:w="2357" w:type="dxa"/>
            <w:vAlign w:val="center"/>
          </w:tcPr>
          <w:p w14:paraId="25324C07">
            <w:pPr>
              <w:jc w:val="center"/>
              <w:rPr>
                <w:rFonts w:ascii="Calibri" w:hAnsi="Calibri" w:cs="Calibri"/>
                <w:color w:val="auto"/>
                <w:szCs w:val="21"/>
                <w:highlight w:val="none"/>
              </w:rPr>
            </w:pPr>
            <w:r>
              <w:rPr>
                <w:rFonts w:hint="eastAsia" w:ascii="宋体" w:hAnsi="宋体" w:cs="宋体"/>
                <w:bCs/>
                <w:color w:val="auto"/>
                <w:szCs w:val="21"/>
                <w:highlight w:val="none"/>
              </w:rPr>
              <w:t>拟任项目经理在建情况</w:t>
            </w:r>
          </w:p>
        </w:tc>
        <w:tc>
          <w:tcPr>
            <w:tcW w:w="6028" w:type="dxa"/>
            <w:gridSpan w:val="5"/>
            <w:vAlign w:val="center"/>
          </w:tcPr>
          <w:p w14:paraId="05E0D10A">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符合第二章投标人须知规定</w:t>
            </w:r>
          </w:p>
        </w:tc>
      </w:tr>
      <w:tr w14:paraId="30E3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426" w:hRule="atLeast"/>
          <w:jc w:val="center"/>
        </w:trPr>
        <w:tc>
          <w:tcPr>
            <w:tcW w:w="1227" w:type="dxa"/>
            <w:gridSpan w:val="2"/>
            <w:vMerge w:val="continue"/>
            <w:vAlign w:val="center"/>
          </w:tcPr>
          <w:p w14:paraId="75BF5720">
            <w:pPr>
              <w:jc w:val="center"/>
              <w:rPr>
                <w:rFonts w:hint="eastAsia" w:ascii="宋体" w:hAnsi="宋体" w:cs="宋体"/>
                <w:color w:val="auto"/>
                <w:szCs w:val="21"/>
                <w:highlight w:val="none"/>
              </w:rPr>
            </w:pPr>
          </w:p>
        </w:tc>
        <w:tc>
          <w:tcPr>
            <w:tcW w:w="2357" w:type="dxa"/>
            <w:vAlign w:val="center"/>
          </w:tcPr>
          <w:p w14:paraId="5CEAA647">
            <w:pPr>
              <w:jc w:val="center"/>
              <w:rPr>
                <w:rFonts w:ascii="Calibri" w:hAnsi="Calibri" w:cs="Calibri"/>
                <w:color w:val="auto"/>
                <w:szCs w:val="21"/>
                <w:highlight w:val="none"/>
              </w:rPr>
            </w:pPr>
            <w:r>
              <w:rPr>
                <w:rFonts w:hint="eastAsia" w:ascii="宋体" w:hAnsi="宋体" w:cs="宋体"/>
                <w:bCs/>
                <w:color w:val="auto"/>
                <w:szCs w:val="21"/>
                <w:highlight w:val="none"/>
              </w:rPr>
              <w:t>投标保证金</w:t>
            </w:r>
          </w:p>
        </w:tc>
        <w:tc>
          <w:tcPr>
            <w:tcW w:w="6028" w:type="dxa"/>
            <w:gridSpan w:val="5"/>
            <w:vAlign w:val="center"/>
          </w:tcPr>
          <w:p w14:paraId="30F2AD9A">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7950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Merge w:val="continue"/>
            <w:vAlign w:val="center"/>
          </w:tcPr>
          <w:p w14:paraId="4802B17D">
            <w:pPr>
              <w:jc w:val="center"/>
              <w:rPr>
                <w:rFonts w:hint="eastAsia" w:ascii="宋体" w:hAnsi="宋体" w:cs="宋体"/>
                <w:color w:val="auto"/>
                <w:szCs w:val="21"/>
                <w:highlight w:val="none"/>
              </w:rPr>
            </w:pPr>
          </w:p>
        </w:tc>
        <w:tc>
          <w:tcPr>
            <w:tcW w:w="2357" w:type="dxa"/>
            <w:vAlign w:val="center"/>
          </w:tcPr>
          <w:p w14:paraId="135D7FF3">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028" w:type="dxa"/>
            <w:gridSpan w:val="5"/>
            <w:vAlign w:val="center"/>
          </w:tcPr>
          <w:p w14:paraId="3C5DA2C2">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067F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Merge w:val="continue"/>
            <w:vAlign w:val="center"/>
          </w:tcPr>
          <w:p w14:paraId="7B81A882">
            <w:pPr>
              <w:jc w:val="center"/>
              <w:rPr>
                <w:rFonts w:hint="eastAsia" w:ascii="宋体" w:hAnsi="宋体" w:cs="宋体"/>
                <w:color w:val="auto"/>
                <w:szCs w:val="21"/>
                <w:highlight w:val="none"/>
              </w:rPr>
            </w:pPr>
          </w:p>
        </w:tc>
        <w:tc>
          <w:tcPr>
            <w:tcW w:w="2357" w:type="dxa"/>
            <w:vAlign w:val="center"/>
          </w:tcPr>
          <w:p w14:paraId="6FEDBC5A">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6028" w:type="dxa"/>
            <w:gridSpan w:val="5"/>
            <w:vAlign w:val="center"/>
          </w:tcPr>
          <w:p w14:paraId="12757F20">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6344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06" w:hRule="atLeast"/>
          <w:jc w:val="center"/>
        </w:trPr>
        <w:tc>
          <w:tcPr>
            <w:tcW w:w="1227" w:type="dxa"/>
            <w:gridSpan w:val="2"/>
            <w:vMerge w:val="continue"/>
            <w:vAlign w:val="center"/>
          </w:tcPr>
          <w:p w14:paraId="03FFC856">
            <w:pPr>
              <w:jc w:val="center"/>
              <w:rPr>
                <w:rFonts w:hint="eastAsia" w:ascii="宋体" w:hAnsi="宋体" w:cs="宋体"/>
                <w:color w:val="auto"/>
                <w:szCs w:val="21"/>
                <w:highlight w:val="none"/>
              </w:rPr>
            </w:pPr>
          </w:p>
        </w:tc>
        <w:tc>
          <w:tcPr>
            <w:tcW w:w="2357" w:type="dxa"/>
            <w:vAlign w:val="center"/>
          </w:tcPr>
          <w:p w14:paraId="58ABE2DD">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6028" w:type="dxa"/>
            <w:gridSpan w:val="5"/>
            <w:vAlign w:val="center"/>
          </w:tcPr>
          <w:p w14:paraId="0539EF2F">
            <w:pPr>
              <w:pStyle w:val="224"/>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rPr>
              <w:t>符合第七章技术标准和要求（合同技术条款）的规定</w:t>
            </w:r>
          </w:p>
        </w:tc>
      </w:tr>
      <w:tr w14:paraId="79AB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Merge w:val="continue"/>
            <w:vAlign w:val="center"/>
          </w:tcPr>
          <w:p w14:paraId="6A868571">
            <w:pPr>
              <w:jc w:val="center"/>
              <w:rPr>
                <w:rFonts w:hint="eastAsia" w:ascii="宋体" w:hAnsi="宋体" w:cs="宋体"/>
                <w:color w:val="auto"/>
                <w:szCs w:val="21"/>
                <w:highlight w:val="none"/>
              </w:rPr>
            </w:pPr>
          </w:p>
        </w:tc>
        <w:tc>
          <w:tcPr>
            <w:tcW w:w="2357" w:type="dxa"/>
            <w:vAlign w:val="center"/>
          </w:tcPr>
          <w:p w14:paraId="676C188E">
            <w:pPr>
              <w:spacing w:after="0"/>
              <w:jc w:val="center"/>
              <w:rPr>
                <w:rFonts w:hint="eastAsia" w:ascii="宋体" w:hAnsi="宋体" w:cs="宋体"/>
                <w:bCs/>
                <w:color w:val="auto"/>
                <w:szCs w:val="21"/>
                <w:highlight w:val="none"/>
              </w:rPr>
            </w:pPr>
            <w:r>
              <w:rPr>
                <w:rFonts w:hint="eastAsia"/>
                <w:color w:val="auto"/>
                <w:highlight w:val="none"/>
              </w:rPr>
              <w:t>党建工作要求</w:t>
            </w:r>
          </w:p>
        </w:tc>
        <w:tc>
          <w:tcPr>
            <w:tcW w:w="6028" w:type="dxa"/>
            <w:gridSpan w:val="5"/>
            <w:vAlign w:val="center"/>
          </w:tcPr>
          <w:p w14:paraId="57242065">
            <w:pPr>
              <w:spacing w:after="0"/>
              <w:rPr>
                <w:rFonts w:hint="eastAsia" w:ascii="宋体" w:hAnsi="宋体" w:cs="宋体"/>
                <w:bCs/>
                <w:color w:val="auto"/>
                <w:szCs w:val="21"/>
                <w:highlight w:val="none"/>
              </w:rPr>
            </w:pPr>
            <w:r>
              <w:rPr>
                <w:rFonts w:hint="eastAsia"/>
                <w:color w:val="auto"/>
                <w:highlight w:val="none"/>
              </w:rPr>
              <w:t>符合第二章投标人须知前附表第10.19.5款规定</w:t>
            </w:r>
          </w:p>
        </w:tc>
      </w:tr>
      <w:tr w14:paraId="0C55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20" w:hRule="atLeast"/>
          <w:jc w:val="center"/>
        </w:trPr>
        <w:tc>
          <w:tcPr>
            <w:tcW w:w="1227" w:type="dxa"/>
            <w:gridSpan w:val="2"/>
            <w:vMerge w:val="continue"/>
            <w:vAlign w:val="center"/>
          </w:tcPr>
          <w:p w14:paraId="5A3CE651">
            <w:pPr>
              <w:jc w:val="center"/>
              <w:rPr>
                <w:rFonts w:hint="eastAsia" w:ascii="宋体" w:hAnsi="宋体" w:cs="宋体"/>
                <w:color w:val="auto"/>
                <w:szCs w:val="21"/>
                <w:highlight w:val="none"/>
              </w:rPr>
            </w:pPr>
          </w:p>
        </w:tc>
        <w:tc>
          <w:tcPr>
            <w:tcW w:w="2357" w:type="dxa"/>
            <w:vAlign w:val="center"/>
          </w:tcPr>
          <w:p w14:paraId="7128C41C">
            <w:pPr>
              <w:jc w:val="center"/>
              <w:rPr>
                <w:rFonts w:hint="eastAsia" w:ascii="宋体" w:hAnsi="宋体" w:cs="宋体"/>
                <w:color w:val="auto"/>
                <w:szCs w:val="21"/>
                <w:highlight w:val="none"/>
              </w:rPr>
            </w:pPr>
            <w:r>
              <w:rPr>
                <w:rFonts w:hint="eastAsia" w:ascii="宋体" w:hAnsi="宋体" w:cs="宋体"/>
                <w:bCs/>
                <w:color w:val="auto"/>
                <w:szCs w:val="21"/>
                <w:highlight w:val="none"/>
              </w:rPr>
              <w:t>工程结算款支付账户（不适用）</w:t>
            </w:r>
          </w:p>
        </w:tc>
        <w:tc>
          <w:tcPr>
            <w:tcW w:w="6028" w:type="dxa"/>
            <w:gridSpan w:val="5"/>
            <w:vAlign w:val="center"/>
          </w:tcPr>
          <w:p w14:paraId="234B3E88">
            <w:pPr>
              <w:pStyle w:val="224"/>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rPr>
              <w:t>符合第二章投标人须知第10条的规定</w:t>
            </w:r>
          </w:p>
        </w:tc>
      </w:tr>
      <w:tr w14:paraId="031D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96" w:hRule="atLeast"/>
          <w:jc w:val="center"/>
        </w:trPr>
        <w:tc>
          <w:tcPr>
            <w:tcW w:w="1227" w:type="dxa"/>
            <w:gridSpan w:val="2"/>
            <w:vAlign w:val="center"/>
          </w:tcPr>
          <w:p w14:paraId="177B3D78">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2357" w:type="dxa"/>
            <w:vAlign w:val="center"/>
          </w:tcPr>
          <w:p w14:paraId="376F5A9C">
            <w:pPr>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14:paraId="420293AD">
            <w:pPr>
              <w:jc w:val="center"/>
              <w:rPr>
                <w:rFonts w:hint="eastAsia" w:ascii="宋体" w:hAnsi="宋体" w:cs="宋体"/>
                <w:color w:val="auto"/>
                <w:szCs w:val="21"/>
                <w:highlight w:val="none"/>
              </w:rPr>
            </w:pPr>
            <w:r>
              <w:rPr>
                <w:rFonts w:hint="eastAsia" w:ascii="宋体" w:hAnsi="宋体" w:cs="宋体"/>
                <w:color w:val="auto"/>
                <w:szCs w:val="21"/>
                <w:highlight w:val="none"/>
              </w:rPr>
              <w:t>（总权值1）</w:t>
            </w:r>
          </w:p>
        </w:tc>
        <w:tc>
          <w:tcPr>
            <w:tcW w:w="6028" w:type="dxa"/>
            <w:gridSpan w:val="5"/>
            <w:vAlign w:val="center"/>
          </w:tcPr>
          <w:p w14:paraId="2249BB59">
            <w:pPr>
              <w:rPr>
                <w:rFonts w:ascii="Calibri" w:hAnsi="Calibri" w:cs="Calibri"/>
                <w:color w:val="auto"/>
                <w:highlight w:val="none"/>
              </w:rPr>
            </w:pPr>
            <w:r>
              <w:rPr>
                <w:rFonts w:hint="eastAsia" w:ascii="Calibri" w:hAnsi="Calibri" w:cs="Calibri"/>
                <w:color w:val="auto"/>
                <w:highlight w:val="none"/>
              </w:rPr>
              <w:t>投标报价权重：</w:t>
            </w:r>
            <w:r>
              <w:rPr>
                <w:rFonts w:hint="eastAsia" w:ascii="Calibri" w:hAnsi="Calibri" w:cs="Calibri"/>
                <w:color w:val="auto"/>
                <w:highlight w:val="none"/>
                <w:u w:val="single"/>
              </w:rPr>
              <w:t xml:space="preserve">99.5% </w:t>
            </w:r>
            <w:r>
              <w:rPr>
                <w:rFonts w:hint="eastAsia" w:ascii="Calibri" w:hAnsi="Calibri" w:cs="Calibri"/>
                <w:color w:val="auto"/>
                <w:highlight w:val="none"/>
              </w:rPr>
              <w:t xml:space="preserve"> ；</w:t>
            </w:r>
          </w:p>
          <w:p w14:paraId="023B00CC">
            <w:pPr>
              <w:rPr>
                <w:rFonts w:ascii="Calibri" w:hAnsi="Calibri" w:cs="Calibri"/>
                <w:color w:val="auto"/>
                <w:highlight w:val="none"/>
              </w:rPr>
            </w:pPr>
            <w:r>
              <w:rPr>
                <w:rFonts w:hint="eastAsia" w:ascii="Calibri" w:hAnsi="Calibri" w:cs="Calibri"/>
                <w:color w:val="auto"/>
                <w:highlight w:val="none"/>
              </w:rPr>
              <w:t>信用评价权重：</w:t>
            </w:r>
            <w:r>
              <w:rPr>
                <w:rFonts w:hint="default" w:ascii="Calibri" w:hAnsi="Calibri" w:cs="Calibri"/>
                <w:color w:val="auto"/>
                <w:highlight w:val="none"/>
                <w:u w:val="single"/>
                <w:lang w:val="en-US"/>
              </w:rPr>
              <w:t>0.5</w:t>
            </w:r>
            <w:r>
              <w:rPr>
                <w:rFonts w:hint="eastAsia" w:ascii="Calibri" w:hAnsi="Calibri" w:cs="Calibri"/>
                <w:color w:val="auto"/>
                <w:highlight w:val="none"/>
                <w:u w:val="single"/>
              </w:rPr>
              <w:t xml:space="preserve">%   </w:t>
            </w:r>
            <w:r>
              <w:rPr>
                <w:rFonts w:hint="eastAsia" w:ascii="Calibri" w:hAnsi="Calibri" w:cs="Calibri"/>
                <w:color w:val="auto"/>
                <w:highlight w:val="none"/>
              </w:rPr>
              <w:t xml:space="preserve"> 。 </w:t>
            </w:r>
          </w:p>
          <w:p w14:paraId="4A637700">
            <w:pPr>
              <w:jc w:val="left"/>
              <w:rPr>
                <w:rFonts w:hint="eastAsia" w:ascii="宋体" w:hAnsi="宋体" w:cs="宋体"/>
                <w:color w:val="auto"/>
                <w:szCs w:val="21"/>
                <w:highlight w:val="none"/>
                <w:lang w:eastAsia="zh-CN"/>
              </w:rPr>
            </w:pPr>
            <w:r>
              <w:rPr>
                <w:rFonts w:hint="eastAsia" w:ascii="宋体" w:hAnsi="宋体" w:cs="宋体"/>
                <w:color w:val="auto"/>
                <w:szCs w:val="21"/>
                <w:highlight w:val="none"/>
              </w:rPr>
              <w:t>全省统一的招标投标信用评价体系建立后</w:t>
            </w:r>
            <w:r>
              <w:rPr>
                <w:rFonts w:hint="eastAsia" w:ascii="宋体" w:hAnsi="宋体" w:cs="宋体"/>
                <w:color w:val="auto"/>
                <w:szCs w:val="21"/>
                <w:highlight w:val="none"/>
                <w:lang w:eastAsia="zh-CN"/>
              </w:rPr>
              <w:t>：</w:t>
            </w:r>
          </w:p>
          <w:p w14:paraId="3454EBEA">
            <w:pPr>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报价权重</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99%</w:t>
            </w:r>
            <w:r>
              <w:rPr>
                <w:rFonts w:hint="eastAsia" w:ascii="宋体" w:hAnsi="宋体" w:cs="宋体"/>
                <w:color w:val="auto"/>
                <w:szCs w:val="21"/>
                <w:highlight w:val="none"/>
                <w:u w:val="none"/>
                <w:lang w:val="en-US" w:eastAsia="zh-CN"/>
              </w:rPr>
              <w:t xml:space="preserve"> ；</w:t>
            </w:r>
          </w:p>
          <w:p w14:paraId="554AED4B">
            <w:pPr>
              <w:jc w:val="left"/>
              <w:rPr>
                <w:rFonts w:ascii="Calibri" w:hAnsi="Calibri" w:cs="Calibri"/>
                <w:color w:val="auto"/>
                <w:highlight w:val="none"/>
              </w:rPr>
            </w:pPr>
            <w:r>
              <w:rPr>
                <w:rFonts w:hint="eastAsia" w:ascii="宋体" w:hAnsi="宋体" w:cs="宋体"/>
                <w:color w:val="auto"/>
                <w:szCs w:val="21"/>
                <w:highlight w:val="none"/>
              </w:rPr>
              <w:t>信用评价权重</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tc>
      </w:tr>
      <w:tr w14:paraId="0231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12" w:hRule="atLeast"/>
          <w:jc w:val="center"/>
        </w:trPr>
        <w:tc>
          <w:tcPr>
            <w:tcW w:w="1227" w:type="dxa"/>
            <w:gridSpan w:val="2"/>
            <w:vAlign w:val="center"/>
          </w:tcPr>
          <w:p w14:paraId="4E181E8D">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357" w:type="dxa"/>
            <w:vAlign w:val="center"/>
          </w:tcPr>
          <w:p w14:paraId="3CF834BD">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4879" w:type="dxa"/>
            <w:gridSpan w:val="3"/>
            <w:vAlign w:val="center"/>
          </w:tcPr>
          <w:p w14:paraId="1320FA9F">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49" w:type="dxa"/>
            <w:gridSpan w:val="2"/>
            <w:vAlign w:val="center"/>
          </w:tcPr>
          <w:p w14:paraId="7FCBEB64">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评审结果</w:t>
            </w:r>
          </w:p>
        </w:tc>
      </w:tr>
      <w:tr w14:paraId="52EB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18" w:hRule="atLeast"/>
          <w:jc w:val="center"/>
        </w:trPr>
        <w:tc>
          <w:tcPr>
            <w:tcW w:w="1227" w:type="dxa"/>
            <w:gridSpan w:val="2"/>
            <w:vMerge w:val="restart"/>
            <w:vAlign w:val="center"/>
          </w:tcPr>
          <w:p w14:paraId="2BE6C051">
            <w:pPr>
              <w:jc w:val="center"/>
              <w:rPr>
                <w:rFonts w:hint="eastAsia" w:ascii="宋体" w:hAnsi="宋体" w:cs="宋体"/>
                <w:strike/>
                <w:color w:val="auto"/>
                <w:szCs w:val="21"/>
                <w:highlight w:val="none"/>
              </w:rPr>
            </w:pPr>
            <w:r>
              <w:rPr>
                <w:rFonts w:hint="eastAsia" w:ascii="宋体" w:hAnsi="宋体" w:cs="宋体"/>
                <w:color w:val="auto"/>
                <w:szCs w:val="21"/>
                <w:highlight w:val="none"/>
              </w:rPr>
              <w:t>1.5</w:t>
            </w:r>
          </w:p>
        </w:tc>
        <w:tc>
          <w:tcPr>
            <w:tcW w:w="8385" w:type="dxa"/>
            <w:gridSpan w:val="6"/>
            <w:vAlign w:val="center"/>
          </w:tcPr>
          <w:p w14:paraId="1E77B99C">
            <w:pPr>
              <w:jc w:val="center"/>
              <w:rPr>
                <w:rFonts w:hint="eastAsia" w:ascii="宋体" w:hAnsi="宋体" w:cs="宋体"/>
                <w:bCs/>
                <w:color w:val="auto"/>
                <w:szCs w:val="21"/>
                <w:highlight w:val="none"/>
              </w:rPr>
            </w:pPr>
            <w:r>
              <w:rPr>
                <w:rFonts w:hint="eastAsia" w:ascii="宋体" w:hAnsi="宋体" w:cs="宋体"/>
                <w:color w:val="auto"/>
                <w:szCs w:val="21"/>
                <w:highlight w:val="none"/>
              </w:rPr>
              <w:t>信用评价评审</w:t>
            </w:r>
          </w:p>
        </w:tc>
      </w:tr>
      <w:tr w14:paraId="7CC9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4" w:hRule="atLeast"/>
          <w:jc w:val="center"/>
        </w:trPr>
        <w:tc>
          <w:tcPr>
            <w:tcW w:w="1227" w:type="dxa"/>
            <w:gridSpan w:val="2"/>
            <w:vMerge w:val="continue"/>
            <w:vAlign w:val="center"/>
          </w:tcPr>
          <w:p w14:paraId="0B44090E">
            <w:pPr>
              <w:jc w:val="center"/>
              <w:rPr>
                <w:rFonts w:hint="eastAsia" w:ascii="宋体" w:hAnsi="宋体" w:cs="宋体"/>
                <w:color w:val="auto"/>
                <w:szCs w:val="21"/>
                <w:highlight w:val="none"/>
              </w:rPr>
            </w:pPr>
          </w:p>
        </w:tc>
        <w:tc>
          <w:tcPr>
            <w:tcW w:w="2357" w:type="dxa"/>
            <w:vAlign w:val="center"/>
          </w:tcPr>
          <w:p w14:paraId="57C9847C">
            <w:pPr>
              <w:jc w:val="center"/>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4894" w:type="dxa"/>
            <w:gridSpan w:val="4"/>
            <w:vAlign w:val="center"/>
          </w:tcPr>
          <w:p w14:paraId="129CF78A">
            <w:pPr>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详见投标须知前附表10.9“信用评价”</w:t>
            </w:r>
          </w:p>
        </w:tc>
        <w:tc>
          <w:tcPr>
            <w:tcW w:w="1134" w:type="dxa"/>
            <w:vAlign w:val="center"/>
          </w:tcPr>
          <w:p w14:paraId="0553B419">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得分 </w:t>
            </w:r>
          </w:p>
        </w:tc>
      </w:tr>
      <w:tr w14:paraId="2DEE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46" w:hRule="atLeast"/>
          <w:jc w:val="center"/>
        </w:trPr>
        <w:tc>
          <w:tcPr>
            <w:tcW w:w="1227" w:type="dxa"/>
            <w:gridSpan w:val="2"/>
            <w:vMerge w:val="restart"/>
            <w:vAlign w:val="center"/>
          </w:tcPr>
          <w:p w14:paraId="1624E626">
            <w:pPr>
              <w:jc w:val="center"/>
              <w:rPr>
                <w:rFonts w:hint="eastAsia" w:ascii="宋体" w:hAnsi="宋体" w:cs="宋体"/>
                <w:strike/>
                <w:color w:val="auto"/>
                <w:szCs w:val="21"/>
                <w:highlight w:val="none"/>
              </w:rPr>
            </w:pPr>
            <w:r>
              <w:rPr>
                <w:rFonts w:hint="eastAsia" w:ascii="宋体" w:hAnsi="宋体" w:cs="宋体"/>
                <w:color w:val="auto"/>
                <w:szCs w:val="21"/>
                <w:highlight w:val="none"/>
              </w:rPr>
              <w:t xml:space="preserve">1.6 </w:t>
            </w:r>
          </w:p>
        </w:tc>
        <w:tc>
          <w:tcPr>
            <w:tcW w:w="8385" w:type="dxa"/>
            <w:gridSpan w:val="6"/>
            <w:vAlign w:val="center"/>
          </w:tcPr>
          <w:p w14:paraId="763BF7D2">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投标报价评审 </w:t>
            </w:r>
          </w:p>
        </w:tc>
      </w:tr>
      <w:tr w14:paraId="6A4A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6" w:hRule="atLeast"/>
          <w:jc w:val="center"/>
        </w:trPr>
        <w:tc>
          <w:tcPr>
            <w:tcW w:w="1227" w:type="dxa"/>
            <w:gridSpan w:val="2"/>
            <w:vMerge w:val="continue"/>
            <w:vAlign w:val="center"/>
          </w:tcPr>
          <w:p w14:paraId="5C6FA3B8">
            <w:pPr>
              <w:jc w:val="center"/>
              <w:rPr>
                <w:rFonts w:hint="eastAsia" w:ascii="宋体" w:hAnsi="宋体" w:cs="宋体"/>
                <w:color w:val="auto"/>
                <w:szCs w:val="21"/>
                <w:highlight w:val="none"/>
              </w:rPr>
            </w:pPr>
          </w:p>
        </w:tc>
        <w:tc>
          <w:tcPr>
            <w:tcW w:w="2661" w:type="dxa"/>
            <w:gridSpan w:val="3"/>
            <w:vAlign w:val="center"/>
          </w:tcPr>
          <w:p w14:paraId="091B53D8">
            <w:pPr>
              <w:jc w:val="center"/>
              <w:rPr>
                <w:rFonts w:hint="eastAsia" w:ascii="宋体" w:hAnsi="宋体" w:cs="宋体"/>
                <w:color w:val="auto"/>
                <w:szCs w:val="21"/>
                <w:highlight w:val="none"/>
              </w:rPr>
            </w:pPr>
            <w:r>
              <w:rPr>
                <w:rFonts w:hint="eastAsia" w:ascii="宋体" w:hAnsi="宋体" w:cs="宋体"/>
                <w:color w:val="auto"/>
                <w:szCs w:val="21"/>
                <w:highlight w:val="none"/>
              </w:rPr>
              <w:t>采用六随机五区间报价得分模型</w:t>
            </w:r>
          </w:p>
        </w:tc>
        <w:tc>
          <w:tcPr>
            <w:tcW w:w="5724" w:type="dxa"/>
            <w:gridSpan w:val="3"/>
            <w:vAlign w:val="center"/>
          </w:tcPr>
          <w:p w14:paraId="7820990D">
            <w:pPr>
              <w:jc w:val="left"/>
              <w:rPr>
                <w:rFonts w:hint="eastAsia" w:ascii="宋体" w:hAnsi="宋体" w:cs="宋体"/>
                <w:color w:val="auto"/>
                <w:szCs w:val="21"/>
                <w:highlight w:val="none"/>
              </w:rPr>
            </w:pPr>
            <w:r>
              <w:rPr>
                <w:rFonts w:hint="eastAsia"/>
                <w:color w:val="auto"/>
                <w:sz w:val="20"/>
                <w:szCs w:val="20"/>
                <w:highlight w:val="none"/>
              </w:rPr>
              <w:t>按照湖南省公共资源交易服务平台动态更新的“六随机五区间报价得分”系统模型计算。</w:t>
            </w:r>
            <w:r>
              <w:rPr>
                <w:rFonts w:hint="eastAsia" w:ascii="宋体" w:hAnsi="宋体" w:cs="宋体"/>
                <w:color w:val="auto"/>
                <w:szCs w:val="21"/>
                <w:highlight w:val="none"/>
              </w:rPr>
              <w:t xml:space="preserve"> </w:t>
            </w:r>
          </w:p>
        </w:tc>
      </w:tr>
      <w:tr w14:paraId="34EB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227" w:type="dxa"/>
            <w:gridSpan w:val="2"/>
            <w:vAlign w:val="center"/>
          </w:tcPr>
          <w:p w14:paraId="3803F2A9">
            <w:pPr>
              <w:snapToGrid w:val="0"/>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385" w:type="dxa"/>
            <w:gridSpan w:val="6"/>
            <w:vAlign w:val="center"/>
          </w:tcPr>
          <w:p w14:paraId="4930984A">
            <w:pPr>
              <w:snapToGrid w:val="0"/>
              <w:ind w:firstLine="4" w:firstLineChars="2"/>
              <w:jc w:val="center"/>
              <w:rPr>
                <w:rFonts w:hint="eastAsia" w:ascii="宋体" w:hAnsi="宋体" w:cs="宋体"/>
                <w:bCs/>
                <w:color w:val="auto"/>
                <w:szCs w:val="21"/>
                <w:highlight w:val="none"/>
              </w:rPr>
            </w:pPr>
            <w:r>
              <w:rPr>
                <w:rFonts w:hint="eastAsia" w:ascii="宋体" w:hAnsi="宋体" w:cs="宋体"/>
                <w:color w:val="auto"/>
                <w:szCs w:val="21"/>
                <w:highlight w:val="none"/>
              </w:rPr>
              <w:t>编列内容</w:t>
            </w:r>
          </w:p>
        </w:tc>
      </w:tr>
      <w:tr w14:paraId="0D3B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227" w:type="dxa"/>
            <w:gridSpan w:val="2"/>
            <w:vAlign w:val="center"/>
          </w:tcPr>
          <w:p w14:paraId="4722552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661" w:type="dxa"/>
            <w:gridSpan w:val="3"/>
            <w:vAlign w:val="center"/>
          </w:tcPr>
          <w:p w14:paraId="042E7FA8">
            <w:pPr>
              <w:snapToGrid w:val="0"/>
              <w:jc w:val="center"/>
              <w:rPr>
                <w:rFonts w:hint="eastAsia" w:ascii="宋体" w:hAnsi="宋体" w:cs="宋体"/>
                <w:bCs/>
                <w:color w:val="auto"/>
                <w:szCs w:val="21"/>
                <w:highlight w:val="none"/>
              </w:rPr>
            </w:pPr>
            <w:r>
              <w:rPr>
                <w:rFonts w:hint="eastAsia" w:ascii="宋体" w:hAnsi="宋体" w:cs="宋体"/>
                <w:color w:val="auto"/>
                <w:szCs w:val="21"/>
                <w:highlight w:val="none"/>
              </w:rPr>
              <w:t>评标程序</w:t>
            </w:r>
          </w:p>
        </w:tc>
        <w:tc>
          <w:tcPr>
            <w:tcW w:w="5724" w:type="dxa"/>
            <w:gridSpan w:val="3"/>
            <w:vAlign w:val="center"/>
          </w:tcPr>
          <w:p w14:paraId="5E90D854">
            <w:pPr>
              <w:snapToGrid w:val="0"/>
              <w:rPr>
                <w:rFonts w:hint="eastAsia" w:ascii="宋体" w:hAnsi="宋体" w:cs="宋体"/>
                <w:bCs/>
                <w:color w:val="auto"/>
                <w:szCs w:val="21"/>
                <w:highlight w:val="none"/>
              </w:rPr>
            </w:pPr>
            <w:r>
              <w:rPr>
                <w:rFonts w:hint="eastAsia" w:ascii="宋体" w:hAnsi="宋体" w:cs="宋体"/>
                <w:color w:val="auto"/>
                <w:szCs w:val="21"/>
                <w:highlight w:val="none"/>
              </w:rPr>
              <w:t>详见本章评审程序</w:t>
            </w:r>
          </w:p>
        </w:tc>
      </w:tr>
      <w:tr w14:paraId="3E11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227" w:type="dxa"/>
            <w:gridSpan w:val="2"/>
            <w:vAlign w:val="center"/>
          </w:tcPr>
          <w:p w14:paraId="3BE5BF4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661" w:type="dxa"/>
            <w:gridSpan w:val="3"/>
            <w:vAlign w:val="center"/>
          </w:tcPr>
          <w:p w14:paraId="13FCCE9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否决投标情形</w:t>
            </w:r>
          </w:p>
        </w:tc>
        <w:tc>
          <w:tcPr>
            <w:tcW w:w="5724" w:type="dxa"/>
            <w:gridSpan w:val="3"/>
            <w:vAlign w:val="center"/>
          </w:tcPr>
          <w:p w14:paraId="2DDBC08A">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r w14:paraId="52E8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227" w:type="dxa"/>
            <w:gridSpan w:val="2"/>
            <w:vAlign w:val="center"/>
          </w:tcPr>
          <w:p w14:paraId="415E01E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661" w:type="dxa"/>
            <w:gridSpan w:val="3"/>
            <w:vAlign w:val="center"/>
          </w:tcPr>
          <w:p w14:paraId="00DAD74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进入投标报价评审阶段投标人数量的确定方式</w:t>
            </w:r>
          </w:p>
        </w:tc>
        <w:tc>
          <w:tcPr>
            <w:tcW w:w="5724" w:type="dxa"/>
            <w:gridSpan w:val="3"/>
            <w:vAlign w:val="center"/>
          </w:tcPr>
          <w:p w14:paraId="5FB87E55">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详见第二章投标人须知前附表</w:t>
            </w:r>
          </w:p>
        </w:tc>
      </w:tr>
    </w:tbl>
    <w:p w14:paraId="3BDF46F7">
      <w:pPr>
        <w:spacing w:line="312" w:lineRule="auto"/>
        <w:jc w:val="center"/>
        <w:rPr>
          <w:rFonts w:eastAsia="黑体"/>
          <w:bCs/>
          <w:color w:val="auto"/>
          <w:sz w:val="30"/>
          <w:highlight w:val="none"/>
        </w:rPr>
      </w:pPr>
      <w:bookmarkStart w:id="317" w:name="_Hlk193448669"/>
    </w:p>
    <w:p w14:paraId="6988528E">
      <w:pPr>
        <w:spacing w:line="312" w:lineRule="auto"/>
        <w:jc w:val="center"/>
        <w:rPr>
          <w:rFonts w:eastAsia="黑体"/>
          <w:bCs/>
          <w:color w:val="auto"/>
          <w:sz w:val="30"/>
          <w:highlight w:val="none"/>
        </w:rPr>
      </w:pPr>
      <w:r>
        <w:rPr>
          <w:rFonts w:eastAsia="黑体"/>
          <w:bCs/>
          <w:color w:val="auto"/>
          <w:sz w:val="30"/>
          <w:highlight w:val="none"/>
        </w:rPr>
        <w:t>评标办法（</w:t>
      </w:r>
      <w:r>
        <w:rPr>
          <w:rFonts w:hint="eastAsia" w:eastAsia="黑体"/>
          <w:bCs/>
          <w:color w:val="auto"/>
          <w:sz w:val="30"/>
          <w:highlight w:val="none"/>
        </w:rPr>
        <w:t>合理低价</w:t>
      </w:r>
      <w:r>
        <w:rPr>
          <w:rFonts w:eastAsia="黑体"/>
          <w:bCs/>
          <w:color w:val="auto"/>
          <w:sz w:val="30"/>
          <w:highlight w:val="none"/>
        </w:rPr>
        <w:t>法）</w:t>
      </w:r>
    </w:p>
    <w:p w14:paraId="4761F434">
      <w:pPr>
        <w:widowControl/>
        <w:jc w:val="left"/>
        <w:rPr>
          <w:rFonts w:eastAsia="黑体"/>
          <w:bCs/>
          <w:color w:val="auto"/>
          <w:sz w:val="24"/>
          <w:highlight w:val="none"/>
        </w:rPr>
      </w:pPr>
    </w:p>
    <w:p w14:paraId="009AB421">
      <w:pPr>
        <w:snapToGrid w:val="0"/>
        <w:spacing w:line="400" w:lineRule="exact"/>
        <w:ind w:firstLine="420" w:firstLineChars="200"/>
        <w:rPr>
          <w:color w:val="auto"/>
          <w:szCs w:val="21"/>
          <w:highlight w:val="none"/>
        </w:rPr>
      </w:pPr>
      <w:r>
        <w:rPr>
          <w:color w:val="auto"/>
          <w:szCs w:val="21"/>
          <w:highlight w:val="none"/>
        </w:rPr>
        <w:t>本次评标采用</w:t>
      </w:r>
      <w:r>
        <w:rPr>
          <w:rFonts w:hint="eastAsia"/>
          <w:color w:val="auto"/>
          <w:highlight w:val="none"/>
        </w:rPr>
        <w:t>合理低价</w:t>
      </w:r>
      <w:r>
        <w:rPr>
          <w:color w:val="auto"/>
          <w:highlight w:val="none"/>
        </w:rPr>
        <w:t>法。</w:t>
      </w:r>
      <w:r>
        <w:rPr>
          <w:rFonts w:hint="eastAsia"/>
          <w:color w:val="auto"/>
          <w:highlight w:val="none"/>
        </w:rPr>
        <w:t>交易系统</w:t>
      </w:r>
      <w:r>
        <w:rPr>
          <w:color w:val="auto"/>
          <w:highlight w:val="none"/>
        </w:rPr>
        <w:t>对</w:t>
      </w:r>
      <w:r>
        <w:rPr>
          <w:rFonts w:hint="eastAsia"/>
          <w:color w:val="auto"/>
          <w:highlight w:val="none"/>
        </w:rPr>
        <w:t>通过初步评审的投标人，按照明确的计算公式计算评标基准价、投标人评标价的偏差率，确定最终投标报价得分，与信用得分相加后形成综合得分，评标委员会对交易系统评审结果进行复核，由高到低顺序推荐中标候选人</w:t>
      </w:r>
      <w:r>
        <w:rPr>
          <w:color w:val="auto"/>
          <w:szCs w:val="21"/>
          <w:highlight w:val="none"/>
        </w:rPr>
        <w:t>。</w:t>
      </w:r>
    </w:p>
    <w:p w14:paraId="110431E7">
      <w:pPr>
        <w:pStyle w:val="3"/>
        <w:snapToGrid w:val="0"/>
        <w:spacing w:before="0" w:after="0" w:line="400" w:lineRule="exact"/>
        <w:rPr>
          <w:rFonts w:ascii="Times New Roman" w:hAnsi="Times New Roman" w:eastAsia="黑体"/>
          <w:b w:val="0"/>
          <w:bCs w:val="0"/>
          <w:color w:val="auto"/>
          <w:sz w:val="30"/>
          <w:highlight w:val="none"/>
        </w:rPr>
      </w:pPr>
      <w:bookmarkStart w:id="318" w:name="_Toc211498641"/>
      <w:r>
        <w:rPr>
          <w:rFonts w:ascii="Times New Roman" w:hAnsi="Times New Roman" w:eastAsia="黑体"/>
          <w:b w:val="0"/>
          <w:bCs w:val="0"/>
          <w:color w:val="auto"/>
          <w:sz w:val="30"/>
          <w:highlight w:val="none"/>
        </w:rPr>
        <w:t>1.评审标准</w:t>
      </w:r>
      <w:bookmarkEnd w:id="318"/>
    </w:p>
    <w:p w14:paraId="5B0CA2FB">
      <w:pPr>
        <w:snapToGrid w:val="0"/>
        <w:spacing w:line="400" w:lineRule="exact"/>
        <w:ind w:firstLine="420" w:firstLineChars="200"/>
        <w:rPr>
          <w:color w:val="auto"/>
          <w:highlight w:val="none"/>
        </w:rPr>
      </w:pPr>
      <w:r>
        <w:rPr>
          <w:rFonts w:hint="eastAsia"/>
          <w:color w:val="auto"/>
          <w:highlight w:val="none"/>
        </w:rPr>
        <w:t>1</w:t>
      </w:r>
      <w:r>
        <w:rPr>
          <w:color w:val="auto"/>
          <w:highlight w:val="none"/>
        </w:rPr>
        <w:t>.1 形式评审标准：见评标办法前附表。</w:t>
      </w:r>
    </w:p>
    <w:p w14:paraId="3DDB3A56">
      <w:pPr>
        <w:snapToGrid w:val="0"/>
        <w:spacing w:line="400" w:lineRule="exact"/>
        <w:ind w:firstLine="420" w:firstLineChars="200"/>
        <w:rPr>
          <w:color w:val="auto"/>
          <w:highlight w:val="none"/>
        </w:rPr>
      </w:pPr>
      <w:r>
        <w:rPr>
          <w:color w:val="auto"/>
          <w:highlight w:val="none"/>
        </w:rPr>
        <w:t>1.2 资格评审标准：见评标办法前附表</w:t>
      </w:r>
    </w:p>
    <w:p w14:paraId="40B2DA26">
      <w:pPr>
        <w:snapToGrid w:val="0"/>
        <w:spacing w:line="400" w:lineRule="exact"/>
        <w:ind w:firstLine="840" w:firstLineChars="400"/>
        <w:rPr>
          <w:color w:val="auto"/>
          <w:highlight w:val="none"/>
        </w:rPr>
      </w:pPr>
      <w:r>
        <w:rPr>
          <w:color w:val="auto"/>
          <w:highlight w:val="none"/>
        </w:rPr>
        <w:t>已进行资格预审的，见本招标项目资格预审文件第三章“资格审查办法”详细审查标准</w:t>
      </w:r>
    </w:p>
    <w:p w14:paraId="74BEA67C">
      <w:pPr>
        <w:snapToGrid w:val="0"/>
        <w:spacing w:line="400" w:lineRule="exact"/>
        <w:ind w:firstLine="420" w:firstLineChars="200"/>
        <w:rPr>
          <w:color w:val="auto"/>
          <w:highlight w:val="none"/>
        </w:rPr>
      </w:pPr>
      <w:r>
        <w:rPr>
          <w:color w:val="auto"/>
          <w:highlight w:val="none"/>
        </w:rPr>
        <w:t>1.3 响应性评审标准：见评标办法前附表。</w:t>
      </w:r>
    </w:p>
    <w:p w14:paraId="6FB1CE5F">
      <w:pPr>
        <w:snapToGrid w:val="0"/>
        <w:spacing w:line="400" w:lineRule="exact"/>
        <w:ind w:firstLine="420" w:firstLineChars="200"/>
        <w:rPr>
          <w:color w:val="auto"/>
          <w:highlight w:val="none"/>
        </w:rPr>
      </w:pPr>
      <w:r>
        <w:rPr>
          <w:rFonts w:hint="eastAsia"/>
          <w:color w:val="auto"/>
          <w:highlight w:val="none"/>
        </w:rPr>
        <w:t>1.4 权值构成：</w:t>
      </w:r>
      <w:r>
        <w:rPr>
          <w:color w:val="auto"/>
          <w:highlight w:val="none"/>
        </w:rPr>
        <w:t>见评标办法前附表。</w:t>
      </w:r>
    </w:p>
    <w:p w14:paraId="2DFAD93F">
      <w:pPr>
        <w:snapToGrid w:val="0"/>
        <w:spacing w:line="400" w:lineRule="exact"/>
        <w:ind w:firstLine="420" w:firstLineChars="200"/>
        <w:rPr>
          <w:color w:val="auto"/>
          <w:szCs w:val="21"/>
          <w:highlight w:val="none"/>
        </w:rPr>
      </w:pPr>
      <w:r>
        <w:rPr>
          <w:rFonts w:hint="eastAsia"/>
          <w:color w:val="auto"/>
          <w:szCs w:val="21"/>
          <w:highlight w:val="none"/>
        </w:rPr>
        <w:t>1.5</w:t>
      </w:r>
      <w:r>
        <w:rPr>
          <w:color w:val="auto"/>
          <w:szCs w:val="21"/>
          <w:highlight w:val="none"/>
        </w:rPr>
        <w:t>信用评</w:t>
      </w:r>
      <w:r>
        <w:rPr>
          <w:rFonts w:hint="eastAsia"/>
          <w:color w:val="auto"/>
          <w:szCs w:val="21"/>
          <w:highlight w:val="none"/>
        </w:rPr>
        <w:t>审评审标准</w:t>
      </w:r>
      <w:r>
        <w:rPr>
          <w:color w:val="auto"/>
          <w:szCs w:val="21"/>
          <w:highlight w:val="none"/>
        </w:rPr>
        <w:t>：见评标办法前附表</w:t>
      </w:r>
      <w:r>
        <w:rPr>
          <w:rFonts w:hint="eastAsia"/>
          <w:color w:val="auto"/>
          <w:szCs w:val="21"/>
          <w:highlight w:val="none"/>
          <w:lang w:eastAsia="zh-CN"/>
        </w:rPr>
        <w:t>。</w:t>
      </w:r>
    </w:p>
    <w:p w14:paraId="368F7C72">
      <w:pPr>
        <w:snapToGrid w:val="0"/>
        <w:spacing w:line="400" w:lineRule="exact"/>
        <w:ind w:firstLine="420" w:firstLineChars="200"/>
        <w:rPr>
          <w:color w:val="auto"/>
          <w:szCs w:val="21"/>
          <w:highlight w:val="none"/>
        </w:rPr>
      </w:pPr>
      <w:r>
        <w:rPr>
          <w:rFonts w:hint="eastAsia"/>
          <w:color w:val="auto"/>
          <w:szCs w:val="21"/>
          <w:highlight w:val="none"/>
        </w:rPr>
        <w:t>1.6</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4F13B880">
      <w:pPr>
        <w:pStyle w:val="3"/>
        <w:snapToGrid w:val="0"/>
        <w:spacing w:before="0" w:after="0" w:line="400" w:lineRule="exact"/>
        <w:rPr>
          <w:rFonts w:ascii="Times New Roman" w:hAnsi="Times New Roman" w:eastAsia="黑体"/>
          <w:b w:val="0"/>
          <w:bCs w:val="0"/>
          <w:color w:val="auto"/>
          <w:sz w:val="30"/>
          <w:highlight w:val="none"/>
        </w:rPr>
      </w:pPr>
      <w:bookmarkStart w:id="319" w:name="_Toc211498642"/>
      <w:r>
        <w:rPr>
          <w:rFonts w:hint="eastAsia" w:ascii="Times New Roman" w:hAnsi="Times New Roman" w:eastAsia="黑体"/>
          <w:b w:val="0"/>
          <w:bCs w:val="0"/>
          <w:color w:val="auto"/>
          <w:sz w:val="30"/>
          <w:highlight w:val="none"/>
        </w:rPr>
        <w:t>2.评审程序</w:t>
      </w:r>
      <w:bookmarkEnd w:id="319"/>
    </w:p>
    <w:p w14:paraId="3E6167AA">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2.1形式、资格、响应性评审；</w:t>
      </w:r>
    </w:p>
    <w:p w14:paraId="71F86EC6">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2.2 信用</w:t>
      </w:r>
      <w:r>
        <w:rPr>
          <w:color w:val="auto"/>
          <w:kern w:val="0"/>
          <w:szCs w:val="32"/>
          <w:highlight w:val="none"/>
        </w:rPr>
        <w:t>评审</w:t>
      </w:r>
      <w:r>
        <w:rPr>
          <w:rFonts w:hint="eastAsia"/>
          <w:color w:val="auto"/>
          <w:kern w:val="0"/>
          <w:szCs w:val="32"/>
          <w:highlight w:val="none"/>
        </w:rPr>
        <w:t>；</w:t>
      </w:r>
    </w:p>
    <w:p w14:paraId="5C27066F">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2.3 评标委员会复核；</w:t>
      </w:r>
    </w:p>
    <w:p w14:paraId="674CC172">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2.4 评标委员会邀请招标人、招标代理机构进行复核，并提出复核意见，评标委员会对复核意见进行讨论，并记录</w:t>
      </w:r>
      <w:r>
        <w:rPr>
          <w:rFonts w:hint="eastAsia"/>
          <w:color w:val="auto"/>
          <w:szCs w:val="21"/>
          <w:highlight w:val="none"/>
        </w:rPr>
        <w:t>采纳和不采纳情况及不采纳理由</w:t>
      </w:r>
      <w:r>
        <w:rPr>
          <w:rFonts w:hint="eastAsia"/>
          <w:color w:val="auto"/>
          <w:kern w:val="0"/>
          <w:szCs w:val="32"/>
          <w:highlight w:val="none"/>
        </w:rPr>
        <w:t>；</w:t>
      </w:r>
    </w:p>
    <w:p w14:paraId="6CE37D35">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2.5. 报价评审；</w:t>
      </w:r>
    </w:p>
    <w:p w14:paraId="79983C41">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 xml:space="preserve">2.6 </w:t>
      </w:r>
      <w:r>
        <w:rPr>
          <w:color w:val="auto"/>
          <w:kern w:val="0"/>
          <w:szCs w:val="32"/>
          <w:highlight w:val="none"/>
        </w:rPr>
        <w:t>汇总评分结果</w:t>
      </w:r>
      <w:r>
        <w:rPr>
          <w:rFonts w:hint="eastAsia"/>
          <w:color w:val="auto"/>
          <w:kern w:val="0"/>
          <w:szCs w:val="32"/>
          <w:highlight w:val="none"/>
        </w:rPr>
        <w:t>；</w:t>
      </w:r>
    </w:p>
    <w:p w14:paraId="76343E73">
      <w:pPr>
        <w:spacing w:line="360" w:lineRule="auto"/>
        <w:ind w:firstLine="420" w:firstLineChars="200"/>
        <w:rPr>
          <w:color w:val="auto"/>
          <w:kern w:val="0"/>
          <w:szCs w:val="32"/>
          <w:highlight w:val="none"/>
        </w:rPr>
      </w:pPr>
      <w:r>
        <w:rPr>
          <w:rFonts w:hint="eastAsia"/>
          <w:color w:val="auto"/>
          <w:highlight w:val="none"/>
        </w:rPr>
        <w:t xml:space="preserve">2.7 </w:t>
      </w:r>
      <w:r>
        <w:rPr>
          <w:color w:val="auto"/>
          <w:highlight w:val="none"/>
        </w:rPr>
        <w:t>提交评标报告。</w:t>
      </w:r>
    </w:p>
    <w:p w14:paraId="5759DF6F">
      <w:pPr>
        <w:pStyle w:val="3"/>
        <w:snapToGrid w:val="0"/>
        <w:spacing w:before="0" w:after="0" w:line="400" w:lineRule="exact"/>
        <w:rPr>
          <w:rFonts w:ascii="Times New Roman" w:hAnsi="Times New Roman" w:eastAsia="黑体"/>
          <w:b w:val="0"/>
          <w:bCs w:val="0"/>
          <w:color w:val="auto"/>
          <w:sz w:val="30"/>
          <w:highlight w:val="none"/>
        </w:rPr>
      </w:pPr>
      <w:bookmarkStart w:id="320" w:name="_Toc211498643"/>
      <w:r>
        <w:rPr>
          <w:rFonts w:hint="eastAsia" w:ascii="Times New Roman" w:hAnsi="Times New Roman" w:eastAsia="黑体"/>
          <w:b w:val="0"/>
          <w:bCs w:val="0"/>
          <w:color w:val="auto"/>
          <w:sz w:val="30"/>
          <w:highlight w:val="none"/>
        </w:rPr>
        <w:t>3.形式、资格、响应性评审</w:t>
      </w:r>
      <w:bookmarkEnd w:id="320"/>
    </w:p>
    <w:p w14:paraId="7B8F0B95">
      <w:pPr>
        <w:spacing w:line="360" w:lineRule="auto"/>
        <w:ind w:firstLine="420" w:firstLineChars="200"/>
        <w:rPr>
          <w:color w:val="auto"/>
          <w:highlight w:val="none"/>
        </w:rPr>
      </w:pPr>
      <w:r>
        <w:rPr>
          <w:rFonts w:hint="eastAsia"/>
          <w:color w:val="auto"/>
          <w:highlight w:val="none"/>
        </w:rPr>
        <w:t>交易系统</w:t>
      </w:r>
      <w:r>
        <w:rPr>
          <w:color w:val="auto"/>
          <w:highlight w:val="none"/>
        </w:rPr>
        <w:t>依据评标办法的规定对投标文件进行评审。有一项不符合评审标准的，应当予以否决。</w:t>
      </w:r>
    </w:p>
    <w:p w14:paraId="759E3A24">
      <w:pPr>
        <w:pStyle w:val="162"/>
        <w:rPr>
          <w:color w:val="auto"/>
          <w:highlight w:val="none"/>
        </w:rPr>
      </w:pPr>
      <w:bookmarkStart w:id="321" w:name="_Toc193802700"/>
      <w:bookmarkStart w:id="322" w:name="_Toc211498644"/>
      <w:r>
        <w:rPr>
          <w:rFonts w:hint="eastAsia"/>
          <w:color w:val="auto"/>
          <w:highlight w:val="none"/>
        </w:rPr>
        <w:t>3</w:t>
      </w:r>
      <w:r>
        <w:rPr>
          <w:color w:val="auto"/>
          <w:highlight w:val="none"/>
        </w:rPr>
        <w:t>.1 形式评审</w:t>
      </w:r>
      <w:bookmarkEnd w:id="321"/>
      <w:bookmarkEnd w:id="322"/>
    </w:p>
    <w:p w14:paraId="20CD2D79">
      <w:pPr>
        <w:spacing w:line="360" w:lineRule="auto"/>
        <w:ind w:firstLine="420" w:firstLineChars="200"/>
        <w:rPr>
          <w:color w:val="auto"/>
          <w:highlight w:val="none"/>
        </w:rPr>
      </w:pPr>
      <w:r>
        <w:rPr>
          <w:rFonts w:hint="eastAsia"/>
          <w:color w:val="auto"/>
          <w:highlight w:val="none"/>
        </w:rPr>
        <w:t>交易系统</w:t>
      </w:r>
      <w:r>
        <w:rPr>
          <w:color w:val="auto"/>
          <w:highlight w:val="none"/>
        </w:rPr>
        <w:t>根据评标办法前附表中规定的评审因素和评审标准，对投标人的投标文件进行形式评审。</w:t>
      </w:r>
    </w:p>
    <w:p w14:paraId="2BD13044">
      <w:pPr>
        <w:pStyle w:val="162"/>
        <w:rPr>
          <w:color w:val="auto"/>
          <w:szCs w:val="21"/>
          <w:highlight w:val="none"/>
        </w:rPr>
      </w:pPr>
      <w:bookmarkStart w:id="323" w:name="_Toc193802701"/>
      <w:bookmarkStart w:id="324" w:name="_Toc211498645"/>
      <w:r>
        <w:rPr>
          <w:rFonts w:hint="eastAsia"/>
          <w:color w:val="auto"/>
          <w:szCs w:val="21"/>
          <w:highlight w:val="none"/>
        </w:rPr>
        <w:t>3</w:t>
      </w:r>
      <w:r>
        <w:rPr>
          <w:color w:val="auto"/>
          <w:szCs w:val="21"/>
          <w:highlight w:val="none"/>
        </w:rPr>
        <w:t>.2 资格评审</w:t>
      </w:r>
      <w:bookmarkEnd w:id="323"/>
      <w:bookmarkEnd w:id="324"/>
    </w:p>
    <w:p w14:paraId="0CFB7462">
      <w:pPr>
        <w:spacing w:line="360" w:lineRule="auto"/>
        <w:ind w:firstLine="420" w:firstLineChars="200"/>
        <w:rPr>
          <w:color w:val="auto"/>
          <w:highlight w:val="none"/>
        </w:rPr>
      </w:pPr>
      <w:r>
        <w:rPr>
          <w:rFonts w:hint="eastAsia"/>
          <w:color w:val="auto"/>
          <w:highlight w:val="none"/>
        </w:rPr>
        <w:t>3</w:t>
      </w:r>
      <w:r>
        <w:rPr>
          <w:color w:val="auto"/>
          <w:highlight w:val="none"/>
        </w:rPr>
        <w:t>.2.1未进行资格预审的，由</w:t>
      </w:r>
      <w:r>
        <w:rPr>
          <w:rFonts w:hint="eastAsia"/>
          <w:color w:val="auto"/>
          <w:highlight w:val="none"/>
        </w:rPr>
        <w:t>交易系统</w:t>
      </w:r>
      <w:r>
        <w:rPr>
          <w:color w:val="auto"/>
          <w:highlight w:val="none"/>
        </w:rPr>
        <w:t>根据评标办法前附表规定的评审因素和评审标准，对投标人的投标文件进行资格评审。</w:t>
      </w:r>
    </w:p>
    <w:p w14:paraId="430C5845">
      <w:pPr>
        <w:spacing w:line="360" w:lineRule="auto"/>
        <w:ind w:firstLine="420" w:firstLineChars="200"/>
        <w:rPr>
          <w:color w:val="auto"/>
          <w:highlight w:val="none"/>
        </w:rPr>
      </w:pPr>
      <w:r>
        <w:rPr>
          <w:rFonts w:hint="eastAsia"/>
          <w:color w:val="auto"/>
          <w:highlight w:val="none"/>
        </w:rPr>
        <w:t>3</w:t>
      </w:r>
      <w:r>
        <w:rPr>
          <w:color w:val="auto"/>
          <w:highlight w:val="none"/>
        </w:rPr>
        <w:t>.2.1已进行资格预审的，</w:t>
      </w:r>
      <w:r>
        <w:rPr>
          <w:rFonts w:hint="eastAsia"/>
          <w:color w:val="auto"/>
          <w:highlight w:val="none"/>
        </w:rPr>
        <w:t>交易系统</w:t>
      </w:r>
      <w:r>
        <w:rPr>
          <w:color w:val="auto"/>
          <w:highlight w:val="none"/>
        </w:rPr>
        <w:t>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w:t>
      </w:r>
      <w:r>
        <w:rPr>
          <w:rFonts w:hint="eastAsia"/>
          <w:color w:val="auto"/>
          <w:highlight w:val="none"/>
        </w:rPr>
        <w:t>交易系统</w:t>
      </w:r>
      <w:r>
        <w:rPr>
          <w:color w:val="auto"/>
          <w:highlight w:val="none"/>
        </w:rPr>
        <w:t>依据资格预审文件规定的标准和方法，对照投标人资格预审申请文件中的资料以及开标前更新的资料，对其更新的资料进行评审，其变化后的资格条件不得低于原有资格条件要求。</w:t>
      </w:r>
    </w:p>
    <w:p w14:paraId="2CF31C6E">
      <w:pPr>
        <w:pStyle w:val="162"/>
        <w:rPr>
          <w:color w:val="auto"/>
          <w:szCs w:val="21"/>
          <w:highlight w:val="none"/>
        </w:rPr>
      </w:pPr>
      <w:bookmarkStart w:id="325" w:name="_Toc211498646"/>
      <w:bookmarkStart w:id="326" w:name="_Toc193802702"/>
      <w:r>
        <w:rPr>
          <w:rFonts w:hint="eastAsia"/>
          <w:color w:val="auto"/>
          <w:szCs w:val="21"/>
          <w:highlight w:val="none"/>
        </w:rPr>
        <w:t>3.3 响应性评审</w:t>
      </w:r>
      <w:bookmarkEnd w:id="325"/>
      <w:bookmarkEnd w:id="326"/>
    </w:p>
    <w:p w14:paraId="50878E6D">
      <w:pPr>
        <w:spacing w:line="360" w:lineRule="auto"/>
        <w:ind w:firstLine="420" w:firstLineChars="200"/>
        <w:rPr>
          <w:color w:val="auto"/>
          <w:highlight w:val="none"/>
        </w:rPr>
      </w:pPr>
      <w:r>
        <w:rPr>
          <w:rFonts w:hint="eastAsia"/>
          <w:color w:val="auto"/>
          <w:highlight w:val="none"/>
        </w:rPr>
        <w:t>3</w:t>
      </w:r>
      <w:r>
        <w:rPr>
          <w:color w:val="auto"/>
          <w:highlight w:val="none"/>
        </w:rPr>
        <w:t xml:space="preserve">.3.1 </w:t>
      </w:r>
      <w:r>
        <w:rPr>
          <w:rFonts w:hint="eastAsia"/>
          <w:color w:val="auto"/>
          <w:highlight w:val="none"/>
        </w:rPr>
        <w:t>交易系统</w:t>
      </w:r>
      <w:r>
        <w:rPr>
          <w:color w:val="auto"/>
          <w:highlight w:val="none"/>
        </w:rPr>
        <w:t>根据评标办法前附表中规定的评审因素和评审标准，对投标人的投标文件进行响应性评审。</w:t>
      </w:r>
    </w:p>
    <w:p w14:paraId="1D8468B0">
      <w:pPr>
        <w:spacing w:line="360" w:lineRule="auto"/>
        <w:ind w:firstLine="420" w:firstLineChars="200"/>
        <w:rPr>
          <w:color w:val="auto"/>
          <w:highlight w:val="none"/>
        </w:rPr>
      </w:pPr>
      <w:r>
        <w:rPr>
          <w:rFonts w:hint="eastAsia"/>
          <w:color w:val="auto"/>
          <w:highlight w:val="none"/>
        </w:rPr>
        <w:t>3</w:t>
      </w:r>
      <w:r>
        <w:rPr>
          <w:color w:val="auto"/>
          <w:highlight w:val="none"/>
        </w:rPr>
        <w:t>.3.2 招标文件设定了最高投标限价的，投标人投标价格不得超出（不含等于）“投标人须知”前附表载明的最高投标限价。</w:t>
      </w:r>
    </w:p>
    <w:p w14:paraId="705BE8E9">
      <w:pPr>
        <w:pStyle w:val="162"/>
        <w:rPr>
          <w:color w:val="auto"/>
          <w:szCs w:val="21"/>
          <w:highlight w:val="none"/>
        </w:rPr>
      </w:pPr>
      <w:bookmarkStart w:id="327" w:name="_Toc211498647"/>
      <w:bookmarkStart w:id="328" w:name="_Toc193802704"/>
      <w:r>
        <w:rPr>
          <w:rFonts w:hint="eastAsia"/>
          <w:color w:val="auto"/>
          <w:szCs w:val="21"/>
          <w:highlight w:val="none"/>
        </w:rPr>
        <w:t>3.4  算术错误修正（适用于招标人自主确定清单计量计价的项目）</w:t>
      </w:r>
      <w:bookmarkEnd w:id="327"/>
    </w:p>
    <w:p w14:paraId="7BD083F9">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交易系统检查投标人投标报价是否有算术错误，算术性错误分析和修正按以下原则进行，修正的价格经投标人通过电子交易平台确认后具有约束力。投标人不接受修正价格的，应当否决其投标。</w:t>
      </w:r>
    </w:p>
    <w:p w14:paraId="245984BE">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5CE78D5E">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4FC9D06A">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1CD58627">
      <w:pPr>
        <w:pStyle w:val="162"/>
        <w:rPr>
          <w:color w:val="auto"/>
          <w:szCs w:val="21"/>
          <w:highlight w:val="none"/>
        </w:rPr>
      </w:pPr>
      <w:bookmarkStart w:id="329" w:name="_Toc211498648"/>
      <w:r>
        <w:rPr>
          <w:rFonts w:hint="eastAsia"/>
          <w:color w:val="auto"/>
          <w:szCs w:val="21"/>
          <w:highlight w:val="none"/>
        </w:rPr>
        <w:t>3.4  算术误差修正，细微偏差、报价合理性、报价完整性(漏报或未报)分析（适用于采用“24清单标准”的项目）</w:t>
      </w:r>
      <w:bookmarkEnd w:id="329"/>
    </w:p>
    <w:p w14:paraId="24A3C4F2">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交易系统检查投标人投标报价是否有算术误差、细微偏差、报价合理性、报价完整性(漏报或未报)问题，并按第二章投标人须知前附表第10.18.5款“规定”由招标人委托评标委员会启动投标报价澄清或说明。</w:t>
      </w:r>
    </w:p>
    <w:p w14:paraId="37A7DD00">
      <w:pPr>
        <w:spacing w:line="360" w:lineRule="auto"/>
        <w:ind w:firstLine="420" w:firstLineChars="200"/>
        <w:rPr>
          <w:color w:val="auto"/>
          <w:highlight w:val="none"/>
        </w:rPr>
      </w:pPr>
      <w:r>
        <w:rPr>
          <w:rFonts w:hint="eastAsia"/>
          <w:color w:val="auto"/>
          <w:szCs w:val="21"/>
          <w:highlight w:val="none"/>
        </w:rPr>
        <w:t>按第二章投标人须知前附表第10.18.5款“规定”中第2小点对投标人的投标文件存在算术误差及细微偏差进行修正的，修正报价汇总后的总价应与投标总价扉页内填报的投标总价一致，修正的价格经投标人通过电子交易平台确认后具有约束力。投标人不接受修正价格的，应当否决其投标。投标人对修正结果有不同意见或未通过电子交易平台进行确认的，评标委员会应重新复核修正结果，再次按上述程序分别进行确认、复核。</w:t>
      </w:r>
    </w:p>
    <w:p w14:paraId="36C91151">
      <w:pPr>
        <w:pStyle w:val="162"/>
        <w:rPr>
          <w:color w:val="auto"/>
          <w:szCs w:val="21"/>
          <w:highlight w:val="none"/>
        </w:rPr>
      </w:pPr>
      <w:bookmarkStart w:id="330" w:name="_Toc211498649"/>
      <w:r>
        <w:rPr>
          <w:rFonts w:hint="eastAsia"/>
          <w:color w:val="auto"/>
          <w:szCs w:val="21"/>
          <w:highlight w:val="none"/>
        </w:rPr>
        <w:t>3.5是否予以否决投标</w:t>
      </w:r>
      <w:bookmarkEnd w:id="328"/>
      <w:bookmarkEnd w:id="330"/>
    </w:p>
    <w:p w14:paraId="4F41F12B">
      <w:pPr>
        <w:spacing w:line="360" w:lineRule="auto"/>
        <w:ind w:firstLine="420" w:firstLineChars="200"/>
        <w:rPr>
          <w:color w:val="auto"/>
          <w:highlight w:val="none"/>
        </w:rPr>
      </w:pPr>
      <w:r>
        <w:rPr>
          <w:rFonts w:hint="eastAsia"/>
          <w:color w:val="auto"/>
          <w:highlight w:val="none"/>
        </w:rPr>
        <w:t>交易系统</w:t>
      </w:r>
      <w:r>
        <w:rPr>
          <w:color w:val="auto"/>
          <w:highlight w:val="none"/>
        </w:rPr>
        <w:t>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14:paraId="625F8D8F">
      <w:pPr>
        <w:pStyle w:val="3"/>
        <w:snapToGrid w:val="0"/>
        <w:spacing w:before="0" w:after="0" w:line="400" w:lineRule="exact"/>
        <w:rPr>
          <w:rFonts w:ascii="Times New Roman" w:hAnsi="Times New Roman" w:eastAsia="黑体"/>
          <w:b w:val="0"/>
          <w:bCs w:val="0"/>
          <w:color w:val="auto"/>
          <w:sz w:val="30"/>
          <w:highlight w:val="none"/>
        </w:rPr>
      </w:pPr>
      <w:bookmarkStart w:id="331" w:name="_Toc211498650"/>
      <w:r>
        <w:rPr>
          <w:rFonts w:hint="eastAsia" w:ascii="Times New Roman" w:hAnsi="Times New Roman" w:eastAsia="黑体"/>
          <w:b w:val="0"/>
          <w:bCs w:val="0"/>
          <w:color w:val="auto"/>
          <w:sz w:val="30"/>
          <w:highlight w:val="none"/>
        </w:rPr>
        <w:t>4信用评审评审</w:t>
      </w:r>
      <w:bookmarkEnd w:id="331"/>
    </w:p>
    <w:p w14:paraId="09D5E0D9">
      <w:pPr>
        <w:spacing w:line="360" w:lineRule="auto"/>
        <w:ind w:firstLine="420" w:firstLineChars="200"/>
        <w:rPr>
          <w:color w:val="auto"/>
          <w:highlight w:val="none"/>
        </w:rPr>
      </w:pPr>
      <w:r>
        <w:rPr>
          <w:rFonts w:hint="eastAsia"/>
          <w:color w:val="auto"/>
          <w:highlight w:val="none"/>
        </w:rPr>
        <w:t>交易系统</w:t>
      </w:r>
      <w:r>
        <w:rPr>
          <w:color w:val="auto"/>
          <w:szCs w:val="21"/>
          <w:highlight w:val="none"/>
        </w:rPr>
        <w:t>按照规定的评审因素和标准进行评审计分。</w:t>
      </w:r>
    </w:p>
    <w:p w14:paraId="26747427">
      <w:pPr>
        <w:pStyle w:val="3"/>
        <w:snapToGrid w:val="0"/>
        <w:spacing w:before="0" w:after="0" w:line="400" w:lineRule="exact"/>
        <w:rPr>
          <w:rFonts w:ascii="Times New Roman" w:hAnsi="Times New Roman" w:eastAsia="黑体"/>
          <w:b w:val="0"/>
          <w:bCs w:val="0"/>
          <w:color w:val="auto"/>
          <w:sz w:val="30"/>
          <w:highlight w:val="none"/>
        </w:rPr>
      </w:pPr>
      <w:bookmarkStart w:id="332" w:name="_Toc211498651"/>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 评标委员会复核</w:t>
      </w:r>
      <w:bookmarkEnd w:id="332"/>
    </w:p>
    <w:p w14:paraId="51661E66">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52AAD1C6">
      <w:pPr>
        <w:spacing w:line="360" w:lineRule="auto"/>
        <w:ind w:firstLine="420" w:firstLineChars="200"/>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2AF8FD75">
      <w:pPr>
        <w:pStyle w:val="3"/>
        <w:snapToGrid w:val="0"/>
        <w:spacing w:before="0" w:after="0" w:line="400" w:lineRule="exact"/>
        <w:rPr>
          <w:rFonts w:ascii="Times New Roman" w:hAnsi="Times New Roman" w:eastAsia="黑体"/>
          <w:b w:val="0"/>
          <w:bCs w:val="0"/>
          <w:color w:val="auto"/>
          <w:sz w:val="30"/>
          <w:highlight w:val="none"/>
        </w:rPr>
      </w:pPr>
      <w:bookmarkStart w:id="333" w:name="_Toc211498652"/>
      <w:r>
        <w:rPr>
          <w:rFonts w:hint="eastAsia" w:ascii="Times New Roman" w:hAnsi="Times New Roman" w:eastAsia="黑体"/>
          <w:b w:val="0"/>
          <w:bCs w:val="0"/>
          <w:color w:val="auto"/>
          <w:sz w:val="30"/>
          <w:highlight w:val="none"/>
        </w:rPr>
        <w:t>6.投标报价评审</w:t>
      </w:r>
      <w:bookmarkEnd w:id="333"/>
    </w:p>
    <w:p w14:paraId="28E7240E">
      <w:pPr>
        <w:spacing w:line="360" w:lineRule="auto"/>
        <w:ind w:firstLine="420" w:firstLineChars="200"/>
        <w:rPr>
          <w:color w:val="auto"/>
          <w:szCs w:val="21"/>
          <w:highlight w:val="none"/>
        </w:rPr>
      </w:pPr>
      <w:r>
        <w:rPr>
          <w:rFonts w:hint="eastAsia"/>
          <w:color w:val="auto"/>
          <w:highlight w:val="none"/>
        </w:rPr>
        <w:t>交易系统</w:t>
      </w:r>
      <w:r>
        <w:rPr>
          <w:color w:val="auto"/>
          <w:szCs w:val="21"/>
          <w:highlight w:val="none"/>
        </w:rPr>
        <w:t>按照规定的评审因素和标准进行评审计分。</w:t>
      </w:r>
      <w:r>
        <w:rPr>
          <w:rFonts w:hint="eastAsia" w:ascii="宋体" w:hAnsi="宋体" w:cs="宋体"/>
          <w:color w:val="auto"/>
          <w:szCs w:val="21"/>
          <w:highlight w:val="none"/>
        </w:rPr>
        <w:t>进入投标报价评审阶段投标人数量的确定方式：</w:t>
      </w:r>
      <w:r>
        <w:rPr>
          <w:rFonts w:hint="eastAsia"/>
          <w:color w:val="auto"/>
          <w:szCs w:val="21"/>
          <w:highlight w:val="none"/>
        </w:rPr>
        <w:t>见评标办法前附表。</w:t>
      </w:r>
    </w:p>
    <w:p w14:paraId="316CC09B">
      <w:pPr>
        <w:pStyle w:val="3"/>
        <w:snapToGrid w:val="0"/>
        <w:spacing w:before="0" w:after="0" w:line="400" w:lineRule="exact"/>
        <w:rPr>
          <w:rFonts w:ascii="Times New Roman" w:hAnsi="Times New Roman" w:eastAsia="黑体"/>
          <w:b w:val="0"/>
          <w:bCs w:val="0"/>
          <w:color w:val="auto"/>
          <w:sz w:val="30"/>
          <w:highlight w:val="none"/>
        </w:rPr>
      </w:pPr>
      <w:bookmarkStart w:id="334" w:name="_Toc211498653"/>
      <w:r>
        <w:rPr>
          <w:rFonts w:hint="eastAsia" w:ascii="Times New Roman" w:hAnsi="Times New Roman" w:eastAsia="黑体"/>
          <w:b w:val="0"/>
          <w:bCs w:val="0"/>
          <w:color w:val="auto"/>
          <w:sz w:val="30"/>
          <w:highlight w:val="none"/>
        </w:rPr>
        <w:t>7</w:t>
      </w:r>
      <w:r>
        <w:rPr>
          <w:rFonts w:ascii="Times New Roman" w:hAnsi="Times New Roman" w:eastAsia="黑体"/>
          <w:b w:val="0"/>
          <w:bCs w:val="0"/>
          <w:color w:val="auto"/>
          <w:sz w:val="30"/>
          <w:highlight w:val="none"/>
        </w:rPr>
        <w:t>.澄清、说明或补正</w:t>
      </w:r>
      <w:bookmarkEnd w:id="334"/>
    </w:p>
    <w:p w14:paraId="3150CB01">
      <w:pPr>
        <w:snapToGrid w:val="0"/>
        <w:spacing w:line="400" w:lineRule="exact"/>
        <w:ind w:firstLine="420" w:firstLineChars="200"/>
        <w:rPr>
          <w:color w:val="auto"/>
          <w:highlight w:val="none"/>
        </w:rPr>
      </w:pPr>
      <w:r>
        <w:rPr>
          <w:rFonts w:hint="eastAsia"/>
          <w:color w:val="auto"/>
          <w:highlight w:val="none"/>
        </w:rPr>
        <w:t>7</w:t>
      </w:r>
      <w:r>
        <w:rPr>
          <w:color w:val="auto"/>
          <w:highlight w:val="none"/>
        </w:rPr>
        <w:t xml:space="preserve">.1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68CD65D7">
      <w:pPr>
        <w:snapToGrid w:val="0"/>
        <w:spacing w:line="400" w:lineRule="exact"/>
        <w:ind w:firstLine="420" w:firstLineChars="200"/>
        <w:rPr>
          <w:color w:val="auto"/>
          <w:highlight w:val="none"/>
        </w:rPr>
      </w:pPr>
      <w:r>
        <w:rPr>
          <w:rFonts w:hint="eastAsia"/>
          <w:color w:val="auto"/>
          <w:highlight w:val="none"/>
        </w:rPr>
        <w:t>7</w:t>
      </w:r>
      <w:r>
        <w:rPr>
          <w:color w:val="auto"/>
          <w:highlight w:val="none"/>
        </w:rPr>
        <w:t xml:space="preserve">.2 </w:t>
      </w:r>
      <w:r>
        <w:rPr>
          <w:rFonts w:hint="eastAsia"/>
          <w:color w:val="auto"/>
          <w:highlight w:val="none"/>
        </w:rPr>
        <w:t>澄清、说明和补正不得改变投标文件的实质性内容。投标人的书面澄清、说明和补正属于投标文件的组成部分。</w:t>
      </w:r>
    </w:p>
    <w:p w14:paraId="14A4AB85">
      <w:pPr>
        <w:snapToGrid w:val="0"/>
        <w:spacing w:line="400" w:lineRule="exact"/>
        <w:ind w:firstLine="420" w:firstLineChars="200"/>
        <w:rPr>
          <w:color w:val="auto"/>
          <w:highlight w:val="none"/>
        </w:rPr>
      </w:pPr>
      <w:r>
        <w:rPr>
          <w:rFonts w:hint="eastAsia"/>
          <w:color w:val="auto"/>
          <w:highlight w:val="none"/>
        </w:rPr>
        <w:t>7</w:t>
      </w:r>
      <w:r>
        <w:rPr>
          <w:color w:val="auto"/>
          <w:highlight w:val="none"/>
        </w:rPr>
        <w:t xml:space="preserve">.3 </w:t>
      </w:r>
      <w:r>
        <w:rPr>
          <w:rFonts w:hint="eastAsia"/>
          <w:color w:val="auto"/>
          <w:highlight w:val="none"/>
        </w:rPr>
        <w:t>评标委员会对投标人提交的澄清、说明或补正有疑问的，可以要求投标人进一步澄清、说明或补正。</w:t>
      </w:r>
    </w:p>
    <w:p w14:paraId="56CB6209">
      <w:pPr>
        <w:snapToGrid w:val="0"/>
        <w:spacing w:after="0" w:line="400" w:lineRule="exact"/>
        <w:ind w:firstLine="420" w:firstLineChars="200"/>
        <w:rPr>
          <w:color w:val="auto"/>
          <w:szCs w:val="21"/>
          <w:highlight w:val="none"/>
        </w:rPr>
      </w:pPr>
      <w:r>
        <w:rPr>
          <w:rFonts w:hint="eastAsia"/>
          <w:bCs/>
          <w:color w:val="auto"/>
          <w:szCs w:val="21"/>
          <w:highlight w:val="none"/>
        </w:rPr>
        <w:t>7</w:t>
      </w:r>
      <w:r>
        <w:rPr>
          <w:bCs/>
          <w:color w:val="auto"/>
          <w:szCs w:val="21"/>
          <w:highlight w:val="none"/>
        </w:rPr>
        <w:t xml:space="preserve">.4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p w14:paraId="1BA76DEF">
      <w:pPr>
        <w:pStyle w:val="3"/>
        <w:snapToGrid w:val="0"/>
        <w:spacing w:before="0" w:after="0" w:line="400" w:lineRule="exact"/>
        <w:rPr>
          <w:rFonts w:ascii="Times New Roman" w:hAnsi="Times New Roman" w:eastAsia="黑体"/>
          <w:b w:val="0"/>
          <w:bCs w:val="0"/>
          <w:color w:val="auto"/>
          <w:sz w:val="30"/>
          <w:highlight w:val="none"/>
        </w:rPr>
      </w:pPr>
      <w:bookmarkStart w:id="335" w:name="_Toc211498654"/>
      <w:r>
        <w:rPr>
          <w:rFonts w:hint="eastAsia" w:ascii="Times New Roman" w:hAnsi="Times New Roman" w:eastAsia="黑体"/>
          <w:b w:val="0"/>
          <w:bCs w:val="0"/>
          <w:color w:val="auto"/>
          <w:sz w:val="30"/>
          <w:highlight w:val="none"/>
        </w:rPr>
        <w:t>8.汇总评分结果</w:t>
      </w:r>
      <w:bookmarkEnd w:id="335"/>
    </w:p>
    <w:p w14:paraId="0C229000">
      <w:pPr>
        <w:adjustRightInd w:val="0"/>
        <w:snapToGrid w:val="0"/>
        <w:spacing w:line="360" w:lineRule="auto"/>
        <w:ind w:firstLine="420" w:firstLineChars="200"/>
        <w:rPr>
          <w:color w:val="auto"/>
          <w:szCs w:val="21"/>
          <w:highlight w:val="none"/>
        </w:rPr>
      </w:pPr>
      <w:r>
        <w:rPr>
          <w:color w:val="auto"/>
          <w:szCs w:val="21"/>
          <w:highlight w:val="none"/>
        </w:rPr>
        <w:t>评审工作全部结束后，</w:t>
      </w:r>
      <w:r>
        <w:rPr>
          <w:bCs/>
          <w:color w:val="auto"/>
          <w:szCs w:val="21"/>
          <w:highlight w:val="none"/>
        </w:rPr>
        <w:t>汇总评审计分结果，</w:t>
      </w:r>
      <w:r>
        <w:rPr>
          <w:color w:val="auto"/>
          <w:szCs w:val="21"/>
          <w:highlight w:val="none"/>
        </w:rPr>
        <w:t>并按照</w:t>
      </w:r>
      <w:r>
        <w:rPr>
          <w:rFonts w:hint="eastAsia"/>
          <w:color w:val="auto"/>
          <w:szCs w:val="21"/>
          <w:highlight w:val="none"/>
        </w:rPr>
        <w:t>评标总得分</w:t>
      </w:r>
      <w:r>
        <w:rPr>
          <w:color w:val="auto"/>
          <w:szCs w:val="21"/>
          <w:highlight w:val="none"/>
        </w:rPr>
        <w:t>由高至低的次序对投标人进行排序。</w:t>
      </w:r>
    </w:p>
    <w:p w14:paraId="2996F87C">
      <w:pPr>
        <w:adjustRightInd w:val="0"/>
        <w:snapToGrid w:val="0"/>
        <w:spacing w:line="360" w:lineRule="auto"/>
        <w:ind w:firstLine="420" w:firstLineChars="200"/>
        <w:rPr>
          <w:color w:val="auto"/>
          <w:szCs w:val="21"/>
          <w:highlight w:val="none"/>
        </w:rPr>
      </w:pPr>
      <w:r>
        <w:rPr>
          <w:color w:val="auto"/>
          <w:szCs w:val="21"/>
          <w:highlight w:val="none"/>
        </w:rPr>
        <w:t>评分分值计算保留小数点后两位，小数点后第三位“四舍五入”。</w:t>
      </w:r>
    </w:p>
    <w:p w14:paraId="00C8482B">
      <w:pPr>
        <w:pStyle w:val="3"/>
        <w:snapToGrid w:val="0"/>
        <w:spacing w:before="0" w:after="0" w:line="400" w:lineRule="exact"/>
        <w:rPr>
          <w:rFonts w:ascii="Times New Roman" w:hAnsi="Times New Roman" w:eastAsia="黑体"/>
          <w:b w:val="0"/>
          <w:bCs w:val="0"/>
          <w:color w:val="auto"/>
          <w:sz w:val="30"/>
          <w:szCs w:val="21"/>
          <w:highlight w:val="none"/>
        </w:rPr>
      </w:pPr>
      <w:bookmarkStart w:id="336" w:name="_Toc211498655"/>
      <w:r>
        <w:rPr>
          <w:rFonts w:hint="eastAsia" w:ascii="Times New Roman" w:hAnsi="Times New Roman" w:eastAsia="黑体"/>
          <w:b w:val="0"/>
          <w:bCs w:val="0"/>
          <w:color w:val="auto"/>
          <w:sz w:val="30"/>
          <w:szCs w:val="21"/>
          <w:highlight w:val="none"/>
        </w:rPr>
        <w:t>9</w:t>
      </w:r>
      <w:r>
        <w:rPr>
          <w:rFonts w:ascii="Times New Roman" w:hAnsi="Times New Roman" w:eastAsia="黑体"/>
          <w:b w:val="0"/>
          <w:bCs w:val="0"/>
          <w:color w:val="auto"/>
          <w:sz w:val="30"/>
          <w:szCs w:val="21"/>
          <w:highlight w:val="none"/>
        </w:rPr>
        <w:t>.中标人</w:t>
      </w:r>
      <w:r>
        <w:rPr>
          <w:rFonts w:hint="eastAsia" w:ascii="Times New Roman" w:hAnsi="Times New Roman" w:eastAsia="黑体"/>
          <w:b w:val="0"/>
          <w:bCs w:val="0"/>
          <w:color w:val="auto"/>
          <w:sz w:val="30"/>
          <w:szCs w:val="21"/>
          <w:highlight w:val="none"/>
        </w:rPr>
        <w:t>的确定</w:t>
      </w:r>
      <w:bookmarkEnd w:id="336"/>
    </w:p>
    <w:p w14:paraId="26833789">
      <w:pPr>
        <w:pStyle w:val="162"/>
        <w:rPr>
          <w:color w:val="auto"/>
          <w:highlight w:val="none"/>
        </w:rPr>
      </w:pPr>
      <w:bookmarkStart w:id="337" w:name="_Toc211498656"/>
      <w:bookmarkStart w:id="338" w:name="_Toc193802710"/>
      <w:r>
        <w:rPr>
          <w:rFonts w:hint="eastAsia"/>
          <w:color w:val="auto"/>
          <w:highlight w:val="none"/>
        </w:rPr>
        <w:t>9</w:t>
      </w:r>
      <w:r>
        <w:rPr>
          <w:color w:val="auto"/>
          <w:highlight w:val="none"/>
        </w:rPr>
        <w:t>.1 推荐中标候选人</w:t>
      </w:r>
      <w:bookmarkEnd w:id="337"/>
      <w:bookmarkEnd w:id="338"/>
    </w:p>
    <w:p w14:paraId="7DEBED61">
      <w:pPr>
        <w:adjustRightInd w:val="0"/>
        <w:snapToGrid w:val="0"/>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.1.1推荐中标候选人时，应遵照以下原则:</w:t>
      </w:r>
    </w:p>
    <w:p w14:paraId="0BDF6DFF">
      <w:pPr>
        <w:adjustRightInd w:val="0"/>
        <w:snapToGrid w:val="0"/>
        <w:spacing w:line="360" w:lineRule="auto"/>
        <w:ind w:firstLine="420" w:firstLineChars="200"/>
        <w:rPr>
          <w:color w:val="auto"/>
          <w:szCs w:val="21"/>
          <w:highlight w:val="none"/>
        </w:rPr>
      </w:pPr>
      <w:r>
        <w:rPr>
          <w:color w:val="auto"/>
          <w:szCs w:val="21"/>
          <w:highlight w:val="none"/>
        </w:rPr>
        <w:t>（1）</w:t>
      </w:r>
      <w:r>
        <w:rPr>
          <w:rFonts w:hint="eastAsia"/>
          <w:color w:val="auto"/>
          <w:highlight w:val="none"/>
        </w:rPr>
        <w:t>交易系统</w:t>
      </w:r>
      <w:r>
        <w:rPr>
          <w:color w:val="auto"/>
          <w:szCs w:val="21"/>
          <w:highlight w:val="none"/>
        </w:rPr>
        <w:t>按照</w:t>
      </w:r>
      <w:r>
        <w:rPr>
          <w:rFonts w:hint="eastAsia"/>
          <w:color w:val="auto"/>
          <w:szCs w:val="21"/>
          <w:highlight w:val="none"/>
        </w:rPr>
        <w:t>评标总得分</w:t>
      </w:r>
      <w:r>
        <w:rPr>
          <w:color w:val="auto"/>
          <w:szCs w:val="21"/>
          <w:highlight w:val="none"/>
        </w:rPr>
        <w:t>由高至低的次序排列，并根据第二章“投标人须知”前</w:t>
      </w:r>
      <w:r>
        <w:rPr>
          <w:rFonts w:hint="eastAsia"/>
          <w:color w:val="auto"/>
          <w:szCs w:val="21"/>
          <w:highlight w:val="none"/>
        </w:rPr>
        <w:t>附表</w:t>
      </w:r>
      <w:r>
        <w:rPr>
          <w:color w:val="auto"/>
          <w:szCs w:val="21"/>
          <w:highlight w:val="none"/>
        </w:rPr>
        <w:t>规定的中标候选人数量，将排序在前的投标人推荐为中标候选人。</w:t>
      </w:r>
    </w:p>
    <w:p w14:paraId="7C58F6F3">
      <w:pPr>
        <w:numPr>
          <w:ilvl w:val="255"/>
          <w:numId w:val="0"/>
        </w:numPr>
        <w:adjustRightInd w:val="0"/>
        <w:snapToGrid w:val="0"/>
        <w:spacing w:line="360" w:lineRule="auto"/>
        <w:rPr>
          <w:color w:val="auto"/>
          <w:szCs w:val="21"/>
          <w:highlight w:val="none"/>
        </w:rPr>
      </w:pPr>
      <w:r>
        <w:rPr>
          <w:rFonts w:hint="eastAsia"/>
          <w:color w:val="auto"/>
          <w:szCs w:val="21"/>
          <w:highlight w:val="none"/>
        </w:rPr>
        <w:t xml:space="preserve">    （2）投标人评标总得分相同时，按照其信用评价得分由高至低排序；信用评价也相同不能确定中标候选人高低排序的，由交易系统随机确定不能高低排序的中标候选人。</w:t>
      </w:r>
    </w:p>
    <w:p w14:paraId="78478B6B">
      <w:pPr>
        <w:adjustRightInd w:val="0"/>
        <w:snapToGrid w:val="0"/>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 xml:space="preserve">） </w:t>
      </w:r>
      <w:r>
        <w:rPr>
          <w:rFonts w:hint="eastAsia"/>
          <w:color w:val="auto"/>
          <w:highlight w:val="none"/>
        </w:rPr>
        <w:t>评标委员会</w:t>
      </w:r>
      <w:r>
        <w:rPr>
          <w:color w:val="auto"/>
          <w:szCs w:val="21"/>
          <w:highlight w:val="none"/>
        </w:rPr>
        <w:t>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6CC32AB2">
      <w:pPr>
        <w:adjustRightInd w:val="0"/>
        <w:snapToGrid w:val="0"/>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.1.2 投标人数量少于</w:t>
      </w:r>
      <w:r>
        <w:rPr>
          <w:rFonts w:hint="eastAsia"/>
          <w:color w:val="auto"/>
          <w:szCs w:val="21"/>
          <w:highlight w:val="none"/>
        </w:rPr>
        <w:t>3</w:t>
      </w:r>
      <w:r>
        <w:rPr>
          <w:color w:val="auto"/>
          <w:szCs w:val="21"/>
          <w:highlight w:val="none"/>
        </w:rPr>
        <w:t>个或者所有投标被否决的，招标人应当依法重新招标。</w:t>
      </w:r>
    </w:p>
    <w:p w14:paraId="449C4DA2">
      <w:pPr>
        <w:spacing w:line="360" w:lineRule="auto"/>
        <w:ind w:firstLine="480" w:firstLineChars="200"/>
        <w:rPr>
          <w:rFonts w:eastAsia="黑体" w:cs="宋体"/>
          <w:color w:val="auto"/>
          <w:sz w:val="24"/>
          <w:szCs w:val="20"/>
          <w:highlight w:val="none"/>
        </w:rPr>
      </w:pPr>
      <w:r>
        <w:rPr>
          <w:rFonts w:hint="eastAsia" w:eastAsia="黑体" w:cs="宋体"/>
          <w:color w:val="auto"/>
          <w:sz w:val="24"/>
          <w:szCs w:val="20"/>
          <w:highlight w:val="none"/>
        </w:rPr>
        <w:t>9</w:t>
      </w:r>
      <w:r>
        <w:rPr>
          <w:rFonts w:eastAsia="黑体" w:cs="宋体"/>
          <w:color w:val="auto"/>
          <w:sz w:val="24"/>
          <w:szCs w:val="20"/>
          <w:highlight w:val="none"/>
        </w:rPr>
        <w:t>.2 确定中标人</w:t>
      </w:r>
    </w:p>
    <w:p w14:paraId="12D487C5">
      <w:pPr>
        <w:adjustRightInd w:val="0"/>
        <w:snapToGrid w:val="0"/>
        <w:spacing w:line="360" w:lineRule="auto"/>
        <w:ind w:firstLine="420" w:firstLineChars="200"/>
        <w:rPr>
          <w:color w:val="auto"/>
          <w:szCs w:val="21"/>
          <w:highlight w:val="none"/>
        </w:rPr>
      </w:pP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0540EA68">
      <w:pPr>
        <w:spacing w:line="360" w:lineRule="auto"/>
        <w:ind w:firstLine="480" w:firstLineChars="200"/>
        <w:rPr>
          <w:rFonts w:eastAsia="黑体" w:cs="宋体"/>
          <w:color w:val="auto"/>
          <w:sz w:val="24"/>
          <w:szCs w:val="20"/>
          <w:highlight w:val="none"/>
        </w:rPr>
      </w:pPr>
      <w:r>
        <w:rPr>
          <w:rFonts w:hint="eastAsia" w:eastAsia="黑体" w:cs="宋体"/>
          <w:color w:val="auto"/>
          <w:sz w:val="24"/>
          <w:szCs w:val="20"/>
          <w:highlight w:val="none"/>
        </w:rPr>
        <w:t>9</w:t>
      </w:r>
      <w:r>
        <w:rPr>
          <w:rFonts w:eastAsia="黑体" w:cs="宋体"/>
          <w:color w:val="auto"/>
          <w:sz w:val="24"/>
          <w:szCs w:val="20"/>
          <w:highlight w:val="none"/>
        </w:rPr>
        <w:t>.3 编制评标报告</w:t>
      </w:r>
    </w:p>
    <w:p w14:paraId="7C8C811F">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3DB26365">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78E704D8">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3D5B21F6">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5EED9622">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1357D809">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7E3E6B3C">
      <w:pPr>
        <w:adjustRightInd w:val="0"/>
        <w:snapToGrid w:val="0"/>
        <w:spacing w:before="94" w:beforeLines="30" w:line="520" w:lineRule="exact"/>
        <w:ind w:firstLine="420" w:firstLineChars="200"/>
        <w:rPr>
          <w:color w:val="auto"/>
          <w:szCs w:val="21"/>
          <w:highlight w:val="none"/>
        </w:rPr>
      </w:pPr>
      <w:r>
        <w:rPr>
          <w:color w:val="auto"/>
          <w:szCs w:val="21"/>
          <w:highlight w:val="none"/>
        </w:rPr>
        <w:t>（6）评标标准、评标方法或者评标因素一览表；</w:t>
      </w:r>
    </w:p>
    <w:p w14:paraId="0947558C">
      <w:pPr>
        <w:adjustRightInd w:val="0"/>
        <w:snapToGrid w:val="0"/>
        <w:spacing w:before="94" w:beforeLines="30" w:line="520" w:lineRule="exact"/>
        <w:ind w:firstLine="420" w:firstLineChars="200"/>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6E5867BA">
      <w:pPr>
        <w:adjustRightInd w:val="0"/>
        <w:snapToGrid w:val="0"/>
        <w:spacing w:before="94" w:beforeLines="30" w:line="520" w:lineRule="exact"/>
        <w:ind w:firstLine="420" w:firstLineChars="200"/>
        <w:rPr>
          <w:color w:val="auto"/>
          <w:szCs w:val="21"/>
          <w:highlight w:val="none"/>
        </w:rPr>
      </w:pPr>
      <w:r>
        <w:rPr>
          <w:color w:val="auto"/>
          <w:szCs w:val="21"/>
          <w:highlight w:val="none"/>
        </w:rPr>
        <w:t>（8）经评审的投标人排序；</w:t>
      </w:r>
    </w:p>
    <w:p w14:paraId="127BE396">
      <w:pPr>
        <w:adjustRightInd w:val="0"/>
        <w:snapToGrid w:val="0"/>
        <w:spacing w:before="94" w:beforeLines="30" w:line="520" w:lineRule="exact"/>
        <w:ind w:firstLine="420" w:firstLineChars="200"/>
        <w:rPr>
          <w:color w:val="auto"/>
          <w:szCs w:val="21"/>
          <w:highlight w:val="none"/>
        </w:rPr>
      </w:pPr>
      <w:r>
        <w:rPr>
          <w:color w:val="auto"/>
          <w:szCs w:val="21"/>
          <w:highlight w:val="none"/>
        </w:rPr>
        <w:t>（9）推荐的中标候选人名单与签订合同前要处理的事宜；</w:t>
      </w:r>
    </w:p>
    <w:p w14:paraId="5F9FCACB">
      <w:pPr>
        <w:adjustRightInd w:val="0"/>
        <w:snapToGrid w:val="0"/>
        <w:spacing w:before="94" w:beforeLines="30" w:line="520" w:lineRule="exact"/>
        <w:ind w:firstLine="420" w:firstLineChars="200"/>
        <w:rPr>
          <w:color w:val="auto"/>
          <w:szCs w:val="21"/>
          <w:highlight w:val="none"/>
        </w:rPr>
      </w:pPr>
      <w:r>
        <w:rPr>
          <w:color w:val="auto"/>
          <w:szCs w:val="21"/>
          <w:highlight w:val="none"/>
        </w:rPr>
        <w:t>（10）澄清、说明、补正事项纪要。</w:t>
      </w:r>
    </w:p>
    <w:p w14:paraId="756B11AE">
      <w:pPr>
        <w:pStyle w:val="3"/>
        <w:snapToGrid w:val="0"/>
        <w:spacing w:before="0" w:after="0" w:line="520" w:lineRule="exact"/>
        <w:rPr>
          <w:rFonts w:ascii="Times New Roman" w:hAnsi="Times New Roman" w:eastAsia="黑体"/>
          <w:b w:val="0"/>
          <w:bCs w:val="0"/>
          <w:color w:val="auto"/>
          <w:sz w:val="30"/>
          <w:szCs w:val="21"/>
          <w:highlight w:val="none"/>
        </w:rPr>
      </w:pPr>
      <w:bookmarkStart w:id="339" w:name="_Toc211498657"/>
      <w:r>
        <w:rPr>
          <w:rFonts w:hint="eastAsia" w:ascii="Times New Roman" w:hAnsi="Times New Roman" w:eastAsia="黑体"/>
          <w:b w:val="0"/>
          <w:bCs w:val="0"/>
          <w:color w:val="auto"/>
          <w:sz w:val="30"/>
          <w:szCs w:val="21"/>
          <w:highlight w:val="none"/>
        </w:rPr>
        <w:t>10</w:t>
      </w:r>
      <w:r>
        <w:rPr>
          <w:rFonts w:ascii="Times New Roman" w:hAnsi="Times New Roman" w:eastAsia="黑体"/>
          <w:b w:val="0"/>
          <w:bCs w:val="0"/>
          <w:color w:val="auto"/>
          <w:sz w:val="30"/>
          <w:szCs w:val="21"/>
          <w:highlight w:val="none"/>
        </w:rPr>
        <w:t>．特殊情况的处置程序</w:t>
      </w:r>
      <w:bookmarkEnd w:id="339"/>
    </w:p>
    <w:p w14:paraId="68DD104B">
      <w:pPr>
        <w:spacing w:line="520" w:lineRule="exact"/>
        <w:ind w:firstLine="420" w:firstLineChars="200"/>
        <w:rPr>
          <w:color w:val="auto"/>
          <w:szCs w:val="21"/>
          <w:highlight w:val="none"/>
        </w:rPr>
      </w:pPr>
      <w:r>
        <w:rPr>
          <w:rFonts w:hint="eastAsia"/>
          <w:color w:val="auto"/>
          <w:szCs w:val="21"/>
          <w:highlight w:val="none"/>
        </w:rPr>
        <w:t>10</w:t>
      </w:r>
      <w:r>
        <w:rPr>
          <w:color w:val="auto"/>
          <w:szCs w:val="21"/>
          <w:highlight w:val="none"/>
        </w:rPr>
        <w:t>.1 关于评标活动暂停</w:t>
      </w:r>
    </w:p>
    <w:p w14:paraId="5061D79F">
      <w:pPr>
        <w:adjustRightInd w:val="0"/>
        <w:snapToGrid w:val="0"/>
        <w:spacing w:line="520" w:lineRule="exact"/>
        <w:ind w:firstLine="420" w:firstLineChars="200"/>
        <w:rPr>
          <w:color w:val="auto"/>
          <w:szCs w:val="21"/>
          <w:highlight w:val="none"/>
        </w:rPr>
      </w:pPr>
      <w:r>
        <w:rPr>
          <w:rFonts w:hint="eastAsia"/>
          <w:color w:val="auto"/>
          <w:szCs w:val="21"/>
          <w:highlight w:val="none"/>
        </w:rPr>
        <w:t>10</w:t>
      </w:r>
      <w:r>
        <w:rPr>
          <w:color w:val="auto"/>
          <w:szCs w:val="21"/>
          <w:highlight w:val="none"/>
        </w:rPr>
        <w:t>.1.1 评标委员会应当执行连续评标的原则，按评标办法中规定的程序、内容、方法、标准完成全部评标工作。除特殊情况外，评标活动不得暂停。</w:t>
      </w:r>
    </w:p>
    <w:p w14:paraId="60DC2006">
      <w:pPr>
        <w:adjustRightInd w:val="0"/>
        <w:snapToGrid w:val="0"/>
        <w:spacing w:before="63" w:beforeLines="20" w:line="520" w:lineRule="exact"/>
        <w:ind w:firstLine="420" w:firstLineChars="200"/>
        <w:rPr>
          <w:color w:val="auto"/>
          <w:szCs w:val="21"/>
          <w:highlight w:val="none"/>
        </w:rPr>
      </w:pPr>
      <w:r>
        <w:rPr>
          <w:rFonts w:hint="eastAsia"/>
          <w:color w:val="auto"/>
          <w:szCs w:val="21"/>
          <w:highlight w:val="none"/>
        </w:rPr>
        <w:t>10</w:t>
      </w:r>
      <w:r>
        <w:rPr>
          <w:color w:val="auto"/>
          <w:szCs w:val="21"/>
          <w:highlight w:val="none"/>
        </w:rPr>
        <w:t>.1.2 发生评标暂停情况时，评标委员会应当封存全部投标文件和评标记录，待特殊情况的影响结束且具备继续评标的条件时，由原评标委员会继续评标。</w:t>
      </w:r>
    </w:p>
    <w:p w14:paraId="475864C9">
      <w:pPr>
        <w:spacing w:line="520" w:lineRule="exact"/>
        <w:ind w:firstLine="420" w:firstLineChars="200"/>
        <w:rPr>
          <w:color w:val="auto"/>
          <w:szCs w:val="21"/>
          <w:highlight w:val="none"/>
        </w:rPr>
      </w:pPr>
      <w:r>
        <w:rPr>
          <w:rFonts w:hint="eastAsia"/>
          <w:color w:val="auto"/>
          <w:szCs w:val="21"/>
          <w:highlight w:val="none"/>
        </w:rPr>
        <w:t>10</w:t>
      </w:r>
      <w:r>
        <w:rPr>
          <w:color w:val="auto"/>
          <w:szCs w:val="21"/>
          <w:highlight w:val="none"/>
        </w:rPr>
        <w:t>.2 关于评标中途更换评委</w:t>
      </w:r>
    </w:p>
    <w:p w14:paraId="525CE379">
      <w:pPr>
        <w:adjustRightInd w:val="0"/>
        <w:snapToGrid w:val="0"/>
        <w:spacing w:line="520" w:lineRule="exact"/>
        <w:ind w:firstLine="420" w:firstLineChars="200"/>
        <w:rPr>
          <w:color w:val="auto"/>
          <w:szCs w:val="21"/>
          <w:highlight w:val="none"/>
        </w:rPr>
      </w:pPr>
      <w:r>
        <w:rPr>
          <w:rFonts w:hint="eastAsia"/>
          <w:color w:val="auto"/>
          <w:szCs w:val="21"/>
          <w:highlight w:val="none"/>
        </w:rPr>
        <w:t>10</w:t>
      </w:r>
      <w:r>
        <w:rPr>
          <w:color w:val="auto"/>
          <w:szCs w:val="21"/>
          <w:highlight w:val="none"/>
        </w:rPr>
        <w:t>.2.1 除非发生下列情况之一，不得在评标中途更换评标委员会成员：</w:t>
      </w:r>
    </w:p>
    <w:p w14:paraId="6789E8E8">
      <w:pPr>
        <w:adjustRightInd w:val="0"/>
        <w:snapToGrid w:val="0"/>
        <w:spacing w:line="520" w:lineRule="exact"/>
        <w:ind w:firstLine="210" w:firstLineChars="100"/>
        <w:rPr>
          <w:color w:val="auto"/>
          <w:szCs w:val="21"/>
          <w:highlight w:val="none"/>
        </w:rPr>
      </w:pPr>
      <w:r>
        <w:rPr>
          <w:color w:val="auto"/>
          <w:szCs w:val="21"/>
          <w:highlight w:val="none"/>
        </w:rPr>
        <w:t>（1）因不可抗拒的原因，评标委员会成员不能到场或需在评标中途退出评标活动。</w:t>
      </w:r>
    </w:p>
    <w:p w14:paraId="2B701389">
      <w:pPr>
        <w:adjustRightInd w:val="0"/>
        <w:snapToGrid w:val="0"/>
        <w:spacing w:line="520" w:lineRule="exact"/>
        <w:ind w:firstLine="210" w:firstLineChars="100"/>
        <w:rPr>
          <w:color w:val="auto"/>
          <w:szCs w:val="21"/>
          <w:highlight w:val="none"/>
        </w:rPr>
      </w:pPr>
      <w:r>
        <w:rPr>
          <w:color w:val="auto"/>
          <w:szCs w:val="21"/>
          <w:highlight w:val="none"/>
        </w:rPr>
        <w:t>（2）根据法律法规规定，某个或某几个评标委员会成员需要回避。</w:t>
      </w:r>
    </w:p>
    <w:p w14:paraId="7A49521A">
      <w:pPr>
        <w:adjustRightInd w:val="0"/>
        <w:snapToGrid w:val="0"/>
        <w:spacing w:line="520" w:lineRule="exact"/>
        <w:ind w:firstLine="420" w:firstLineChars="200"/>
        <w:rPr>
          <w:color w:val="auto"/>
          <w:szCs w:val="21"/>
          <w:highlight w:val="none"/>
        </w:rPr>
      </w:pPr>
      <w:r>
        <w:rPr>
          <w:rFonts w:hint="eastAsia"/>
          <w:color w:val="auto"/>
          <w:szCs w:val="21"/>
          <w:highlight w:val="none"/>
        </w:rPr>
        <w:t>10</w:t>
      </w:r>
      <w:r>
        <w:rPr>
          <w:color w:val="auto"/>
          <w:szCs w:val="21"/>
          <w:highlight w:val="none"/>
        </w:rPr>
        <w:t>.2.2 退出评标的评标委员会成员，其完成的评标行为无效。由招标人根据</w:t>
      </w:r>
      <w:r>
        <w:rPr>
          <w:rFonts w:hint="eastAsia"/>
          <w:color w:val="auto"/>
          <w:szCs w:val="21"/>
          <w:highlight w:val="none"/>
        </w:rPr>
        <w:t>有关规定</w:t>
      </w:r>
      <w:r>
        <w:rPr>
          <w:color w:val="auto"/>
          <w:szCs w:val="21"/>
          <w:highlight w:val="none"/>
        </w:rPr>
        <w:t>另行确定替代者进行评标。</w:t>
      </w:r>
    </w:p>
    <w:p w14:paraId="40EC3755">
      <w:pPr>
        <w:spacing w:line="520" w:lineRule="exact"/>
        <w:ind w:firstLine="420" w:firstLineChars="200"/>
        <w:rPr>
          <w:color w:val="auto"/>
          <w:szCs w:val="21"/>
          <w:highlight w:val="none"/>
        </w:rPr>
      </w:pPr>
      <w:r>
        <w:rPr>
          <w:rFonts w:hint="eastAsia"/>
          <w:color w:val="auto"/>
          <w:szCs w:val="21"/>
          <w:highlight w:val="none"/>
        </w:rPr>
        <w:t>10</w:t>
      </w:r>
      <w:r>
        <w:rPr>
          <w:color w:val="auto"/>
          <w:szCs w:val="21"/>
          <w:highlight w:val="none"/>
        </w:rPr>
        <w:t>.3 记名投票</w:t>
      </w:r>
    </w:p>
    <w:p w14:paraId="0F021BA6">
      <w:pPr>
        <w:adjustRightInd w:val="0"/>
        <w:snapToGrid w:val="0"/>
        <w:spacing w:line="520" w:lineRule="exact"/>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060075EC">
      <w:pPr>
        <w:pStyle w:val="3"/>
        <w:snapToGrid w:val="0"/>
        <w:spacing w:before="0" w:after="0" w:line="520" w:lineRule="exact"/>
        <w:rPr>
          <w:rFonts w:ascii="Times New Roman" w:hAnsi="Times New Roman" w:eastAsia="黑体"/>
          <w:b w:val="0"/>
          <w:bCs w:val="0"/>
          <w:color w:val="auto"/>
          <w:sz w:val="30"/>
          <w:highlight w:val="none"/>
        </w:rPr>
      </w:pPr>
      <w:bookmarkStart w:id="340" w:name="_Toc211498658"/>
      <w:r>
        <w:rPr>
          <w:rFonts w:hint="eastAsia" w:ascii="Times New Roman" w:hAnsi="Times New Roman" w:eastAsia="黑体"/>
          <w:b w:val="0"/>
          <w:bCs w:val="0"/>
          <w:color w:val="auto"/>
          <w:sz w:val="30"/>
          <w:highlight w:val="none"/>
        </w:rPr>
        <w:t>11</w:t>
      </w:r>
      <w:r>
        <w:rPr>
          <w:rFonts w:ascii="Times New Roman" w:hAnsi="Times New Roman" w:eastAsia="黑体"/>
          <w:b w:val="0"/>
          <w:bCs w:val="0"/>
          <w:color w:val="auto"/>
          <w:sz w:val="30"/>
          <w:highlight w:val="none"/>
        </w:rPr>
        <w:t>.补充条款</w:t>
      </w:r>
      <w:bookmarkEnd w:id="340"/>
    </w:p>
    <w:p w14:paraId="122898C0">
      <w:pPr>
        <w:adjustRightInd w:val="0"/>
        <w:snapToGrid w:val="0"/>
        <w:spacing w:line="520" w:lineRule="exact"/>
        <w:ind w:firstLine="420" w:firstLineChars="200"/>
        <w:rPr>
          <w:color w:val="auto"/>
          <w:szCs w:val="21"/>
          <w:highlight w:val="none"/>
        </w:rPr>
      </w:pPr>
      <w:r>
        <w:rPr>
          <w:rFonts w:hint="eastAsia"/>
          <w:color w:val="auto"/>
          <w:szCs w:val="21"/>
          <w:highlight w:val="none"/>
        </w:rPr>
        <w:t>11</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5838A6AA">
      <w:pPr>
        <w:adjustRightInd w:val="0"/>
        <w:snapToGrid w:val="0"/>
        <w:spacing w:line="520" w:lineRule="exact"/>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33232677">
      <w:pPr>
        <w:adjustRightInd w:val="0"/>
        <w:snapToGrid w:val="0"/>
        <w:spacing w:line="520" w:lineRule="exact"/>
        <w:ind w:firstLine="420" w:firstLineChars="200"/>
        <w:rPr>
          <w:color w:val="auto"/>
          <w:szCs w:val="21"/>
          <w:highlight w:val="none"/>
        </w:rPr>
      </w:pPr>
      <w:r>
        <w:rPr>
          <w:rFonts w:hint="eastAsia"/>
          <w:color w:val="auto"/>
          <w:szCs w:val="21"/>
          <w:highlight w:val="none"/>
        </w:rPr>
        <w:t>11</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4296FA61">
      <w:pPr>
        <w:adjustRightInd w:val="0"/>
        <w:snapToGrid w:val="0"/>
        <w:spacing w:line="360" w:lineRule="auto"/>
        <w:ind w:firstLine="420" w:firstLineChars="200"/>
        <w:rPr>
          <w:color w:val="auto"/>
          <w:highlight w:val="none"/>
          <w:lang w:val="zh-CN"/>
        </w:rPr>
      </w:pPr>
      <w:r>
        <w:rPr>
          <w:bCs/>
          <w:color w:val="auto"/>
          <w:highlight w:val="none"/>
        </w:rPr>
        <w:br w:type="page"/>
      </w:r>
    </w:p>
    <w:bookmarkEnd w:id="317"/>
    <w:p w14:paraId="06D6042F">
      <w:pPr>
        <w:pStyle w:val="2"/>
        <w:spacing w:before="0" w:after="0"/>
        <w:jc w:val="center"/>
        <w:rPr>
          <w:rFonts w:ascii="Times New Roman" w:hAnsi="Times New Roman" w:eastAsia="黑体"/>
          <w:b w:val="0"/>
          <w:bCs w:val="0"/>
          <w:color w:val="auto"/>
          <w:highlight w:val="none"/>
        </w:rPr>
      </w:pPr>
      <w:bookmarkStart w:id="341" w:name="_Toc211498659"/>
      <w:r>
        <w:rPr>
          <w:rFonts w:ascii="Times New Roman" w:hAnsi="Times New Roman" w:eastAsia="黑体"/>
          <w:b w:val="0"/>
          <w:bCs w:val="0"/>
          <w:color w:val="auto"/>
          <w:highlight w:val="none"/>
        </w:rPr>
        <w:t>第三章  评标办法（</w:t>
      </w:r>
      <w:r>
        <w:rPr>
          <w:rFonts w:hint="eastAsia" w:ascii="Times New Roman" w:hAnsi="Times New Roman" w:eastAsia="黑体"/>
          <w:b w:val="0"/>
          <w:bCs w:val="0"/>
          <w:color w:val="auto"/>
          <w:highlight w:val="none"/>
        </w:rPr>
        <w:t>技术评分最低标价法</w:t>
      </w:r>
      <w:r>
        <w:rPr>
          <w:rFonts w:ascii="Times New Roman" w:hAnsi="Times New Roman" w:eastAsia="黑体"/>
          <w:b w:val="0"/>
          <w:bCs w:val="0"/>
          <w:color w:val="auto"/>
          <w:highlight w:val="none"/>
        </w:rPr>
        <w:t>）</w:t>
      </w:r>
      <w:bookmarkEnd w:id="341"/>
    </w:p>
    <w:p w14:paraId="2BE1B202">
      <w:pPr>
        <w:pStyle w:val="2"/>
        <w:spacing w:before="0" w:after="0"/>
        <w:jc w:val="center"/>
        <w:rPr>
          <w:rFonts w:ascii="Times New Roman" w:hAnsi="Times New Roman" w:eastAsia="黑体"/>
          <w:b w:val="0"/>
          <w:bCs w:val="0"/>
          <w:color w:val="auto"/>
          <w:sz w:val="30"/>
          <w:highlight w:val="none"/>
        </w:rPr>
      </w:pPr>
      <w:bookmarkStart w:id="342" w:name="_Toc211498660"/>
      <w:r>
        <w:rPr>
          <w:rFonts w:ascii="Times New Roman" w:hAnsi="Times New Roman" w:eastAsia="黑体"/>
          <w:b w:val="0"/>
          <w:bCs w:val="0"/>
          <w:color w:val="auto"/>
          <w:sz w:val="30"/>
          <w:highlight w:val="none"/>
        </w:rPr>
        <w:t>评标办法前附表</w:t>
      </w:r>
      <w:bookmarkEnd w:id="342"/>
    </w:p>
    <w:tbl>
      <w:tblPr>
        <w:tblStyle w:val="4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612"/>
        <w:gridCol w:w="5807"/>
      </w:tblGrid>
      <w:tr w14:paraId="32B0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vAlign w:val="center"/>
          </w:tcPr>
          <w:p w14:paraId="6EBFED38">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612" w:type="dxa"/>
            <w:vAlign w:val="center"/>
          </w:tcPr>
          <w:p w14:paraId="697AD822">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07" w:type="dxa"/>
            <w:vAlign w:val="center"/>
          </w:tcPr>
          <w:p w14:paraId="3830AB78">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418E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vAlign w:val="center"/>
          </w:tcPr>
          <w:p w14:paraId="3ABD8321">
            <w:pPr>
              <w:jc w:val="center"/>
              <w:rPr>
                <w:rFonts w:hint="eastAsia" w:ascii="宋体" w:hAnsi="宋体" w:cs="宋体"/>
                <w:bCs/>
                <w:color w:val="auto"/>
                <w:szCs w:val="21"/>
                <w:highlight w:val="none"/>
              </w:rPr>
            </w:pPr>
            <w:r>
              <w:rPr>
                <w:rFonts w:hint="eastAsia" w:ascii="宋体" w:hAnsi="宋体" w:cs="宋体"/>
                <w:bCs/>
                <w:color w:val="auto"/>
                <w:szCs w:val="21"/>
                <w:highlight w:val="none"/>
              </w:rPr>
              <w:t>2.1</w:t>
            </w:r>
          </w:p>
        </w:tc>
        <w:tc>
          <w:tcPr>
            <w:tcW w:w="2612" w:type="dxa"/>
            <w:vAlign w:val="center"/>
          </w:tcPr>
          <w:p w14:paraId="253DF522">
            <w:pPr>
              <w:snapToGrid w:val="0"/>
              <w:spacing w:after="0"/>
              <w:jc w:val="center"/>
              <w:rPr>
                <w:rFonts w:hint="eastAsia" w:ascii="宋体" w:hAnsi="宋体" w:cs="宋体"/>
                <w:bCs/>
                <w:color w:val="auto"/>
                <w:szCs w:val="21"/>
                <w:highlight w:val="none"/>
              </w:rPr>
            </w:pPr>
            <w:r>
              <w:rPr>
                <w:color w:val="auto"/>
                <w:szCs w:val="21"/>
                <w:highlight w:val="none"/>
              </w:rPr>
              <w:t>异常低价警戒线</w:t>
            </w:r>
            <w:r>
              <w:rPr>
                <w:rFonts w:hint="eastAsia"/>
                <w:color w:val="auto"/>
                <w:szCs w:val="21"/>
                <w:highlight w:val="none"/>
              </w:rPr>
              <w:t>评审</w:t>
            </w:r>
          </w:p>
        </w:tc>
        <w:tc>
          <w:tcPr>
            <w:tcW w:w="5807" w:type="dxa"/>
            <w:vAlign w:val="center"/>
          </w:tcPr>
          <w:p w14:paraId="084BE4E7">
            <w:pPr>
              <w:adjustRightInd w:val="0"/>
              <w:snapToGrid w:val="0"/>
              <w:spacing w:after="0" w:line="240" w:lineRule="auto"/>
              <w:ind w:left="21" w:leftChars="10" w:right="21" w:rightChars="10"/>
              <w:rPr>
                <w:color w:val="auto"/>
                <w:szCs w:val="21"/>
                <w:highlight w:val="none"/>
              </w:rPr>
            </w:pPr>
            <w:r>
              <w:rPr>
                <w:color w:val="auto"/>
                <w:szCs w:val="21"/>
                <w:highlight w:val="none"/>
              </w:rPr>
              <w:t>异常低价警戒线</w:t>
            </w:r>
            <w:r>
              <w:rPr>
                <w:rFonts w:hint="eastAsia"/>
                <w:color w:val="auto"/>
                <w:szCs w:val="21"/>
                <w:highlight w:val="none"/>
              </w:rPr>
              <w:t>评审</w:t>
            </w:r>
            <w:r>
              <w:rPr>
                <w:color w:val="auto"/>
                <w:szCs w:val="21"/>
                <w:highlight w:val="none"/>
              </w:rPr>
              <w:t>规则</w:t>
            </w:r>
            <w:r>
              <w:rPr>
                <w:rFonts w:hint="eastAsia"/>
                <w:color w:val="auto"/>
                <w:szCs w:val="21"/>
                <w:highlight w:val="none"/>
              </w:rPr>
              <w:t>：</w:t>
            </w:r>
          </w:p>
          <w:p w14:paraId="2E922DB8">
            <w:pPr>
              <w:adjustRightInd w:val="0"/>
              <w:snapToGrid w:val="0"/>
              <w:spacing w:after="0" w:line="240" w:lineRule="auto"/>
              <w:ind w:left="21" w:leftChars="10" w:right="21" w:rightChars="10"/>
              <w:rPr>
                <w:b/>
                <w:bCs/>
                <w:color w:val="auto"/>
                <w:szCs w:val="21"/>
                <w:highlight w:val="none"/>
              </w:rPr>
            </w:pPr>
            <w:r>
              <w:rPr>
                <w:b/>
                <w:bCs/>
                <w:color w:val="auto"/>
                <w:szCs w:val="21"/>
                <w:highlight w:val="none"/>
              </w:rPr>
              <w:t>1、有效报价范围</w:t>
            </w:r>
          </w:p>
          <w:p w14:paraId="39FB2811">
            <w:pPr>
              <w:adjustRightInd w:val="0"/>
              <w:snapToGrid w:val="0"/>
              <w:spacing w:after="0" w:line="240" w:lineRule="auto"/>
              <w:ind w:left="21" w:leftChars="10" w:right="21" w:rightChars="10"/>
              <w:rPr>
                <w:color w:val="auto"/>
                <w:szCs w:val="21"/>
                <w:highlight w:val="none"/>
              </w:rPr>
            </w:pPr>
            <w:r>
              <w:rPr>
                <w:color w:val="auto"/>
                <w:szCs w:val="21"/>
                <w:highlight w:val="none"/>
              </w:rPr>
              <w:t>将各投标单位按报价与最高限价进行比值，剔除高于最高投标限价的95%和低于最高投标限价78%的投标报价，并去掉上述范围内最低15%和最高10%的投标单位报价，剩余投标单位的报价作为有效报价纳入异常低价警戒线计算。</w:t>
            </w:r>
          </w:p>
          <w:p w14:paraId="0641E3A4">
            <w:pPr>
              <w:adjustRightInd w:val="0"/>
              <w:snapToGrid w:val="0"/>
              <w:spacing w:after="0" w:line="240" w:lineRule="auto"/>
              <w:ind w:left="21" w:leftChars="10" w:right="21" w:rightChars="10"/>
              <w:rPr>
                <w:b/>
                <w:bCs/>
                <w:color w:val="auto"/>
                <w:szCs w:val="21"/>
                <w:highlight w:val="none"/>
              </w:rPr>
            </w:pPr>
            <w:r>
              <w:rPr>
                <w:b/>
                <w:bCs/>
                <w:color w:val="auto"/>
                <w:szCs w:val="21"/>
                <w:highlight w:val="none"/>
              </w:rPr>
              <w:t>2、计算综合平均数</w:t>
            </w:r>
          </w:p>
          <w:p w14:paraId="57418465">
            <w:pPr>
              <w:adjustRightInd w:val="0"/>
              <w:snapToGrid w:val="0"/>
              <w:spacing w:after="0" w:line="240" w:lineRule="auto"/>
              <w:ind w:left="21" w:leftChars="10" w:right="21" w:rightChars="10"/>
              <w:rPr>
                <w:color w:val="auto"/>
                <w:szCs w:val="21"/>
                <w:highlight w:val="none"/>
              </w:rPr>
            </w:pPr>
            <w:r>
              <w:rPr>
                <w:color w:val="auto"/>
                <w:szCs w:val="21"/>
                <w:highlight w:val="none"/>
              </w:rPr>
              <w:t>综合平均数由以下三项数值的算术平均值确定：</w:t>
            </w:r>
          </w:p>
          <w:p w14:paraId="713DD36B">
            <w:pPr>
              <w:adjustRightInd w:val="0"/>
              <w:snapToGrid w:val="0"/>
              <w:spacing w:after="0" w:line="240" w:lineRule="auto"/>
              <w:ind w:left="21" w:leftChars="10" w:right="21" w:rightChars="10"/>
              <w:rPr>
                <w:color w:val="auto"/>
                <w:szCs w:val="21"/>
                <w:highlight w:val="none"/>
              </w:rPr>
            </w:pPr>
            <w:r>
              <w:rPr>
                <w:color w:val="auto"/>
                <w:szCs w:val="21"/>
                <w:highlight w:val="none"/>
              </w:rPr>
              <w:t>算术平均数：所有有效报价的算术平均值；</w:t>
            </w:r>
          </w:p>
          <w:p w14:paraId="4E775D03">
            <w:pPr>
              <w:adjustRightInd w:val="0"/>
              <w:snapToGrid w:val="0"/>
              <w:spacing w:after="0" w:line="240" w:lineRule="auto"/>
              <w:ind w:left="21" w:leftChars="10" w:right="21" w:rightChars="10"/>
              <w:rPr>
                <w:color w:val="auto"/>
                <w:szCs w:val="21"/>
                <w:highlight w:val="none"/>
              </w:rPr>
            </w:pPr>
            <w:r>
              <w:rPr>
                <w:color w:val="auto"/>
                <w:szCs w:val="21"/>
                <w:highlight w:val="none"/>
              </w:rPr>
              <w:t>中位数平均数：有效报价排序后的中间值（投标人家数为偶数时取中间两数平均值）；</w:t>
            </w:r>
          </w:p>
          <w:p w14:paraId="01D17728">
            <w:pPr>
              <w:adjustRightInd w:val="0"/>
              <w:snapToGrid w:val="0"/>
              <w:spacing w:after="0" w:line="240" w:lineRule="auto"/>
              <w:ind w:left="21" w:leftChars="10" w:right="21" w:rightChars="10"/>
              <w:rPr>
                <w:color w:val="auto"/>
                <w:szCs w:val="21"/>
                <w:highlight w:val="none"/>
              </w:rPr>
            </w:pPr>
            <w:r>
              <w:rPr>
                <w:color w:val="auto"/>
                <w:szCs w:val="21"/>
                <w:highlight w:val="none"/>
              </w:rPr>
              <w:t>四分位数平均数：有效报价的上四分位数与下四分位数的算术平均值，四分位数计算方法详见</w:t>
            </w:r>
            <w:r>
              <w:rPr>
                <w:rFonts w:hint="eastAsia"/>
                <w:color w:val="auto"/>
                <w:szCs w:val="21"/>
                <w:highlight w:val="none"/>
              </w:rPr>
              <w:t>湖南省公共资源交易服务平台公布的</w:t>
            </w:r>
            <w:r>
              <w:rPr>
                <w:color w:val="auto"/>
                <w:szCs w:val="21"/>
                <w:highlight w:val="none"/>
              </w:rPr>
              <w:t>六随机五区间报价得分模型。</w:t>
            </w:r>
          </w:p>
          <w:p w14:paraId="26D6B9EF">
            <w:pPr>
              <w:spacing w:after="0" w:line="240" w:lineRule="auto"/>
              <w:ind w:left="21" w:leftChars="10" w:right="21" w:rightChars="10"/>
              <w:rPr>
                <w:color w:val="auto"/>
                <w:highlight w:val="none"/>
              </w:rPr>
            </w:pPr>
            <w:r>
              <w:rPr>
                <w:color w:val="auto"/>
                <w:szCs w:val="21"/>
                <w:highlight w:val="none"/>
              </w:rPr>
              <w:t>综合平均数=</w:t>
            </w:r>
            <w:r>
              <w:rPr>
                <w:rFonts w:hint="eastAsia"/>
                <w:color w:val="auto"/>
                <w:szCs w:val="21"/>
                <w:highlight w:val="none"/>
              </w:rPr>
              <w:t>（算数平均数+中位数平均数+四分位数平均数）/3</w:t>
            </w:r>
          </w:p>
          <w:p w14:paraId="047EBE20">
            <w:pPr>
              <w:adjustRightInd w:val="0"/>
              <w:snapToGrid w:val="0"/>
              <w:spacing w:after="0" w:line="240" w:lineRule="auto"/>
              <w:ind w:left="21" w:leftChars="10" w:right="21" w:rightChars="10"/>
              <w:rPr>
                <w:color w:val="auto"/>
                <w:szCs w:val="21"/>
                <w:highlight w:val="none"/>
              </w:rPr>
            </w:pPr>
            <w:r>
              <w:rPr>
                <w:color w:val="auto"/>
                <w:szCs w:val="21"/>
                <w:highlight w:val="none"/>
              </w:rPr>
              <w:t>当有效报价的投标人家数少于5家时，综合平均数取上述范围内的投标人报价算术平均值。</w:t>
            </w:r>
          </w:p>
          <w:p w14:paraId="2BE3489A">
            <w:pPr>
              <w:adjustRightInd w:val="0"/>
              <w:snapToGrid w:val="0"/>
              <w:spacing w:after="0" w:line="240" w:lineRule="auto"/>
              <w:ind w:left="21" w:leftChars="10" w:right="21" w:rightChars="10"/>
              <w:rPr>
                <w:b/>
                <w:bCs/>
                <w:color w:val="auto"/>
                <w:szCs w:val="21"/>
                <w:highlight w:val="none"/>
              </w:rPr>
            </w:pPr>
            <w:r>
              <w:rPr>
                <w:b/>
                <w:bCs/>
                <w:color w:val="auto"/>
                <w:szCs w:val="21"/>
                <w:highlight w:val="none"/>
              </w:rPr>
              <w:t>3、计算异常低价警戒线</w:t>
            </w:r>
          </w:p>
          <w:p w14:paraId="5DA3D1C8">
            <w:pPr>
              <w:adjustRightInd w:val="0"/>
              <w:snapToGrid w:val="0"/>
              <w:spacing w:after="0" w:line="240" w:lineRule="auto"/>
              <w:ind w:left="21" w:leftChars="10" w:right="21" w:rightChars="10"/>
              <w:rPr>
                <w:color w:val="auto"/>
                <w:szCs w:val="21"/>
                <w:highlight w:val="none"/>
              </w:rPr>
            </w:pPr>
            <w:r>
              <w:rPr>
                <w:color w:val="auto"/>
                <w:szCs w:val="21"/>
                <w:highlight w:val="none"/>
              </w:rPr>
              <w:t>异常低价警戒线=综合平均数</w:t>
            </w:r>
            <w:r>
              <w:rPr>
                <w:rFonts w:hint="eastAsia"/>
                <w:color w:val="auto"/>
                <w:szCs w:val="21"/>
                <w:highlight w:val="none"/>
              </w:rPr>
              <w:t>*（</w:t>
            </w:r>
            <w:r>
              <w:rPr>
                <w:color w:val="auto"/>
                <w:szCs w:val="21"/>
                <w:highlight w:val="none"/>
              </w:rPr>
              <w:t>1-下浮值）（招标人在</w:t>
            </w:r>
            <w:r>
              <w:rPr>
                <w:rFonts w:hint="eastAsia"/>
                <w:color w:val="auto"/>
                <w:szCs w:val="21"/>
                <w:highlight w:val="none"/>
              </w:rPr>
              <w:t>投标须知前附表规定的</w:t>
            </w:r>
            <w:r>
              <w:rPr>
                <w:color w:val="auto"/>
                <w:szCs w:val="21"/>
                <w:highlight w:val="none"/>
              </w:rPr>
              <w:t>下浮区间内选定）</w:t>
            </w:r>
          </w:p>
          <w:p w14:paraId="7FBA0504">
            <w:pPr>
              <w:adjustRightInd w:val="0"/>
              <w:snapToGrid w:val="0"/>
              <w:spacing w:after="0" w:line="240" w:lineRule="auto"/>
              <w:ind w:left="21" w:leftChars="10" w:right="21" w:rightChars="10"/>
              <w:rPr>
                <w:b/>
                <w:bCs/>
                <w:color w:val="auto"/>
                <w:szCs w:val="21"/>
                <w:highlight w:val="none"/>
              </w:rPr>
            </w:pPr>
            <w:r>
              <w:rPr>
                <w:b/>
                <w:bCs/>
                <w:color w:val="auto"/>
                <w:szCs w:val="21"/>
                <w:highlight w:val="none"/>
              </w:rPr>
              <w:t>4、下浮区间及下浮值的确定</w:t>
            </w:r>
          </w:p>
          <w:p w14:paraId="5ABC7A7F">
            <w:pPr>
              <w:adjustRightInd w:val="0"/>
              <w:snapToGrid w:val="0"/>
              <w:spacing w:line="360" w:lineRule="auto"/>
              <w:ind w:left="21" w:leftChars="10" w:right="21" w:rightChars="10"/>
              <w:rPr>
                <w:color w:val="auto"/>
                <w:szCs w:val="21"/>
                <w:highlight w:val="none"/>
              </w:rPr>
            </w:pPr>
            <w:r>
              <w:rPr>
                <w:color w:val="auto"/>
                <w:szCs w:val="21"/>
                <w:highlight w:val="none"/>
              </w:rPr>
              <w:t>下浮区间为5%-10%。市州政府对于设置异常低价警戒线的管理要求与权限另有规定的，从其规定。</w:t>
            </w:r>
            <w:r>
              <w:rPr>
                <w:rFonts w:hint="eastAsia"/>
                <w:color w:val="auto"/>
                <w:szCs w:val="21"/>
                <w:highlight w:val="none"/>
              </w:rPr>
              <w:t>本项目下浮值详见第二章投标人须知前附表。</w:t>
            </w:r>
          </w:p>
          <w:p w14:paraId="6B7DC5DF">
            <w:pPr>
              <w:adjustRightInd w:val="0"/>
              <w:snapToGrid w:val="0"/>
              <w:spacing w:after="0" w:line="240" w:lineRule="auto"/>
              <w:ind w:left="21" w:leftChars="10" w:right="21" w:rightChars="10"/>
              <w:rPr>
                <w:color w:val="auto"/>
                <w:szCs w:val="21"/>
                <w:highlight w:val="none"/>
              </w:rPr>
            </w:pPr>
            <w:r>
              <w:rPr>
                <w:color w:val="auto"/>
                <w:szCs w:val="21"/>
                <w:highlight w:val="none"/>
              </w:rPr>
              <w:t>三、低于投标成本报价竞争行为的确认与处理</w:t>
            </w:r>
          </w:p>
          <w:p w14:paraId="1CC555BC">
            <w:pPr>
              <w:adjustRightInd w:val="0"/>
              <w:snapToGrid w:val="0"/>
              <w:spacing w:after="0" w:line="240" w:lineRule="auto"/>
              <w:ind w:left="21" w:leftChars="10" w:right="21" w:rightChars="10"/>
              <w:rPr>
                <w:color w:val="auto"/>
                <w:szCs w:val="21"/>
                <w:highlight w:val="none"/>
              </w:rPr>
            </w:pPr>
            <w:r>
              <w:rPr>
                <w:color w:val="auto"/>
                <w:szCs w:val="21"/>
                <w:highlight w:val="none"/>
              </w:rPr>
              <w:t>投标报价低于异常低价警戒线（不含本数）的，视为以低于成本价竞争。</w:t>
            </w:r>
          </w:p>
          <w:p w14:paraId="00E49AB7">
            <w:pPr>
              <w:snapToGrid w:val="0"/>
              <w:spacing w:after="0"/>
              <w:jc w:val="left"/>
              <w:rPr>
                <w:rFonts w:hint="eastAsia" w:ascii="宋体" w:hAnsi="宋体" w:cs="宋体"/>
                <w:bCs/>
                <w:color w:val="auto"/>
                <w:szCs w:val="21"/>
                <w:highlight w:val="none"/>
              </w:rPr>
            </w:pPr>
            <w:r>
              <w:rPr>
                <w:color w:val="auto"/>
                <w:szCs w:val="21"/>
                <w:highlight w:val="none"/>
              </w:rPr>
              <w:t>电子交易平台自动标记低于警戒线的投标报价，评标委员会对标记的投标报价进行复核确认，确认后按无效投标处理，并记录在评标报告中。</w:t>
            </w:r>
          </w:p>
        </w:tc>
      </w:tr>
      <w:tr w14:paraId="1926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427F90C7">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419" w:type="dxa"/>
            <w:gridSpan w:val="2"/>
            <w:vAlign w:val="center"/>
          </w:tcPr>
          <w:p w14:paraId="4FC6258C">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7D44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3" w:type="dxa"/>
            <w:vMerge w:val="continue"/>
            <w:vAlign w:val="center"/>
          </w:tcPr>
          <w:p w14:paraId="08449370">
            <w:pPr>
              <w:jc w:val="center"/>
              <w:rPr>
                <w:rFonts w:hint="eastAsia" w:ascii="宋体" w:hAnsi="宋体" w:cs="宋体"/>
                <w:color w:val="auto"/>
                <w:szCs w:val="21"/>
                <w:highlight w:val="none"/>
              </w:rPr>
            </w:pPr>
          </w:p>
        </w:tc>
        <w:tc>
          <w:tcPr>
            <w:tcW w:w="2612" w:type="dxa"/>
            <w:vAlign w:val="center"/>
          </w:tcPr>
          <w:p w14:paraId="26D8BBD2">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807" w:type="dxa"/>
            <w:vAlign w:val="center"/>
          </w:tcPr>
          <w:p w14:paraId="15964264">
            <w:pPr>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与营业执照、资质证书、安全生产许可证上的名称一致；省外企业名称与在“湖南省建筑市场监管公共服务平台”报送的一致，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541F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5AD2865E">
            <w:pPr>
              <w:jc w:val="center"/>
              <w:rPr>
                <w:rFonts w:hint="eastAsia" w:ascii="宋体" w:hAnsi="宋体" w:cs="宋体"/>
                <w:color w:val="auto"/>
                <w:szCs w:val="21"/>
                <w:highlight w:val="none"/>
              </w:rPr>
            </w:pPr>
          </w:p>
        </w:tc>
        <w:tc>
          <w:tcPr>
            <w:tcW w:w="2612" w:type="dxa"/>
            <w:vAlign w:val="center"/>
          </w:tcPr>
          <w:p w14:paraId="2C821379">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5807" w:type="dxa"/>
            <w:vAlign w:val="center"/>
          </w:tcPr>
          <w:p w14:paraId="3E026635">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3E1B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jc w:val="center"/>
        </w:trPr>
        <w:tc>
          <w:tcPr>
            <w:tcW w:w="1203" w:type="dxa"/>
            <w:vMerge w:val="continue"/>
            <w:vAlign w:val="center"/>
          </w:tcPr>
          <w:p w14:paraId="4785F356">
            <w:pPr>
              <w:jc w:val="center"/>
              <w:rPr>
                <w:rFonts w:hint="eastAsia" w:ascii="宋体" w:hAnsi="宋体" w:cs="宋体"/>
                <w:color w:val="auto"/>
                <w:szCs w:val="21"/>
                <w:highlight w:val="none"/>
              </w:rPr>
            </w:pPr>
          </w:p>
        </w:tc>
        <w:tc>
          <w:tcPr>
            <w:tcW w:w="2612" w:type="dxa"/>
            <w:vAlign w:val="center"/>
          </w:tcPr>
          <w:p w14:paraId="14A6C448">
            <w:pPr>
              <w:jc w:val="center"/>
              <w:rPr>
                <w:rFonts w:hint="eastAsia" w:ascii="宋体" w:hAnsi="宋体" w:cs="宋体"/>
                <w:color w:val="auto"/>
                <w:szCs w:val="21"/>
                <w:highlight w:val="none"/>
              </w:rPr>
            </w:pPr>
            <w:r>
              <w:rPr>
                <w:rFonts w:hint="eastAsia" w:ascii="宋体" w:hAnsi="宋体" w:cs="宋体"/>
                <w:bCs/>
                <w:color w:val="auto"/>
                <w:szCs w:val="21"/>
                <w:highlight w:val="none"/>
              </w:rPr>
              <w:t>授权委托书（如有）</w:t>
            </w:r>
          </w:p>
        </w:tc>
        <w:tc>
          <w:tcPr>
            <w:tcW w:w="5807" w:type="dxa"/>
            <w:vAlign w:val="center"/>
          </w:tcPr>
          <w:p w14:paraId="44F25CD0">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提交授权委托书</w:t>
            </w:r>
          </w:p>
        </w:tc>
      </w:tr>
      <w:tr w14:paraId="6B1A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3C09960D">
            <w:pPr>
              <w:jc w:val="center"/>
              <w:rPr>
                <w:rFonts w:hint="eastAsia" w:ascii="宋体" w:hAnsi="宋体" w:cs="宋体"/>
                <w:color w:val="auto"/>
                <w:szCs w:val="21"/>
                <w:highlight w:val="none"/>
              </w:rPr>
            </w:pPr>
          </w:p>
        </w:tc>
        <w:tc>
          <w:tcPr>
            <w:tcW w:w="2612" w:type="dxa"/>
            <w:vAlign w:val="center"/>
          </w:tcPr>
          <w:p w14:paraId="0120EE59">
            <w:pPr>
              <w:jc w:val="center"/>
              <w:rPr>
                <w:rFonts w:hint="eastAsia" w:ascii="宋体" w:hAnsi="宋体" w:cs="宋体"/>
                <w:color w:val="auto"/>
                <w:szCs w:val="21"/>
                <w:highlight w:val="none"/>
              </w:rPr>
            </w:pPr>
            <w:r>
              <w:rPr>
                <w:rFonts w:ascii="宋体" w:hAnsi="宋体" w:cs="宋体"/>
                <w:bCs/>
                <w:color w:val="auto"/>
                <w:szCs w:val="21"/>
                <w:highlight w:val="none"/>
              </w:rPr>
              <w:t>投标文件签字盖章</w:t>
            </w:r>
          </w:p>
        </w:tc>
        <w:tc>
          <w:tcPr>
            <w:tcW w:w="5807" w:type="dxa"/>
            <w:vAlign w:val="center"/>
          </w:tcPr>
          <w:p w14:paraId="3DBE8A26">
            <w:pPr>
              <w:jc w:val="center"/>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符合第二章“投标人须知”第3.7.3项规定</w:t>
            </w:r>
          </w:p>
        </w:tc>
      </w:tr>
      <w:tr w14:paraId="263F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450B2752">
            <w:pPr>
              <w:jc w:val="center"/>
              <w:rPr>
                <w:rFonts w:hint="eastAsia" w:ascii="宋体" w:hAnsi="宋体" w:cs="宋体"/>
                <w:color w:val="auto"/>
                <w:szCs w:val="21"/>
                <w:highlight w:val="none"/>
              </w:rPr>
            </w:pPr>
          </w:p>
        </w:tc>
        <w:tc>
          <w:tcPr>
            <w:tcW w:w="2612" w:type="dxa"/>
            <w:vAlign w:val="center"/>
          </w:tcPr>
          <w:p w14:paraId="71DE1D61">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5807" w:type="dxa"/>
            <w:vAlign w:val="center"/>
          </w:tcPr>
          <w:p w14:paraId="7199A8E9">
            <w:pPr>
              <w:jc w:val="center"/>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2738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010BF3AD">
            <w:pPr>
              <w:jc w:val="center"/>
              <w:rPr>
                <w:rFonts w:hint="eastAsia" w:ascii="宋体" w:hAnsi="宋体" w:cs="宋体"/>
                <w:color w:val="auto"/>
                <w:szCs w:val="21"/>
                <w:highlight w:val="none"/>
              </w:rPr>
            </w:pPr>
          </w:p>
        </w:tc>
        <w:tc>
          <w:tcPr>
            <w:tcW w:w="2612" w:type="dxa"/>
            <w:vAlign w:val="center"/>
          </w:tcPr>
          <w:p w14:paraId="59A9BE90">
            <w:pPr>
              <w:jc w:val="center"/>
              <w:rPr>
                <w:rFonts w:hint="eastAsia" w:ascii="宋体" w:hAnsi="宋体" w:cs="宋体"/>
                <w:color w:val="auto"/>
                <w:szCs w:val="21"/>
                <w:highlight w:val="none"/>
              </w:rPr>
            </w:pPr>
            <w:r>
              <w:rPr>
                <w:rFonts w:hint="eastAsia" w:ascii="宋体" w:hAnsi="宋体" w:cs="宋体"/>
                <w:bCs/>
                <w:color w:val="auto"/>
                <w:szCs w:val="21"/>
                <w:highlight w:val="none"/>
              </w:rPr>
              <w:t>联合体协议书（如有）</w:t>
            </w:r>
          </w:p>
        </w:tc>
        <w:tc>
          <w:tcPr>
            <w:tcW w:w="5807" w:type="dxa"/>
            <w:vAlign w:val="center"/>
          </w:tcPr>
          <w:p w14:paraId="091DE19F">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219C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236C0A8C">
            <w:pPr>
              <w:jc w:val="center"/>
              <w:rPr>
                <w:rFonts w:hint="eastAsia" w:ascii="宋体" w:hAnsi="宋体" w:cs="宋体"/>
                <w:color w:val="auto"/>
                <w:szCs w:val="21"/>
                <w:highlight w:val="none"/>
              </w:rPr>
            </w:pPr>
          </w:p>
        </w:tc>
        <w:tc>
          <w:tcPr>
            <w:tcW w:w="2612" w:type="dxa"/>
            <w:vAlign w:val="center"/>
          </w:tcPr>
          <w:p w14:paraId="7B662261">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w:t>
            </w:r>
          </w:p>
        </w:tc>
        <w:tc>
          <w:tcPr>
            <w:tcW w:w="5807" w:type="dxa"/>
            <w:vAlign w:val="center"/>
          </w:tcPr>
          <w:p w14:paraId="32C585DA">
            <w:pPr>
              <w:jc w:val="center"/>
              <w:rPr>
                <w:rFonts w:hint="eastAsia" w:ascii="宋体" w:hAnsi="宋体" w:cs="宋体"/>
                <w:bCs/>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4ABD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189B7C6B">
            <w:pPr>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419" w:type="dxa"/>
            <w:gridSpan w:val="2"/>
            <w:vAlign w:val="center"/>
          </w:tcPr>
          <w:p w14:paraId="5B8A6F60">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7A35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0F520F54">
            <w:pPr>
              <w:jc w:val="center"/>
              <w:rPr>
                <w:rFonts w:hint="eastAsia" w:ascii="宋体" w:hAnsi="宋体" w:cs="宋体"/>
                <w:color w:val="auto"/>
                <w:szCs w:val="21"/>
                <w:highlight w:val="none"/>
              </w:rPr>
            </w:pPr>
          </w:p>
        </w:tc>
        <w:tc>
          <w:tcPr>
            <w:tcW w:w="2612" w:type="dxa"/>
            <w:vAlign w:val="center"/>
          </w:tcPr>
          <w:p w14:paraId="40B2A4DC">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5807" w:type="dxa"/>
            <w:vAlign w:val="center"/>
          </w:tcPr>
          <w:p w14:paraId="311ABA33">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1ECD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46896086">
            <w:pPr>
              <w:jc w:val="center"/>
              <w:rPr>
                <w:rFonts w:hint="eastAsia" w:ascii="宋体" w:hAnsi="宋体" w:cs="宋体"/>
                <w:color w:val="auto"/>
                <w:szCs w:val="21"/>
                <w:highlight w:val="none"/>
              </w:rPr>
            </w:pPr>
          </w:p>
        </w:tc>
        <w:tc>
          <w:tcPr>
            <w:tcW w:w="2612" w:type="dxa"/>
            <w:vAlign w:val="center"/>
          </w:tcPr>
          <w:p w14:paraId="7712FE3E">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5807" w:type="dxa"/>
            <w:vAlign w:val="center"/>
          </w:tcPr>
          <w:p w14:paraId="1EA22EA6">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6B5F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3" w:type="dxa"/>
            <w:vMerge w:val="continue"/>
            <w:vAlign w:val="center"/>
          </w:tcPr>
          <w:p w14:paraId="7BDB9BC2">
            <w:pPr>
              <w:jc w:val="center"/>
              <w:rPr>
                <w:rFonts w:hint="eastAsia" w:ascii="宋体" w:hAnsi="宋体" w:cs="宋体"/>
                <w:color w:val="auto"/>
                <w:szCs w:val="21"/>
                <w:highlight w:val="none"/>
              </w:rPr>
            </w:pPr>
          </w:p>
        </w:tc>
        <w:tc>
          <w:tcPr>
            <w:tcW w:w="2612" w:type="dxa"/>
            <w:vAlign w:val="center"/>
          </w:tcPr>
          <w:p w14:paraId="6D9C48DD">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5807" w:type="dxa"/>
            <w:vAlign w:val="center"/>
          </w:tcPr>
          <w:p w14:paraId="00E6D6D8">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6B71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104B3523">
            <w:pPr>
              <w:jc w:val="center"/>
              <w:rPr>
                <w:rFonts w:hint="eastAsia" w:ascii="宋体" w:hAnsi="宋体" w:cs="宋体"/>
                <w:color w:val="auto"/>
                <w:szCs w:val="21"/>
                <w:highlight w:val="none"/>
              </w:rPr>
            </w:pPr>
          </w:p>
        </w:tc>
        <w:tc>
          <w:tcPr>
            <w:tcW w:w="2612" w:type="dxa"/>
            <w:vAlign w:val="center"/>
          </w:tcPr>
          <w:p w14:paraId="1B5B7941">
            <w:pPr>
              <w:pStyle w:val="229"/>
              <w:spacing w:line="240" w:lineRule="exact"/>
              <w:ind w:firstLine="0" w:firstLineChars="0"/>
              <w:jc w:val="center"/>
              <w:rPr>
                <w:rFonts w:hint="eastAsia" w:ascii="宋体" w:hAnsi="宋体" w:cs="宋体"/>
                <w:color w:val="auto"/>
                <w:szCs w:val="21"/>
                <w:highlight w:val="none"/>
              </w:rPr>
            </w:pPr>
            <w:bookmarkStart w:id="343" w:name="_Toc211498661"/>
            <w:bookmarkStart w:id="344" w:name="_Toc193802715"/>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343"/>
            <w:bookmarkEnd w:id="344"/>
          </w:p>
        </w:tc>
        <w:tc>
          <w:tcPr>
            <w:tcW w:w="5807" w:type="dxa"/>
            <w:vAlign w:val="center"/>
          </w:tcPr>
          <w:p w14:paraId="23409D64">
            <w:pPr>
              <w:pStyle w:val="229"/>
              <w:spacing w:line="240" w:lineRule="exact"/>
              <w:ind w:firstLine="0" w:firstLineChars="0"/>
              <w:jc w:val="left"/>
              <w:rPr>
                <w:rFonts w:hint="eastAsia" w:ascii="宋体" w:hAnsi="宋体" w:cs="宋体"/>
                <w:color w:val="auto"/>
                <w:szCs w:val="21"/>
                <w:highlight w:val="none"/>
              </w:rPr>
            </w:pPr>
            <w:bookmarkStart w:id="345" w:name="_Toc211498662"/>
            <w:bookmarkStart w:id="346" w:name="_Toc193802716"/>
            <w:r>
              <w:rPr>
                <w:rFonts w:hint="eastAsia" w:ascii="宋体" w:hAnsi="宋体" w:eastAsia="宋体" w:cs="宋体"/>
                <w:bCs/>
                <w:color w:val="auto"/>
                <w:sz w:val="21"/>
                <w:szCs w:val="21"/>
                <w:highlight w:val="none"/>
                <w:u w:val="none"/>
              </w:rPr>
              <w:t>符合第二章投标人须知第1.4.1项规定</w:t>
            </w:r>
            <w:bookmarkEnd w:id="345"/>
            <w:bookmarkEnd w:id="346"/>
          </w:p>
        </w:tc>
      </w:tr>
      <w:tr w14:paraId="3160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3053BE61">
            <w:pPr>
              <w:jc w:val="center"/>
              <w:rPr>
                <w:rFonts w:hint="eastAsia" w:ascii="宋体" w:hAnsi="宋体" w:cs="宋体"/>
                <w:color w:val="auto"/>
                <w:szCs w:val="21"/>
                <w:highlight w:val="none"/>
              </w:rPr>
            </w:pPr>
          </w:p>
        </w:tc>
        <w:tc>
          <w:tcPr>
            <w:tcW w:w="2612" w:type="dxa"/>
            <w:vAlign w:val="center"/>
          </w:tcPr>
          <w:p w14:paraId="74EC8774">
            <w:pPr>
              <w:pStyle w:val="229"/>
              <w:spacing w:line="240" w:lineRule="exact"/>
              <w:ind w:firstLine="0" w:firstLineChars="0"/>
              <w:jc w:val="center"/>
              <w:rPr>
                <w:rFonts w:hint="eastAsia" w:ascii="宋体" w:hAnsi="宋体" w:cs="宋体"/>
                <w:color w:val="auto"/>
                <w:szCs w:val="21"/>
                <w:highlight w:val="none"/>
              </w:rPr>
            </w:pPr>
            <w:bookmarkStart w:id="347" w:name="_Toc193802717"/>
            <w:bookmarkStart w:id="348" w:name="_Toc211498663"/>
            <w:r>
              <w:rPr>
                <w:rFonts w:hint="eastAsia" w:ascii="宋体" w:hAnsi="宋体" w:eastAsia="宋体" w:cs="宋体"/>
                <w:bCs/>
                <w:color w:val="auto"/>
                <w:sz w:val="21"/>
                <w:szCs w:val="21"/>
                <w:highlight w:val="none"/>
                <w:u w:val="none"/>
              </w:rPr>
              <w:t>法定代表人资格（不适用）</w:t>
            </w:r>
            <w:bookmarkEnd w:id="347"/>
            <w:bookmarkEnd w:id="348"/>
          </w:p>
        </w:tc>
        <w:tc>
          <w:tcPr>
            <w:tcW w:w="5807" w:type="dxa"/>
            <w:vAlign w:val="center"/>
          </w:tcPr>
          <w:p w14:paraId="420E4B46">
            <w:pPr>
              <w:pStyle w:val="229"/>
              <w:spacing w:line="240" w:lineRule="exact"/>
              <w:ind w:firstLine="0" w:firstLineChars="0"/>
              <w:jc w:val="left"/>
              <w:rPr>
                <w:rFonts w:hint="eastAsia" w:ascii="宋体" w:hAnsi="宋体" w:cs="宋体"/>
                <w:color w:val="auto"/>
                <w:szCs w:val="21"/>
                <w:highlight w:val="none"/>
              </w:rPr>
            </w:pPr>
            <w:bookmarkStart w:id="349" w:name="_Toc211498664"/>
            <w:bookmarkStart w:id="350" w:name="_Toc193802718"/>
            <w:r>
              <w:rPr>
                <w:rFonts w:hint="eastAsia" w:ascii="宋体" w:hAnsi="宋体" w:eastAsia="宋体" w:cs="宋体"/>
                <w:bCs/>
                <w:color w:val="auto"/>
                <w:sz w:val="21"/>
                <w:szCs w:val="21"/>
                <w:highlight w:val="none"/>
                <w:u w:val="none"/>
              </w:rPr>
              <w:t>符合第二章投标人须知第1.4.1项规定</w:t>
            </w:r>
            <w:bookmarkEnd w:id="349"/>
            <w:bookmarkEnd w:id="350"/>
          </w:p>
        </w:tc>
      </w:tr>
      <w:tr w14:paraId="2532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11268E7B">
            <w:pPr>
              <w:jc w:val="center"/>
              <w:rPr>
                <w:rFonts w:hint="eastAsia" w:ascii="宋体" w:hAnsi="宋体" w:cs="宋体"/>
                <w:color w:val="auto"/>
                <w:szCs w:val="21"/>
                <w:highlight w:val="none"/>
              </w:rPr>
            </w:pPr>
          </w:p>
        </w:tc>
        <w:tc>
          <w:tcPr>
            <w:tcW w:w="2612" w:type="dxa"/>
            <w:vAlign w:val="center"/>
          </w:tcPr>
          <w:p w14:paraId="17956CCB">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5807" w:type="dxa"/>
            <w:vAlign w:val="center"/>
          </w:tcPr>
          <w:p w14:paraId="10060AFA">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4F35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6EE6834E">
            <w:pPr>
              <w:jc w:val="center"/>
              <w:rPr>
                <w:rFonts w:hint="eastAsia" w:ascii="宋体" w:hAnsi="宋体" w:cs="宋体"/>
                <w:color w:val="auto"/>
                <w:szCs w:val="21"/>
                <w:highlight w:val="none"/>
              </w:rPr>
            </w:pPr>
          </w:p>
        </w:tc>
        <w:tc>
          <w:tcPr>
            <w:tcW w:w="2612" w:type="dxa"/>
            <w:vAlign w:val="center"/>
          </w:tcPr>
          <w:p w14:paraId="21638724">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5807" w:type="dxa"/>
            <w:vAlign w:val="center"/>
          </w:tcPr>
          <w:p w14:paraId="4587C80B">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3FC0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7F0A1EA2">
            <w:pPr>
              <w:jc w:val="center"/>
              <w:rPr>
                <w:rFonts w:hint="eastAsia" w:ascii="宋体" w:hAnsi="宋体" w:cs="宋体"/>
                <w:color w:val="auto"/>
                <w:szCs w:val="21"/>
                <w:highlight w:val="none"/>
              </w:rPr>
            </w:pPr>
          </w:p>
        </w:tc>
        <w:tc>
          <w:tcPr>
            <w:tcW w:w="2612" w:type="dxa"/>
            <w:vAlign w:val="center"/>
          </w:tcPr>
          <w:p w14:paraId="0F002314">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5807" w:type="dxa"/>
            <w:vAlign w:val="center"/>
          </w:tcPr>
          <w:p w14:paraId="14AB62C8">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2FF0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5D0B429E">
            <w:pPr>
              <w:jc w:val="center"/>
              <w:rPr>
                <w:rFonts w:hint="eastAsia" w:ascii="宋体" w:hAnsi="宋体" w:cs="宋体"/>
                <w:color w:val="auto"/>
                <w:szCs w:val="21"/>
                <w:highlight w:val="none"/>
              </w:rPr>
            </w:pPr>
          </w:p>
        </w:tc>
        <w:tc>
          <w:tcPr>
            <w:tcW w:w="2612" w:type="dxa"/>
            <w:vAlign w:val="center"/>
          </w:tcPr>
          <w:p w14:paraId="12B9A457">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807" w:type="dxa"/>
            <w:vAlign w:val="center"/>
          </w:tcPr>
          <w:p w14:paraId="19ADAF13">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223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03" w:type="dxa"/>
            <w:vMerge w:val="continue"/>
            <w:vAlign w:val="center"/>
          </w:tcPr>
          <w:p w14:paraId="735D0ECC">
            <w:pPr>
              <w:jc w:val="center"/>
              <w:rPr>
                <w:rFonts w:hint="eastAsia" w:ascii="宋体" w:hAnsi="宋体" w:cs="宋体"/>
                <w:color w:val="auto"/>
                <w:szCs w:val="21"/>
                <w:highlight w:val="none"/>
              </w:rPr>
            </w:pPr>
          </w:p>
        </w:tc>
        <w:tc>
          <w:tcPr>
            <w:tcW w:w="8419" w:type="dxa"/>
            <w:gridSpan w:val="2"/>
            <w:vAlign w:val="center"/>
          </w:tcPr>
          <w:p w14:paraId="2B3EA7E0">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了重大变化的，由交易系统依据资格预审文件中规定的标准和方法，对照投标人资格预审申请文件中的资料以及开标前更新的资料，对其更新的资料进行评审，其变化后的资格条件不得低于原有资格条件要求。</w:t>
            </w:r>
          </w:p>
          <w:p w14:paraId="64B14C13">
            <w:pPr>
              <w:rPr>
                <w:rFonts w:hint="eastAsia" w:ascii="宋体" w:hAnsi="宋体" w:cs="宋体"/>
                <w:bCs/>
                <w:color w:val="auto"/>
                <w:szCs w:val="21"/>
                <w:highlight w:val="none"/>
              </w:rPr>
            </w:pPr>
            <w:r>
              <w:rPr>
                <w:rFonts w:hint="eastAsia" w:ascii="宋体" w:hAnsi="宋体" w:cs="宋体"/>
                <w:color w:val="auto"/>
                <w:szCs w:val="21"/>
                <w:highlight w:val="none"/>
              </w:rPr>
              <w:t xml:space="preserve">2.未进行资格预审的，由交易系统根据评审标准，对投标人资格进行评审。 </w:t>
            </w:r>
          </w:p>
        </w:tc>
      </w:tr>
    </w:tbl>
    <w:p w14:paraId="578415B6">
      <w:pPr>
        <w:widowControl/>
        <w:jc w:val="left"/>
        <w:rPr>
          <w:color w:val="auto"/>
          <w:highlight w:val="none"/>
        </w:rPr>
        <w:sectPr>
          <w:footerReference r:id="rId10" w:type="first"/>
          <w:footerReference r:id="rId9" w:type="default"/>
          <w:pgSz w:w="11906" w:h="16838"/>
          <w:pgMar w:top="1417" w:right="1553" w:bottom="1417" w:left="1531" w:header="850" w:footer="850" w:gutter="0"/>
          <w:cols w:space="720" w:num="1"/>
          <w:titlePg/>
          <w:docGrid w:type="lines" w:linePitch="315" w:charSpace="0"/>
        </w:sectPr>
      </w:pPr>
    </w:p>
    <w:p w14:paraId="4BD54888">
      <w:pPr>
        <w:widowControl/>
        <w:jc w:val="left"/>
        <w:rPr>
          <w:color w:val="auto"/>
          <w:highlight w:val="none"/>
        </w:rPr>
      </w:pPr>
      <w:r>
        <w:rPr>
          <w:color w:val="auto"/>
          <w:highlight w:val="none"/>
        </w:rPr>
        <w:t>承前页</w:t>
      </w:r>
    </w:p>
    <w:tbl>
      <w:tblPr>
        <w:tblStyle w:val="41"/>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05"/>
        <w:gridCol w:w="1045"/>
        <w:gridCol w:w="702"/>
        <w:gridCol w:w="3079"/>
        <w:gridCol w:w="1090"/>
        <w:gridCol w:w="1651"/>
      </w:tblGrid>
      <w:tr w14:paraId="25A6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Align w:val="center"/>
          </w:tcPr>
          <w:p w14:paraId="0B434560">
            <w:pPr>
              <w:jc w:val="center"/>
              <w:rPr>
                <w:rFonts w:hint="eastAsia" w:ascii="宋体" w:hAnsi="宋体" w:cs="宋体"/>
                <w:bCs/>
                <w:color w:val="auto"/>
                <w:szCs w:val="21"/>
                <w:highlight w:val="none"/>
              </w:rPr>
            </w:pPr>
            <w:r>
              <w:rPr>
                <w:rFonts w:hint="eastAsia" w:ascii="宋体" w:hAnsi="宋体" w:cs="宋体"/>
                <w:bCs/>
                <w:color w:val="auto"/>
                <w:szCs w:val="21"/>
                <w:highlight w:val="none"/>
              </w:rPr>
              <w:t>2.2条款号</w:t>
            </w:r>
          </w:p>
        </w:tc>
        <w:tc>
          <w:tcPr>
            <w:tcW w:w="2552" w:type="dxa"/>
            <w:gridSpan w:val="3"/>
            <w:vAlign w:val="center"/>
          </w:tcPr>
          <w:p w14:paraId="4142C971">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20" w:type="dxa"/>
            <w:gridSpan w:val="3"/>
            <w:vAlign w:val="center"/>
          </w:tcPr>
          <w:p w14:paraId="4D75B80D">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1DF1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87" w:type="dxa"/>
            <w:vMerge w:val="restart"/>
            <w:vAlign w:val="center"/>
          </w:tcPr>
          <w:p w14:paraId="6744D0A6">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372" w:type="dxa"/>
            <w:gridSpan w:val="6"/>
            <w:vAlign w:val="center"/>
          </w:tcPr>
          <w:p w14:paraId="7532973D">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27DA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026876CD">
            <w:pPr>
              <w:jc w:val="center"/>
              <w:rPr>
                <w:rFonts w:hint="eastAsia" w:ascii="宋体" w:hAnsi="宋体" w:cs="宋体"/>
                <w:color w:val="auto"/>
                <w:szCs w:val="21"/>
                <w:highlight w:val="none"/>
              </w:rPr>
            </w:pPr>
          </w:p>
        </w:tc>
        <w:tc>
          <w:tcPr>
            <w:tcW w:w="2552" w:type="dxa"/>
            <w:gridSpan w:val="3"/>
            <w:vAlign w:val="center"/>
          </w:tcPr>
          <w:p w14:paraId="5D11C078">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820" w:type="dxa"/>
            <w:gridSpan w:val="3"/>
            <w:vAlign w:val="center"/>
          </w:tcPr>
          <w:p w14:paraId="37453487">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173A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1087" w:type="dxa"/>
            <w:vMerge w:val="continue"/>
            <w:vAlign w:val="center"/>
          </w:tcPr>
          <w:p w14:paraId="1BEB6C2A">
            <w:pPr>
              <w:jc w:val="center"/>
              <w:rPr>
                <w:rFonts w:hint="eastAsia" w:ascii="宋体" w:hAnsi="宋体" w:cs="宋体"/>
                <w:color w:val="auto"/>
                <w:szCs w:val="21"/>
                <w:highlight w:val="none"/>
              </w:rPr>
            </w:pPr>
          </w:p>
        </w:tc>
        <w:tc>
          <w:tcPr>
            <w:tcW w:w="2552" w:type="dxa"/>
            <w:gridSpan w:val="3"/>
            <w:vAlign w:val="center"/>
          </w:tcPr>
          <w:p w14:paraId="1145A534">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820" w:type="dxa"/>
            <w:gridSpan w:val="3"/>
            <w:vAlign w:val="center"/>
          </w:tcPr>
          <w:p w14:paraId="215C9EAD">
            <w:pPr>
              <w:rPr>
                <w:rFonts w:ascii="Calibri" w:hAnsi="Calibri" w:cs="Calibri"/>
                <w:color w:val="auto"/>
                <w:szCs w:val="21"/>
                <w:highlight w:val="none"/>
              </w:rPr>
            </w:pPr>
            <w:r>
              <w:rPr>
                <w:rFonts w:hint="eastAsia" w:ascii="Calibri" w:hAnsi="Calibri" w:cs="Calibri"/>
                <w:color w:val="auto"/>
                <w:szCs w:val="21"/>
                <w:highlight w:val="none"/>
              </w:rPr>
              <w:t>投标报价未超过招标文件规定的最高投标限价；</w:t>
            </w:r>
          </w:p>
          <w:p w14:paraId="6399301F">
            <w:pPr>
              <w:rPr>
                <w:rFonts w:ascii="Calibri" w:hAnsi="Calibri" w:cs="Calibri"/>
                <w:color w:val="auto"/>
                <w:szCs w:val="21"/>
                <w:highlight w:val="none"/>
              </w:rPr>
            </w:pPr>
            <w:r>
              <w:rPr>
                <w:rFonts w:hint="eastAsia" w:ascii="Calibri" w:hAnsi="Calibri" w:cs="Calibri"/>
                <w:color w:val="auto"/>
                <w:szCs w:val="21"/>
                <w:highlight w:val="none"/>
              </w:rPr>
              <w:t>投标报价中的安全生产措施费费率未低于省住房城乡建设主管部门公布的费率；</w:t>
            </w:r>
          </w:p>
          <w:p w14:paraId="0A4ADFD0">
            <w:pPr>
              <w:rPr>
                <w:rFonts w:ascii="Calibri" w:hAnsi="Calibri" w:cs="Calibri"/>
                <w:color w:val="auto"/>
                <w:szCs w:val="21"/>
                <w:highlight w:val="none"/>
              </w:rPr>
            </w:pPr>
            <w:r>
              <w:rPr>
                <w:rFonts w:hint="eastAsia" w:ascii="Calibri" w:hAnsi="Calibri" w:cs="Calibri"/>
                <w:color w:val="auto"/>
                <w:szCs w:val="21"/>
                <w:highlight w:val="none"/>
              </w:rPr>
              <w:t>投标报价中的增值税按照政府有关主管部门的规定计算费用；</w:t>
            </w:r>
          </w:p>
          <w:p w14:paraId="43CACC33">
            <w:pPr>
              <w:rPr>
                <w:rFonts w:ascii="Calibri" w:hAnsi="Calibri" w:cs="Calibri"/>
                <w:color w:val="auto"/>
                <w:szCs w:val="21"/>
                <w:highlight w:val="none"/>
              </w:rPr>
            </w:pPr>
            <w:r>
              <w:rPr>
                <w:rFonts w:hint="eastAsia" w:ascii="Calibri" w:hAnsi="Calibri" w:cs="Calibri"/>
                <w:color w:val="auto"/>
                <w:szCs w:val="21"/>
                <w:highlight w:val="none"/>
              </w:rPr>
              <w:t>投标报价中的暂列金额和专业工程暂估价金额和材料暂估单价与招标人公布的暂列金额和专业工程暂估价金额和材料暂估单价保持一致的；</w:t>
            </w:r>
          </w:p>
          <w:p w14:paraId="3B41C356">
            <w:pPr>
              <w:rPr>
                <w:rFonts w:hint="eastAsia" w:ascii="宋体" w:hAnsi="宋体" w:cs="宋体"/>
                <w:color w:val="auto"/>
                <w:szCs w:val="21"/>
                <w:highlight w:val="none"/>
              </w:rPr>
            </w:pPr>
            <w:r>
              <w:rPr>
                <w:rFonts w:hint="eastAsia" w:ascii="Calibri" w:hAnsi="Calibri" w:cs="Calibri"/>
                <w:color w:val="auto"/>
                <w:szCs w:val="21"/>
                <w:highlight w:val="none"/>
              </w:rPr>
              <w:t>投标报价中的分部分项工程项目清单（不含在分部分项工程项目清单中列项的措施项目费）项目编码、项目名称、项目特征、计量单位和工程数量与招标</w:t>
            </w:r>
            <w:r>
              <w:rPr>
                <w:rFonts w:hint="eastAsia" w:ascii="Calibri" w:hAnsi="Calibri" w:cs="Calibri"/>
                <w:color w:val="auto"/>
                <w:szCs w:val="21"/>
                <w:highlight w:val="none"/>
                <w:lang w:eastAsia="zh"/>
              </w:rPr>
              <w:t>人公布的</w:t>
            </w:r>
            <w:r>
              <w:rPr>
                <w:rFonts w:hint="eastAsia" w:ascii="Calibri" w:hAnsi="Calibri" w:cs="Calibri"/>
                <w:color w:val="auto"/>
                <w:szCs w:val="21"/>
                <w:highlight w:val="none"/>
              </w:rPr>
              <w:t>分部分项工程项目清单（不含在分部分项工程项目清单中列项的措施项目费）项目编码、项目名称、项目特征、计量单位和工程数量保持一致的（适用于采用单价合同的工程）。</w:t>
            </w:r>
          </w:p>
        </w:tc>
      </w:tr>
      <w:tr w14:paraId="3F06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61366737">
            <w:pPr>
              <w:jc w:val="center"/>
              <w:rPr>
                <w:rFonts w:hint="eastAsia" w:ascii="宋体" w:hAnsi="宋体" w:cs="宋体"/>
                <w:color w:val="auto"/>
                <w:szCs w:val="21"/>
                <w:highlight w:val="none"/>
              </w:rPr>
            </w:pPr>
          </w:p>
        </w:tc>
        <w:tc>
          <w:tcPr>
            <w:tcW w:w="2552" w:type="dxa"/>
            <w:gridSpan w:val="3"/>
            <w:vAlign w:val="center"/>
          </w:tcPr>
          <w:p w14:paraId="675FCC75">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820" w:type="dxa"/>
            <w:gridSpan w:val="3"/>
            <w:vAlign w:val="center"/>
          </w:tcPr>
          <w:p w14:paraId="33F0EA3C">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0C58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038EF221">
            <w:pPr>
              <w:jc w:val="center"/>
              <w:rPr>
                <w:rFonts w:hint="eastAsia" w:ascii="宋体" w:hAnsi="宋体" w:cs="宋体"/>
                <w:color w:val="auto"/>
                <w:szCs w:val="21"/>
                <w:highlight w:val="none"/>
              </w:rPr>
            </w:pPr>
          </w:p>
        </w:tc>
        <w:tc>
          <w:tcPr>
            <w:tcW w:w="2552" w:type="dxa"/>
            <w:gridSpan w:val="3"/>
            <w:vAlign w:val="center"/>
          </w:tcPr>
          <w:p w14:paraId="642CADE0">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5820" w:type="dxa"/>
            <w:gridSpan w:val="3"/>
            <w:vAlign w:val="center"/>
          </w:tcPr>
          <w:p w14:paraId="345E222E">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4488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1C7558BF">
            <w:pPr>
              <w:jc w:val="center"/>
              <w:rPr>
                <w:rFonts w:hint="eastAsia" w:ascii="宋体" w:hAnsi="宋体" w:cs="宋体"/>
                <w:color w:val="auto"/>
                <w:szCs w:val="21"/>
                <w:highlight w:val="none"/>
              </w:rPr>
            </w:pPr>
          </w:p>
        </w:tc>
        <w:tc>
          <w:tcPr>
            <w:tcW w:w="2552" w:type="dxa"/>
            <w:gridSpan w:val="3"/>
            <w:vAlign w:val="center"/>
          </w:tcPr>
          <w:p w14:paraId="78250E4E">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w:t>
            </w:r>
            <w:r>
              <w:rPr>
                <w:rFonts w:hint="eastAsia" w:ascii="宋体" w:hAnsi="宋体" w:cs="宋体"/>
                <w:color w:val="auto"/>
                <w:szCs w:val="21"/>
                <w:highlight w:val="none"/>
              </w:rPr>
              <w:t>报送</w:t>
            </w:r>
          </w:p>
        </w:tc>
        <w:tc>
          <w:tcPr>
            <w:tcW w:w="5820" w:type="dxa"/>
            <w:gridSpan w:val="3"/>
            <w:vAlign w:val="center"/>
          </w:tcPr>
          <w:p w14:paraId="7DE330C0">
            <w:pPr>
              <w:rPr>
                <w:rFonts w:hint="eastAsia" w:ascii="宋体" w:hAnsi="宋体" w:cs="宋体"/>
                <w:color w:val="auto"/>
                <w:kern w:val="0"/>
                <w:szCs w:val="21"/>
                <w:highlight w:val="none"/>
              </w:rPr>
            </w:pPr>
            <w:r>
              <w:rPr>
                <w:rFonts w:hint="eastAsia" w:ascii="Calibri" w:hAnsi="Calibri" w:cs="Calibri"/>
                <w:color w:val="auto"/>
                <w:szCs w:val="21"/>
                <w:highlight w:val="none"/>
              </w:rPr>
              <w:t xml:space="preserve">符合第二章“投标人须知”的规定   </w:t>
            </w:r>
          </w:p>
        </w:tc>
      </w:tr>
      <w:tr w14:paraId="56E4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87" w:type="dxa"/>
            <w:vMerge w:val="continue"/>
            <w:vAlign w:val="center"/>
          </w:tcPr>
          <w:p w14:paraId="31AFF773">
            <w:pPr>
              <w:jc w:val="center"/>
              <w:rPr>
                <w:rFonts w:hint="eastAsia" w:ascii="宋体" w:hAnsi="宋体" w:cs="宋体"/>
                <w:color w:val="auto"/>
                <w:szCs w:val="21"/>
                <w:highlight w:val="none"/>
              </w:rPr>
            </w:pPr>
          </w:p>
        </w:tc>
        <w:tc>
          <w:tcPr>
            <w:tcW w:w="2552" w:type="dxa"/>
            <w:gridSpan w:val="3"/>
            <w:vAlign w:val="center"/>
          </w:tcPr>
          <w:p w14:paraId="08408DE7">
            <w:pPr>
              <w:jc w:val="center"/>
              <w:rPr>
                <w:rFonts w:ascii="Calibri" w:hAnsi="Calibri" w:cs="Calibri"/>
                <w:color w:val="auto"/>
                <w:szCs w:val="21"/>
                <w:highlight w:val="none"/>
              </w:rPr>
            </w:pPr>
            <w:r>
              <w:rPr>
                <w:rFonts w:hint="eastAsia" w:ascii="宋体" w:hAnsi="宋体" w:cs="宋体"/>
                <w:bCs/>
                <w:color w:val="auto"/>
                <w:szCs w:val="21"/>
                <w:highlight w:val="none"/>
              </w:rPr>
              <w:t>拟任项目经理在建情况</w:t>
            </w:r>
          </w:p>
        </w:tc>
        <w:tc>
          <w:tcPr>
            <w:tcW w:w="5820" w:type="dxa"/>
            <w:gridSpan w:val="3"/>
            <w:vAlign w:val="center"/>
          </w:tcPr>
          <w:p w14:paraId="16A6F492">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符合第二章投标人须知规定</w:t>
            </w:r>
          </w:p>
        </w:tc>
      </w:tr>
      <w:tr w14:paraId="50F3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087" w:type="dxa"/>
            <w:vMerge w:val="continue"/>
            <w:vAlign w:val="center"/>
          </w:tcPr>
          <w:p w14:paraId="23474D61">
            <w:pPr>
              <w:jc w:val="center"/>
              <w:rPr>
                <w:rFonts w:hint="eastAsia" w:ascii="宋体" w:hAnsi="宋体" w:cs="宋体"/>
                <w:color w:val="auto"/>
                <w:szCs w:val="21"/>
                <w:highlight w:val="none"/>
              </w:rPr>
            </w:pPr>
          </w:p>
        </w:tc>
        <w:tc>
          <w:tcPr>
            <w:tcW w:w="2552" w:type="dxa"/>
            <w:gridSpan w:val="3"/>
            <w:vAlign w:val="center"/>
          </w:tcPr>
          <w:p w14:paraId="349C3B75">
            <w:pPr>
              <w:jc w:val="center"/>
              <w:rPr>
                <w:rFonts w:ascii="Calibri" w:hAnsi="Calibri" w:cs="Calibri"/>
                <w:color w:val="auto"/>
                <w:szCs w:val="21"/>
                <w:highlight w:val="none"/>
              </w:rPr>
            </w:pPr>
            <w:r>
              <w:rPr>
                <w:rFonts w:hint="eastAsia" w:ascii="宋体" w:hAnsi="宋体" w:cs="宋体"/>
                <w:bCs/>
                <w:color w:val="auto"/>
                <w:szCs w:val="21"/>
                <w:highlight w:val="none"/>
              </w:rPr>
              <w:t>投标保证金</w:t>
            </w:r>
          </w:p>
        </w:tc>
        <w:tc>
          <w:tcPr>
            <w:tcW w:w="5820" w:type="dxa"/>
            <w:gridSpan w:val="3"/>
            <w:vAlign w:val="center"/>
          </w:tcPr>
          <w:p w14:paraId="62E25ED7">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2DCA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689A4F05">
            <w:pPr>
              <w:jc w:val="center"/>
              <w:rPr>
                <w:rFonts w:hint="eastAsia" w:ascii="宋体" w:hAnsi="宋体" w:cs="宋体"/>
                <w:color w:val="auto"/>
                <w:szCs w:val="21"/>
                <w:highlight w:val="none"/>
              </w:rPr>
            </w:pPr>
          </w:p>
        </w:tc>
        <w:tc>
          <w:tcPr>
            <w:tcW w:w="2552" w:type="dxa"/>
            <w:gridSpan w:val="3"/>
            <w:vAlign w:val="center"/>
          </w:tcPr>
          <w:p w14:paraId="42A63E09">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820" w:type="dxa"/>
            <w:gridSpan w:val="3"/>
            <w:vAlign w:val="center"/>
          </w:tcPr>
          <w:p w14:paraId="66372AEF">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4F63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87" w:type="dxa"/>
            <w:vMerge w:val="continue"/>
            <w:vAlign w:val="center"/>
          </w:tcPr>
          <w:p w14:paraId="0BACA1A6">
            <w:pPr>
              <w:jc w:val="center"/>
              <w:rPr>
                <w:rFonts w:hint="eastAsia" w:ascii="宋体" w:hAnsi="宋体" w:cs="宋体"/>
                <w:color w:val="auto"/>
                <w:szCs w:val="21"/>
                <w:highlight w:val="none"/>
              </w:rPr>
            </w:pPr>
          </w:p>
        </w:tc>
        <w:tc>
          <w:tcPr>
            <w:tcW w:w="2552" w:type="dxa"/>
            <w:gridSpan w:val="3"/>
            <w:vAlign w:val="center"/>
          </w:tcPr>
          <w:p w14:paraId="25B92960">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5820" w:type="dxa"/>
            <w:gridSpan w:val="3"/>
            <w:vAlign w:val="center"/>
          </w:tcPr>
          <w:p w14:paraId="0F230309">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479F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87" w:type="dxa"/>
            <w:vMerge w:val="continue"/>
            <w:vAlign w:val="center"/>
          </w:tcPr>
          <w:p w14:paraId="248A4D80">
            <w:pPr>
              <w:jc w:val="center"/>
              <w:rPr>
                <w:rFonts w:hint="eastAsia" w:ascii="宋体" w:hAnsi="宋体" w:cs="宋体"/>
                <w:color w:val="auto"/>
                <w:szCs w:val="21"/>
                <w:highlight w:val="none"/>
              </w:rPr>
            </w:pPr>
          </w:p>
        </w:tc>
        <w:tc>
          <w:tcPr>
            <w:tcW w:w="2552" w:type="dxa"/>
            <w:gridSpan w:val="3"/>
            <w:vAlign w:val="center"/>
          </w:tcPr>
          <w:p w14:paraId="2DD61870">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5820" w:type="dxa"/>
            <w:gridSpan w:val="3"/>
            <w:vAlign w:val="center"/>
          </w:tcPr>
          <w:p w14:paraId="35E37D45">
            <w:pPr>
              <w:pStyle w:val="224"/>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rPr>
              <w:t>符合第七章技术标准和要求（合同技术条款）的规定</w:t>
            </w:r>
          </w:p>
        </w:tc>
      </w:tr>
      <w:tr w14:paraId="5F4E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87" w:type="dxa"/>
            <w:vMerge w:val="continue"/>
            <w:vAlign w:val="center"/>
          </w:tcPr>
          <w:p w14:paraId="7824AF38">
            <w:pPr>
              <w:jc w:val="center"/>
              <w:rPr>
                <w:rFonts w:hint="eastAsia" w:ascii="宋体" w:hAnsi="宋体" w:cs="宋体"/>
                <w:color w:val="auto"/>
                <w:szCs w:val="21"/>
                <w:highlight w:val="none"/>
              </w:rPr>
            </w:pPr>
          </w:p>
        </w:tc>
        <w:tc>
          <w:tcPr>
            <w:tcW w:w="2552" w:type="dxa"/>
            <w:gridSpan w:val="3"/>
            <w:vAlign w:val="center"/>
          </w:tcPr>
          <w:p w14:paraId="2718FC2B">
            <w:pPr>
              <w:spacing w:after="0"/>
              <w:jc w:val="center"/>
              <w:rPr>
                <w:rFonts w:hint="eastAsia" w:ascii="宋体" w:hAnsi="宋体" w:cs="宋体"/>
                <w:bCs/>
                <w:color w:val="auto"/>
                <w:szCs w:val="21"/>
                <w:highlight w:val="none"/>
              </w:rPr>
            </w:pPr>
            <w:r>
              <w:rPr>
                <w:rFonts w:hint="eastAsia"/>
                <w:color w:val="auto"/>
                <w:highlight w:val="none"/>
              </w:rPr>
              <w:t>党建工作要求</w:t>
            </w:r>
          </w:p>
        </w:tc>
        <w:tc>
          <w:tcPr>
            <w:tcW w:w="5820" w:type="dxa"/>
            <w:gridSpan w:val="3"/>
            <w:vAlign w:val="center"/>
          </w:tcPr>
          <w:p w14:paraId="6B30B390">
            <w:pPr>
              <w:spacing w:after="0"/>
              <w:rPr>
                <w:rFonts w:hint="eastAsia" w:ascii="宋体" w:hAnsi="宋体" w:cs="宋体"/>
                <w:bCs/>
                <w:color w:val="auto"/>
                <w:szCs w:val="21"/>
                <w:highlight w:val="none"/>
              </w:rPr>
            </w:pPr>
            <w:r>
              <w:rPr>
                <w:rFonts w:hint="eastAsia"/>
                <w:color w:val="auto"/>
                <w:highlight w:val="none"/>
              </w:rPr>
              <w:t>符合第二章投标人须知前附表第10.19.5款规定</w:t>
            </w:r>
          </w:p>
        </w:tc>
      </w:tr>
      <w:tr w14:paraId="5D6D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7" w:type="dxa"/>
            <w:vMerge w:val="continue"/>
            <w:vAlign w:val="center"/>
          </w:tcPr>
          <w:p w14:paraId="5BBFF2A7">
            <w:pPr>
              <w:jc w:val="center"/>
              <w:rPr>
                <w:rFonts w:hint="eastAsia" w:ascii="宋体" w:hAnsi="宋体" w:cs="宋体"/>
                <w:color w:val="auto"/>
                <w:szCs w:val="21"/>
                <w:highlight w:val="none"/>
              </w:rPr>
            </w:pPr>
          </w:p>
        </w:tc>
        <w:tc>
          <w:tcPr>
            <w:tcW w:w="2552" w:type="dxa"/>
            <w:gridSpan w:val="3"/>
            <w:vAlign w:val="center"/>
          </w:tcPr>
          <w:p w14:paraId="0FB08C5D">
            <w:pPr>
              <w:jc w:val="center"/>
              <w:rPr>
                <w:rFonts w:hint="eastAsia" w:ascii="宋体" w:hAnsi="宋体" w:cs="宋体"/>
                <w:color w:val="auto"/>
                <w:szCs w:val="21"/>
                <w:highlight w:val="none"/>
              </w:rPr>
            </w:pPr>
            <w:r>
              <w:rPr>
                <w:rFonts w:hint="eastAsia" w:ascii="宋体" w:hAnsi="宋体" w:cs="宋体"/>
                <w:bCs/>
                <w:color w:val="auto"/>
                <w:szCs w:val="21"/>
                <w:highlight w:val="none"/>
              </w:rPr>
              <w:t>工程结算款支付账户（不适用）</w:t>
            </w:r>
          </w:p>
        </w:tc>
        <w:tc>
          <w:tcPr>
            <w:tcW w:w="5820" w:type="dxa"/>
            <w:gridSpan w:val="3"/>
            <w:vAlign w:val="center"/>
          </w:tcPr>
          <w:p w14:paraId="18D1AAAF">
            <w:pPr>
              <w:pStyle w:val="224"/>
              <w:rPr>
                <w:rFonts w:hint="eastAsia" w:ascii="宋体" w:hAnsi="宋体" w:cs="宋体"/>
                <w:color w:val="auto"/>
                <w:szCs w:val="21"/>
                <w:highlight w:val="none"/>
              </w:rPr>
            </w:pPr>
            <w:r>
              <w:rPr>
                <w:rFonts w:hint="eastAsia" w:ascii="宋体" w:hAnsi="宋体" w:eastAsia="宋体" w:cs="宋体"/>
                <w:color w:val="auto"/>
                <w:kern w:val="2"/>
                <w:sz w:val="21"/>
                <w:szCs w:val="21"/>
                <w:highlight w:val="none"/>
              </w:rPr>
              <w:t>符合第二章投标人须知第10条的规定</w:t>
            </w:r>
          </w:p>
        </w:tc>
      </w:tr>
      <w:tr w14:paraId="77DC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1087" w:type="dxa"/>
            <w:vAlign w:val="center"/>
          </w:tcPr>
          <w:p w14:paraId="028D9382">
            <w:pPr>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2552" w:type="dxa"/>
            <w:gridSpan w:val="3"/>
            <w:vAlign w:val="center"/>
          </w:tcPr>
          <w:p w14:paraId="2CF658D2">
            <w:pPr>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14:paraId="3969DBDB">
            <w:pPr>
              <w:jc w:val="center"/>
              <w:rPr>
                <w:rFonts w:hint="eastAsia" w:ascii="宋体" w:hAnsi="宋体" w:cs="宋体"/>
                <w:color w:val="auto"/>
                <w:szCs w:val="21"/>
                <w:highlight w:val="none"/>
              </w:rPr>
            </w:pPr>
            <w:r>
              <w:rPr>
                <w:rFonts w:hint="eastAsia" w:ascii="宋体" w:hAnsi="宋体" w:cs="宋体"/>
                <w:color w:val="auto"/>
                <w:szCs w:val="21"/>
                <w:highlight w:val="none"/>
              </w:rPr>
              <w:t>（总权值1）</w:t>
            </w:r>
          </w:p>
        </w:tc>
        <w:tc>
          <w:tcPr>
            <w:tcW w:w="5820" w:type="dxa"/>
            <w:gridSpan w:val="3"/>
            <w:vAlign w:val="center"/>
          </w:tcPr>
          <w:p w14:paraId="410FFEB8">
            <w:pPr>
              <w:rPr>
                <w:rFonts w:ascii="Calibri" w:hAnsi="Calibri" w:cs="Calibri"/>
                <w:color w:val="auto"/>
                <w:highlight w:val="none"/>
              </w:rPr>
            </w:pPr>
            <w:r>
              <w:rPr>
                <w:rFonts w:hint="eastAsia" w:ascii="Calibri" w:hAnsi="Calibri" w:cs="Calibri"/>
                <w:color w:val="auto"/>
                <w:highlight w:val="none"/>
              </w:rPr>
              <w:t>第一阶段：（第一阶段技术评审后进入第二阶段报价评审的投标人占合格投标人数量的70%（按向上取整原则），末位得分相同的合格投标人全部进入第二阶段评审。</w:t>
            </w:r>
          </w:p>
          <w:p w14:paraId="3A3F394B">
            <w:pPr>
              <w:rPr>
                <w:rFonts w:ascii="Calibri" w:hAnsi="Calibri" w:cs="Calibri"/>
                <w:color w:val="auto"/>
                <w:highlight w:val="none"/>
              </w:rPr>
            </w:pPr>
            <w:r>
              <w:rPr>
                <w:rFonts w:hint="eastAsia" w:ascii="Calibri" w:hAnsi="Calibri" w:cs="Calibri"/>
                <w:color w:val="auto"/>
                <w:highlight w:val="none"/>
              </w:rPr>
              <w:t>第一阶段权值构成：</w:t>
            </w:r>
          </w:p>
          <w:p w14:paraId="57AFE1F4">
            <w:pPr>
              <w:rPr>
                <w:rFonts w:ascii="Calibri" w:hAnsi="Calibri" w:cs="Calibri"/>
                <w:color w:val="auto"/>
                <w:highlight w:val="none"/>
              </w:rPr>
            </w:pPr>
            <w:r>
              <w:rPr>
                <w:rFonts w:hint="eastAsia" w:ascii="Calibri" w:hAnsi="Calibri" w:cs="Calibri"/>
                <w:color w:val="auto"/>
                <w:highlight w:val="none"/>
              </w:rPr>
              <w:t>技术权重范围：</w:t>
            </w:r>
            <w:r>
              <w:rPr>
                <w:rFonts w:hint="eastAsia" w:ascii="Calibri" w:hAnsi="Calibri" w:cs="Calibri"/>
                <w:color w:val="auto"/>
                <w:highlight w:val="none"/>
                <w:u w:val="single"/>
              </w:rPr>
              <w:t xml:space="preserve">      </w:t>
            </w:r>
            <w:r>
              <w:rPr>
                <w:rFonts w:hint="eastAsia" w:ascii="Calibri" w:hAnsi="Calibri" w:cs="Calibri"/>
                <w:color w:val="auto"/>
                <w:highlight w:val="none"/>
              </w:rPr>
              <w:t xml:space="preserve"> （30%-40%） ；</w:t>
            </w:r>
          </w:p>
          <w:p w14:paraId="61A9A890">
            <w:pPr>
              <w:rPr>
                <w:rFonts w:ascii="Calibri" w:hAnsi="Calibri" w:cs="Calibri"/>
                <w:color w:val="auto"/>
                <w:highlight w:val="none"/>
                <w:u w:val="single"/>
              </w:rPr>
            </w:pPr>
            <w:r>
              <w:rPr>
                <w:rFonts w:hint="eastAsia" w:ascii="Calibri" w:hAnsi="Calibri" w:cs="Calibri"/>
                <w:color w:val="auto"/>
                <w:highlight w:val="none"/>
              </w:rPr>
              <w:t xml:space="preserve">商务权重范围 </w:t>
            </w:r>
            <w:r>
              <w:rPr>
                <w:rFonts w:hint="eastAsia" w:ascii="Calibri" w:hAnsi="Calibri" w:cs="Calibri"/>
                <w:color w:val="auto"/>
                <w:highlight w:val="none"/>
                <w:u w:val="single"/>
              </w:rPr>
              <w:t xml:space="preserve">      </w:t>
            </w:r>
            <w:r>
              <w:rPr>
                <w:rFonts w:hint="eastAsia" w:ascii="Calibri" w:hAnsi="Calibri" w:cs="Calibri"/>
                <w:color w:val="auto"/>
                <w:highlight w:val="none"/>
              </w:rPr>
              <w:t xml:space="preserve">（60%-70%），包括：类似工程业绩 </w:t>
            </w:r>
            <w:r>
              <w:rPr>
                <w:rFonts w:hint="eastAsia" w:ascii="Calibri" w:hAnsi="Calibri" w:cs="Calibri"/>
                <w:color w:val="auto"/>
                <w:highlight w:val="none"/>
                <w:u w:val="single"/>
              </w:rPr>
              <w:t xml:space="preserve">     </w:t>
            </w:r>
          </w:p>
          <w:p w14:paraId="1EF8808D">
            <w:pPr>
              <w:rPr>
                <w:rFonts w:ascii="Calibri" w:hAnsi="Calibri" w:cs="Calibri"/>
                <w:color w:val="auto"/>
                <w:highlight w:val="none"/>
              </w:rPr>
            </w:pPr>
            <w:r>
              <w:rPr>
                <w:rFonts w:hint="eastAsia" w:ascii="Calibri" w:hAnsi="Calibri" w:cs="Calibri"/>
                <w:color w:val="auto"/>
                <w:highlight w:val="none"/>
              </w:rPr>
              <w:t>（60%-70%）、信用</w:t>
            </w:r>
            <w:r>
              <w:rPr>
                <w:rFonts w:hint="eastAsia" w:ascii="Calibri" w:hAnsi="Calibri" w:cs="Calibri"/>
                <w:color w:val="auto"/>
                <w:highlight w:val="none"/>
                <w:u w:val="single"/>
              </w:rPr>
              <w:t xml:space="preserve">      </w:t>
            </w:r>
            <w:r>
              <w:rPr>
                <w:rFonts w:hint="eastAsia" w:ascii="Calibri" w:hAnsi="Calibri" w:cs="Calibri"/>
                <w:color w:val="auto"/>
                <w:highlight w:val="none"/>
              </w:rPr>
              <w:t xml:space="preserve"> （30%-40%）。</w:t>
            </w:r>
          </w:p>
        </w:tc>
      </w:tr>
      <w:tr w14:paraId="2621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87" w:type="dxa"/>
            <w:vMerge w:val="restart"/>
            <w:vAlign w:val="center"/>
          </w:tcPr>
          <w:p w14:paraId="399FDB22">
            <w:pPr>
              <w:jc w:val="center"/>
              <w:rPr>
                <w:rFonts w:hint="eastAsia" w:ascii="宋体" w:hAnsi="宋体" w:cs="宋体"/>
                <w:color w:val="auto"/>
                <w:szCs w:val="21"/>
                <w:highlight w:val="none"/>
              </w:rPr>
            </w:pPr>
            <w:r>
              <w:rPr>
                <w:rFonts w:hint="eastAsia" w:ascii="宋体" w:hAnsi="宋体" w:cs="宋体"/>
                <w:bCs/>
                <w:color w:val="auto"/>
                <w:szCs w:val="21"/>
                <w:highlight w:val="none"/>
              </w:rPr>
              <w:t>条款号</w:t>
            </w:r>
          </w:p>
        </w:tc>
        <w:tc>
          <w:tcPr>
            <w:tcW w:w="2552" w:type="dxa"/>
            <w:gridSpan w:val="3"/>
            <w:vMerge w:val="restart"/>
            <w:vAlign w:val="center"/>
          </w:tcPr>
          <w:p w14:paraId="331166B3">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3079" w:type="dxa"/>
            <w:vMerge w:val="restart"/>
            <w:vAlign w:val="center"/>
          </w:tcPr>
          <w:p w14:paraId="3A0A08F0">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评审标准 </w:t>
            </w:r>
          </w:p>
        </w:tc>
        <w:tc>
          <w:tcPr>
            <w:tcW w:w="2741" w:type="dxa"/>
            <w:gridSpan w:val="2"/>
            <w:vAlign w:val="center"/>
          </w:tcPr>
          <w:p w14:paraId="6B4C50B4">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评审结论 </w:t>
            </w:r>
          </w:p>
        </w:tc>
      </w:tr>
      <w:tr w14:paraId="324F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7" w:type="dxa"/>
            <w:vMerge w:val="continue"/>
            <w:vAlign w:val="center"/>
          </w:tcPr>
          <w:p w14:paraId="293B05A4">
            <w:pPr>
              <w:jc w:val="center"/>
              <w:rPr>
                <w:rFonts w:hint="eastAsia" w:ascii="宋体" w:hAnsi="宋体" w:cs="宋体"/>
                <w:bCs/>
                <w:color w:val="auto"/>
                <w:szCs w:val="21"/>
                <w:highlight w:val="none"/>
              </w:rPr>
            </w:pPr>
          </w:p>
        </w:tc>
        <w:tc>
          <w:tcPr>
            <w:tcW w:w="2552" w:type="dxa"/>
            <w:gridSpan w:val="3"/>
            <w:vMerge w:val="continue"/>
            <w:vAlign w:val="center"/>
          </w:tcPr>
          <w:p w14:paraId="0CFECB5B">
            <w:pPr>
              <w:jc w:val="center"/>
              <w:rPr>
                <w:rFonts w:hint="eastAsia" w:ascii="宋体" w:hAnsi="宋体" w:cs="宋体"/>
                <w:bCs/>
                <w:color w:val="auto"/>
                <w:szCs w:val="21"/>
                <w:highlight w:val="none"/>
              </w:rPr>
            </w:pPr>
          </w:p>
        </w:tc>
        <w:tc>
          <w:tcPr>
            <w:tcW w:w="3079" w:type="dxa"/>
            <w:vMerge w:val="continue"/>
            <w:vAlign w:val="center"/>
          </w:tcPr>
          <w:p w14:paraId="0A61A8FC">
            <w:pPr>
              <w:jc w:val="center"/>
              <w:rPr>
                <w:rFonts w:hint="eastAsia" w:ascii="宋体" w:hAnsi="宋体" w:cs="宋体"/>
                <w:bCs/>
                <w:color w:val="auto"/>
                <w:szCs w:val="21"/>
                <w:highlight w:val="none"/>
              </w:rPr>
            </w:pPr>
          </w:p>
        </w:tc>
        <w:tc>
          <w:tcPr>
            <w:tcW w:w="1090" w:type="dxa"/>
            <w:vMerge w:val="restart"/>
            <w:vAlign w:val="center"/>
          </w:tcPr>
          <w:p w14:paraId="254BC361">
            <w:pPr>
              <w:jc w:val="center"/>
              <w:rPr>
                <w:rFonts w:hint="eastAsia" w:ascii="宋体" w:hAnsi="宋体" w:cs="宋体"/>
                <w:color w:val="auto"/>
                <w:szCs w:val="21"/>
                <w:highlight w:val="none"/>
              </w:rPr>
            </w:pPr>
            <w:r>
              <w:rPr>
                <w:rFonts w:hint="eastAsia" w:ascii="宋体" w:hAnsi="宋体" w:cs="宋体"/>
                <w:color w:val="auto"/>
                <w:szCs w:val="21"/>
                <w:highlight w:val="none"/>
              </w:rPr>
              <w:t>通过得分</w:t>
            </w:r>
          </w:p>
        </w:tc>
        <w:tc>
          <w:tcPr>
            <w:tcW w:w="1651" w:type="dxa"/>
            <w:vMerge w:val="restart"/>
            <w:vAlign w:val="center"/>
          </w:tcPr>
          <w:p w14:paraId="202CDE60">
            <w:pPr>
              <w:jc w:val="center"/>
              <w:rPr>
                <w:rFonts w:hint="eastAsia" w:ascii="宋体" w:hAnsi="宋体" w:cs="宋体"/>
                <w:color w:val="auto"/>
                <w:szCs w:val="21"/>
                <w:highlight w:val="none"/>
              </w:rPr>
            </w:pPr>
            <w:r>
              <w:rPr>
                <w:rFonts w:hint="eastAsia" w:ascii="宋体" w:hAnsi="宋体" w:cs="宋体"/>
                <w:color w:val="auto"/>
                <w:szCs w:val="21"/>
                <w:highlight w:val="none"/>
              </w:rPr>
              <w:t>不通过</w:t>
            </w:r>
          </w:p>
        </w:tc>
      </w:tr>
      <w:tr w14:paraId="2596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87" w:type="dxa"/>
            <w:vMerge w:val="continue"/>
            <w:vAlign w:val="center"/>
          </w:tcPr>
          <w:p w14:paraId="4CA99D61">
            <w:pPr>
              <w:jc w:val="center"/>
              <w:rPr>
                <w:rFonts w:hint="eastAsia" w:ascii="宋体" w:hAnsi="宋体" w:cs="宋体"/>
                <w:bCs/>
                <w:color w:val="auto"/>
                <w:szCs w:val="21"/>
                <w:highlight w:val="none"/>
              </w:rPr>
            </w:pPr>
          </w:p>
        </w:tc>
        <w:tc>
          <w:tcPr>
            <w:tcW w:w="805" w:type="dxa"/>
            <w:vAlign w:val="center"/>
          </w:tcPr>
          <w:p w14:paraId="49DDD755">
            <w:pPr>
              <w:jc w:val="center"/>
              <w:rPr>
                <w:rFonts w:hint="eastAsia" w:ascii="宋体" w:hAnsi="宋体" w:cs="宋体"/>
                <w:bCs/>
                <w:color w:val="auto"/>
                <w:szCs w:val="21"/>
                <w:highlight w:val="none"/>
              </w:rPr>
            </w:pPr>
            <w:r>
              <w:rPr>
                <w:rFonts w:hint="eastAsia" w:ascii="宋体" w:hAnsi="宋体" w:cs="宋体"/>
                <w:bCs/>
                <w:color w:val="auto"/>
                <w:szCs w:val="21"/>
                <w:highlight w:val="none"/>
              </w:rPr>
              <w:t>内容</w:t>
            </w:r>
          </w:p>
        </w:tc>
        <w:tc>
          <w:tcPr>
            <w:tcW w:w="1747" w:type="dxa"/>
            <w:gridSpan w:val="2"/>
            <w:vAlign w:val="center"/>
          </w:tcPr>
          <w:p w14:paraId="062F3425">
            <w:pPr>
              <w:jc w:val="center"/>
              <w:rPr>
                <w:rFonts w:hint="eastAsia" w:ascii="宋体" w:hAnsi="宋体" w:cs="宋体"/>
                <w:bCs/>
                <w:color w:val="auto"/>
                <w:szCs w:val="21"/>
                <w:highlight w:val="none"/>
              </w:rPr>
            </w:pPr>
            <w:r>
              <w:rPr>
                <w:rFonts w:hint="eastAsia" w:ascii="宋体" w:hAnsi="宋体" w:cs="宋体"/>
                <w:bCs/>
                <w:color w:val="auto"/>
                <w:szCs w:val="21"/>
                <w:highlight w:val="none"/>
              </w:rPr>
              <w:t>细分项</w:t>
            </w:r>
          </w:p>
        </w:tc>
        <w:tc>
          <w:tcPr>
            <w:tcW w:w="3079" w:type="dxa"/>
            <w:vMerge w:val="continue"/>
            <w:vAlign w:val="center"/>
          </w:tcPr>
          <w:p w14:paraId="10E8F72A">
            <w:pPr>
              <w:jc w:val="center"/>
              <w:rPr>
                <w:rFonts w:hint="eastAsia" w:ascii="宋体" w:hAnsi="宋体" w:cs="宋体"/>
                <w:bCs/>
                <w:color w:val="auto"/>
                <w:szCs w:val="21"/>
                <w:highlight w:val="none"/>
              </w:rPr>
            </w:pPr>
          </w:p>
        </w:tc>
        <w:tc>
          <w:tcPr>
            <w:tcW w:w="1090" w:type="dxa"/>
            <w:vMerge w:val="continue"/>
            <w:vAlign w:val="center"/>
          </w:tcPr>
          <w:p w14:paraId="3C64084E">
            <w:pPr>
              <w:jc w:val="center"/>
              <w:rPr>
                <w:rFonts w:hint="eastAsia" w:ascii="宋体" w:hAnsi="宋体" w:cs="宋体"/>
                <w:color w:val="auto"/>
                <w:szCs w:val="21"/>
                <w:highlight w:val="none"/>
              </w:rPr>
            </w:pPr>
          </w:p>
        </w:tc>
        <w:tc>
          <w:tcPr>
            <w:tcW w:w="1651" w:type="dxa"/>
            <w:vMerge w:val="continue"/>
            <w:vAlign w:val="center"/>
          </w:tcPr>
          <w:p w14:paraId="5F1112F1">
            <w:pPr>
              <w:jc w:val="center"/>
              <w:rPr>
                <w:rFonts w:hint="eastAsia" w:ascii="宋体" w:hAnsi="宋体" w:cs="宋体"/>
                <w:color w:val="auto"/>
                <w:szCs w:val="21"/>
                <w:highlight w:val="none"/>
              </w:rPr>
            </w:pPr>
          </w:p>
        </w:tc>
      </w:tr>
      <w:tr w14:paraId="2829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087" w:type="dxa"/>
            <w:vMerge w:val="restart"/>
            <w:vAlign w:val="center"/>
          </w:tcPr>
          <w:p w14:paraId="0F9AB94D">
            <w:pPr>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805" w:type="dxa"/>
            <w:vMerge w:val="restart"/>
            <w:vAlign w:val="center"/>
          </w:tcPr>
          <w:p w14:paraId="6DD98530">
            <w:pPr>
              <w:jc w:val="center"/>
              <w:rPr>
                <w:rFonts w:hint="eastAsia" w:ascii="宋体" w:hAnsi="宋体" w:cs="宋体"/>
                <w:color w:val="auto"/>
                <w:szCs w:val="21"/>
                <w:highlight w:val="none"/>
              </w:rPr>
            </w:pPr>
            <w:r>
              <w:rPr>
                <w:rFonts w:hint="eastAsia" w:ascii="宋体" w:hAnsi="宋体" w:cs="宋体"/>
                <w:color w:val="auto"/>
                <w:szCs w:val="21"/>
                <w:highlight w:val="none"/>
              </w:rPr>
              <w:t>技术评审（施工组织设计）</w:t>
            </w:r>
          </w:p>
        </w:tc>
        <w:tc>
          <w:tcPr>
            <w:tcW w:w="1747" w:type="dxa"/>
            <w:gridSpan w:val="2"/>
            <w:vAlign w:val="center"/>
          </w:tcPr>
          <w:p w14:paraId="2691D160">
            <w:pPr>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3079" w:type="dxa"/>
            <w:vAlign w:val="center"/>
          </w:tcPr>
          <w:p w14:paraId="54B5E5DF">
            <w:pPr>
              <w:rPr>
                <w:rFonts w:hint="eastAsia" w:ascii="宋体" w:hAnsi="宋体" w:cs="宋体"/>
                <w:color w:val="auto"/>
                <w:szCs w:val="21"/>
                <w:highlight w:val="none"/>
              </w:rPr>
            </w:pPr>
            <w:r>
              <w:rPr>
                <w:rFonts w:hint="eastAsia" w:ascii="宋体" w:hAnsi="宋体" w:cs="宋体"/>
                <w:color w:val="auto"/>
                <w:szCs w:val="21"/>
                <w:highlight w:val="none"/>
              </w:rPr>
              <w:t xml:space="preserve"> 施工方案是否完整，是否有关键项目施工技术方案；或者市政项目是否有交通措施（除招标文件明确不需要外）；是否准确引用强制性技术标准，是否明显违反国家和省有关规定。  </w:t>
            </w:r>
          </w:p>
        </w:tc>
        <w:tc>
          <w:tcPr>
            <w:tcW w:w="1090" w:type="dxa"/>
            <w:vAlign w:val="center"/>
          </w:tcPr>
          <w:p w14:paraId="538E7697">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25分 </w:t>
            </w:r>
          </w:p>
        </w:tc>
        <w:tc>
          <w:tcPr>
            <w:tcW w:w="1651" w:type="dxa"/>
            <w:vAlign w:val="center"/>
          </w:tcPr>
          <w:p w14:paraId="251AFC14">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2217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7" w:type="dxa"/>
            <w:vMerge w:val="continue"/>
            <w:vAlign w:val="center"/>
          </w:tcPr>
          <w:p w14:paraId="2BF0AFE3">
            <w:pPr>
              <w:jc w:val="center"/>
              <w:rPr>
                <w:rFonts w:hint="eastAsia" w:ascii="宋体" w:hAnsi="宋体" w:cs="宋体"/>
                <w:color w:val="auto"/>
                <w:szCs w:val="21"/>
                <w:highlight w:val="none"/>
              </w:rPr>
            </w:pPr>
          </w:p>
        </w:tc>
        <w:tc>
          <w:tcPr>
            <w:tcW w:w="805" w:type="dxa"/>
            <w:vMerge w:val="continue"/>
            <w:vAlign w:val="center"/>
          </w:tcPr>
          <w:p w14:paraId="74D017F3">
            <w:pPr>
              <w:jc w:val="center"/>
              <w:rPr>
                <w:rFonts w:hint="eastAsia" w:ascii="宋体" w:hAnsi="宋体" w:cs="宋体"/>
                <w:color w:val="auto"/>
                <w:szCs w:val="21"/>
                <w:highlight w:val="none"/>
              </w:rPr>
            </w:pPr>
          </w:p>
        </w:tc>
        <w:tc>
          <w:tcPr>
            <w:tcW w:w="1747" w:type="dxa"/>
            <w:gridSpan w:val="2"/>
            <w:vAlign w:val="center"/>
          </w:tcPr>
          <w:p w14:paraId="50EB18D5">
            <w:pPr>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3079" w:type="dxa"/>
            <w:vAlign w:val="center"/>
          </w:tcPr>
          <w:p w14:paraId="773BDB2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质量目标是否满足招标文件要求，是否有质量保证措施；是否准确引用强制性技术标准，是否明显违反国家和省有关规定。 </w:t>
            </w:r>
          </w:p>
        </w:tc>
        <w:tc>
          <w:tcPr>
            <w:tcW w:w="1090" w:type="dxa"/>
            <w:vAlign w:val="center"/>
          </w:tcPr>
          <w:p w14:paraId="15D8000C">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651" w:type="dxa"/>
            <w:vAlign w:val="center"/>
          </w:tcPr>
          <w:p w14:paraId="49F1F3D0">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35E0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87" w:type="dxa"/>
            <w:vMerge w:val="continue"/>
            <w:vAlign w:val="center"/>
          </w:tcPr>
          <w:p w14:paraId="22D38087">
            <w:pPr>
              <w:jc w:val="center"/>
              <w:rPr>
                <w:rFonts w:hint="eastAsia" w:ascii="宋体" w:hAnsi="宋体" w:cs="宋体"/>
                <w:color w:val="auto"/>
                <w:szCs w:val="21"/>
                <w:highlight w:val="none"/>
              </w:rPr>
            </w:pPr>
          </w:p>
        </w:tc>
        <w:tc>
          <w:tcPr>
            <w:tcW w:w="805" w:type="dxa"/>
            <w:vMerge w:val="continue"/>
            <w:vAlign w:val="center"/>
          </w:tcPr>
          <w:p w14:paraId="27878470">
            <w:pPr>
              <w:jc w:val="center"/>
              <w:rPr>
                <w:rFonts w:hint="eastAsia" w:ascii="宋体" w:hAnsi="宋体" w:cs="宋体"/>
                <w:color w:val="auto"/>
                <w:szCs w:val="21"/>
                <w:highlight w:val="none"/>
              </w:rPr>
            </w:pPr>
          </w:p>
        </w:tc>
        <w:tc>
          <w:tcPr>
            <w:tcW w:w="1747" w:type="dxa"/>
            <w:gridSpan w:val="2"/>
            <w:vAlign w:val="center"/>
          </w:tcPr>
          <w:p w14:paraId="7CA75BD3">
            <w:pPr>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3079" w:type="dxa"/>
            <w:vAlign w:val="center"/>
          </w:tcPr>
          <w:p w14:paraId="28DAD851">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安全目标是否满足招标文件要求，是否有重大危险源识别和控制措施，是否有施工安全措施；是否准确引用强制性技术标准，是否明显违反国家和省有关规定。  </w:t>
            </w:r>
          </w:p>
        </w:tc>
        <w:tc>
          <w:tcPr>
            <w:tcW w:w="1090" w:type="dxa"/>
            <w:vAlign w:val="center"/>
          </w:tcPr>
          <w:p w14:paraId="18EFD288">
            <w:pPr>
              <w:jc w:val="center"/>
              <w:rPr>
                <w:rFonts w:hint="eastAsia" w:ascii="宋体" w:hAnsi="宋体" w:cs="宋体"/>
                <w:color w:val="auto"/>
                <w:szCs w:val="21"/>
                <w:highlight w:val="none"/>
              </w:rPr>
            </w:pPr>
            <w:r>
              <w:rPr>
                <w:rFonts w:hint="eastAsia" w:ascii="宋体" w:hAnsi="宋体" w:cs="宋体"/>
                <w:color w:val="auto"/>
                <w:szCs w:val="21"/>
                <w:highlight w:val="none"/>
              </w:rPr>
              <w:t>20分</w:t>
            </w:r>
          </w:p>
        </w:tc>
        <w:tc>
          <w:tcPr>
            <w:tcW w:w="1651" w:type="dxa"/>
            <w:vAlign w:val="center"/>
          </w:tcPr>
          <w:p w14:paraId="45F2B7BF">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4EAD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87" w:type="dxa"/>
            <w:vMerge w:val="continue"/>
            <w:vAlign w:val="center"/>
          </w:tcPr>
          <w:p w14:paraId="0FE9C2BB">
            <w:pPr>
              <w:jc w:val="center"/>
              <w:rPr>
                <w:rFonts w:hint="eastAsia" w:ascii="宋体" w:hAnsi="宋体" w:cs="宋体"/>
                <w:color w:val="auto"/>
                <w:szCs w:val="21"/>
                <w:highlight w:val="none"/>
              </w:rPr>
            </w:pPr>
          </w:p>
        </w:tc>
        <w:tc>
          <w:tcPr>
            <w:tcW w:w="805" w:type="dxa"/>
            <w:vMerge w:val="continue"/>
            <w:vAlign w:val="center"/>
          </w:tcPr>
          <w:p w14:paraId="0963B254">
            <w:pPr>
              <w:jc w:val="center"/>
              <w:rPr>
                <w:rFonts w:hint="eastAsia" w:ascii="宋体" w:hAnsi="宋体" w:cs="宋体"/>
                <w:color w:val="auto"/>
                <w:szCs w:val="21"/>
                <w:highlight w:val="none"/>
              </w:rPr>
            </w:pPr>
          </w:p>
        </w:tc>
        <w:tc>
          <w:tcPr>
            <w:tcW w:w="1747" w:type="dxa"/>
            <w:gridSpan w:val="2"/>
            <w:vAlign w:val="center"/>
          </w:tcPr>
          <w:p w14:paraId="54D3E461">
            <w:pPr>
              <w:jc w:val="center"/>
              <w:rPr>
                <w:rFonts w:hint="eastAsia" w:ascii="宋体" w:hAnsi="宋体" w:cs="宋体"/>
                <w:color w:val="auto"/>
                <w:szCs w:val="21"/>
                <w:highlight w:val="none"/>
              </w:rPr>
            </w:pPr>
            <w:r>
              <w:rPr>
                <w:rFonts w:hint="eastAsia" w:ascii="宋体" w:hAnsi="宋体" w:cs="宋体"/>
                <w:color w:val="auto"/>
                <w:szCs w:val="21"/>
                <w:highlight w:val="none"/>
              </w:rPr>
              <w:t>环境保护管理体系与措施</w:t>
            </w:r>
          </w:p>
        </w:tc>
        <w:tc>
          <w:tcPr>
            <w:tcW w:w="3079" w:type="dxa"/>
            <w:vAlign w:val="center"/>
          </w:tcPr>
          <w:p w14:paraId="3572CE07">
            <w:pPr>
              <w:jc w:val="left"/>
              <w:rPr>
                <w:rFonts w:hint="eastAsia" w:ascii="宋体" w:hAnsi="宋体" w:cs="宋体"/>
                <w:color w:val="auto"/>
                <w:szCs w:val="21"/>
                <w:highlight w:val="none"/>
              </w:rPr>
            </w:pPr>
            <w:r>
              <w:rPr>
                <w:rFonts w:hint="eastAsia" w:ascii="宋体" w:hAnsi="宋体" w:cs="宋体"/>
                <w:color w:val="auto"/>
                <w:szCs w:val="21"/>
                <w:highlight w:val="none"/>
              </w:rPr>
              <w:t>环境管理目标是否明确，是否有环境保护保证措施；是否有建筑垃圾源头减量、分类处置及扬尘污染防治等相关内容。</w:t>
            </w:r>
          </w:p>
        </w:tc>
        <w:tc>
          <w:tcPr>
            <w:tcW w:w="1090" w:type="dxa"/>
            <w:vAlign w:val="center"/>
          </w:tcPr>
          <w:p w14:paraId="47F09684">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651" w:type="dxa"/>
            <w:vAlign w:val="center"/>
          </w:tcPr>
          <w:p w14:paraId="177BA7B3">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0FFD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087" w:type="dxa"/>
            <w:vMerge w:val="continue"/>
            <w:vAlign w:val="center"/>
          </w:tcPr>
          <w:p w14:paraId="00E6D861">
            <w:pPr>
              <w:jc w:val="center"/>
              <w:rPr>
                <w:rFonts w:hint="eastAsia" w:ascii="宋体" w:hAnsi="宋体" w:cs="宋体"/>
                <w:color w:val="auto"/>
                <w:szCs w:val="21"/>
                <w:highlight w:val="none"/>
              </w:rPr>
            </w:pPr>
          </w:p>
        </w:tc>
        <w:tc>
          <w:tcPr>
            <w:tcW w:w="805" w:type="dxa"/>
            <w:vMerge w:val="continue"/>
            <w:vAlign w:val="center"/>
          </w:tcPr>
          <w:p w14:paraId="69AE250C">
            <w:pPr>
              <w:jc w:val="center"/>
              <w:rPr>
                <w:rFonts w:hint="eastAsia" w:ascii="宋体" w:hAnsi="宋体" w:cs="宋体"/>
                <w:color w:val="auto"/>
                <w:szCs w:val="21"/>
                <w:highlight w:val="none"/>
              </w:rPr>
            </w:pPr>
          </w:p>
        </w:tc>
        <w:tc>
          <w:tcPr>
            <w:tcW w:w="1747" w:type="dxa"/>
            <w:gridSpan w:val="2"/>
            <w:vAlign w:val="center"/>
          </w:tcPr>
          <w:p w14:paraId="526A81ED">
            <w:pPr>
              <w:jc w:val="center"/>
              <w:rPr>
                <w:rFonts w:hint="eastAsia" w:ascii="宋体" w:hAnsi="宋体" w:cs="宋体"/>
                <w:color w:val="auto"/>
                <w:szCs w:val="21"/>
                <w:highlight w:val="none"/>
              </w:rPr>
            </w:pPr>
            <w:r>
              <w:rPr>
                <w:rFonts w:hint="eastAsia" w:ascii="宋体" w:hAnsi="宋体" w:cs="宋体"/>
                <w:color w:val="auto"/>
                <w:szCs w:val="21"/>
                <w:highlight w:val="none"/>
              </w:rPr>
              <w:t>工程进度计划与保证措施</w:t>
            </w:r>
          </w:p>
        </w:tc>
        <w:tc>
          <w:tcPr>
            <w:tcW w:w="3079" w:type="dxa"/>
            <w:vAlign w:val="center"/>
          </w:tcPr>
          <w:p w14:paraId="6DF65754">
            <w:pPr>
              <w:jc w:val="left"/>
              <w:rPr>
                <w:rFonts w:hint="eastAsia" w:ascii="宋体" w:hAnsi="宋体" w:cs="宋体"/>
                <w:color w:val="auto"/>
                <w:szCs w:val="21"/>
                <w:highlight w:val="none"/>
              </w:rPr>
            </w:pPr>
            <w:r>
              <w:rPr>
                <w:rFonts w:hint="eastAsia" w:ascii="宋体" w:hAnsi="宋体" w:cs="宋体"/>
                <w:color w:val="auto"/>
                <w:szCs w:val="21"/>
                <w:highlight w:val="none"/>
              </w:rPr>
              <w:t>总工期及节点工期是否满足招标文件要求；施工进度计划内容是否全面，线路是否清晰、准确、完整。</w:t>
            </w:r>
          </w:p>
        </w:tc>
        <w:tc>
          <w:tcPr>
            <w:tcW w:w="1090" w:type="dxa"/>
            <w:vAlign w:val="center"/>
          </w:tcPr>
          <w:p w14:paraId="218838DB">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15分 </w:t>
            </w:r>
          </w:p>
        </w:tc>
        <w:tc>
          <w:tcPr>
            <w:tcW w:w="1651" w:type="dxa"/>
            <w:vAlign w:val="center"/>
          </w:tcPr>
          <w:p w14:paraId="15AAF201">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1DAB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087" w:type="dxa"/>
            <w:vMerge w:val="continue"/>
            <w:vAlign w:val="center"/>
          </w:tcPr>
          <w:p w14:paraId="7C08F015">
            <w:pPr>
              <w:jc w:val="center"/>
              <w:rPr>
                <w:rFonts w:hint="eastAsia" w:ascii="宋体" w:hAnsi="宋体" w:cs="宋体"/>
                <w:color w:val="auto"/>
                <w:szCs w:val="21"/>
                <w:highlight w:val="none"/>
              </w:rPr>
            </w:pPr>
          </w:p>
        </w:tc>
        <w:tc>
          <w:tcPr>
            <w:tcW w:w="805" w:type="dxa"/>
            <w:vMerge w:val="continue"/>
            <w:vAlign w:val="center"/>
          </w:tcPr>
          <w:p w14:paraId="5128A92F">
            <w:pPr>
              <w:jc w:val="center"/>
              <w:rPr>
                <w:rFonts w:hint="eastAsia" w:ascii="宋体" w:hAnsi="宋体" w:cs="宋体"/>
                <w:color w:val="auto"/>
                <w:szCs w:val="21"/>
                <w:highlight w:val="none"/>
              </w:rPr>
            </w:pPr>
          </w:p>
        </w:tc>
        <w:tc>
          <w:tcPr>
            <w:tcW w:w="1747" w:type="dxa"/>
            <w:gridSpan w:val="2"/>
            <w:vAlign w:val="center"/>
          </w:tcPr>
          <w:p w14:paraId="5595CB19">
            <w:pPr>
              <w:jc w:val="center"/>
              <w:rPr>
                <w:rFonts w:hint="eastAsia" w:ascii="宋体" w:hAnsi="宋体" w:cs="宋体"/>
                <w:color w:val="auto"/>
                <w:szCs w:val="21"/>
                <w:highlight w:val="none"/>
              </w:rPr>
            </w:pPr>
            <w:r>
              <w:rPr>
                <w:rFonts w:hint="eastAsia" w:ascii="宋体" w:hAnsi="宋体" w:cs="宋体"/>
                <w:color w:val="auto"/>
                <w:szCs w:val="21"/>
                <w:highlight w:val="none"/>
              </w:rPr>
              <w:t>资源配备计划</w:t>
            </w:r>
          </w:p>
        </w:tc>
        <w:tc>
          <w:tcPr>
            <w:tcW w:w="3079" w:type="dxa"/>
            <w:vAlign w:val="center"/>
          </w:tcPr>
          <w:p w14:paraId="78202AB9">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资源投入计划与施工部署、施工方法及进度计划是否能够相互呼应并满足施工需要，调配投入计划是否合理、准确。 </w:t>
            </w:r>
          </w:p>
        </w:tc>
        <w:tc>
          <w:tcPr>
            <w:tcW w:w="1090" w:type="dxa"/>
            <w:vAlign w:val="center"/>
          </w:tcPr>
          <w:p w14:paraId="02EFADB6">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10分</w:t>
            </w:r>
          </w:p>
        </w:tc>
        <w:tc>
          <w:tcPr>
            <w:tcW w:w="1651" w:type="dxa"/>
            <w:vAlign w:val="center"/>
          </w:tcPr>
          <w:p w14:paraId="51EB4B3C">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5287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87" w:type="dxa"/>
            <w:vMerge w:val="continue"/>
            <w:vAlign w:val="center"/>
          </w:tcPr>
          <w:p w14:paraId="3F000AE5">
            <w:pPr>
              <w:jc w:val="center"/>
              <w:rPr>
                <w:rFonts w:hint="eastAsia" w:ascii="宋体" w:hAnsi="宋体" w:cs="宋体"/>
                <w:color w:val="auto"/>
                <w:szCs w:val="21"/>
                <w:highlight w:val="none"/>
              </w:rPr>
            </w:pPr>
          </w:p>
        </w:tc>
        <w:tc>
          <w:tcPr>
            <w:tcW w:w="8372" w:type="dxa"/>
            <w:gridSpan w:val="6"/>
            <w:vAlign w:val="center"/>
          </w:tcPr>
          <w:p w14:paraId="31B161C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1.技术方案采用暗标形式，投标文件的技术标暗标内出现投标人名称或者出现任何能直接判断出投标人名称的内容，评标委员会应当否决其投标。 </w:t>
            </w:r>
          </w:p>
          <w:p w14:paraId="650600A4">
            <w:pPr>
              <w:jc w:val="left"/>
              <w:rPr>
                <w:rFonts w:hint="eastAsia" w:ascii="宋体" w:hAnsi="宋体" w:cs="宋体"/>
                <w:color w:val="auto"/>
                <w:szCs w:val="21"/>
                <w:highlight w:val="none"/>
              </w:rPr>
            </w:pPr>
            <w:r>
              <w:rPr>
                <w:rFonts w:hint="eastAsia" w:ascii="宋体" w:hAnsi="宋体" w:cs="宋体"/>
                <w:color w:val="auto"/>
                <w:szCs w:val="21"/>
                <w:highlight w:val="none"/>
              </w:rPr>
              <w:t>2.施工组织设计评审因素细分项实行合格制评审，以“不通过不得分、通过得满分”的原则进行计分，</w:t>
            </w:r>
            <w:r>
              <w:rPr>
                <w:rFonts w:hint="eastAsia"/>
                <w:color w:val="auto"/>
                <w:highlight w:val="none"/>
              </w:rPr>
              <w:t>评审因素细分项缺项或者同一评审因素细分项被超过一半评标委员会成员判定为不合格的，该细分项不通过，评标委员会应当根据评审标准内容注明详细理由和依据。</w:t>
            </w:r>
          </w:p>
        </w:tc>
      </w:tr>
      <w:tr w14:paraId="3607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vAlign w:val="center"/>
          </w:tcPr>
          <w:p w14:paraId="6D75D930">
            <w:pPr>
              <w:jc w:val="center"/>
              <w:rPr>
                <w:rFonts w:hint="eastAsia" w:ascii="宋体" w:hAnsi="宋体" w:cs="宋体"/>
                <w:color w:val="auto"/>
                <w:szCs w:val="21"/>
                <w:highlight w:val="none"/>
              </w:rPr>
            </w:pPr>
          </w:p>
        </w:tc>
        <w:tc>
          <w:tcPr>
            <w:tcW w:w="8372" w:type="dxa"/>
            <w:gridSpan w:val="6"/>
            <w:vAlign w:val="center"/>
          </w:tcPr>
          <w:p w14:paraId="4D7513C7">
            <w:pPr>
              <w:jc w:val="center"/>
              <w:rPr>
                <w:rFonts w:hint="eastAsia" w:ascii="宋体" w:hAnsi="宋体" w:cs="宋体"/>
                <w:color w:val="auto"/>
                <w:szCs w:val="21"/>
                <w:highlight w:val="none"/>
              </w:rPr>
            </w:pPr>
            <w:r>
              <w:rPr>
                <w:rFonts w:hint="eastAsia" w:ascii="宋体" w:hAnsi="宋体" w:cs="宋体"/>
                <w:color w:val="auto"/>
                <w:szCs w:val="21"/>
                <w:highlight w:val="none"/>
              </w:rPr>
              <w:t>商务评审</w:t>
            </w:r>
          </w:p>
        </w:tc>
      </w:tr>
      <w:tr w14:paraId="1681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87" w:type="dxa"/>
            <w:vMerge w:val="restart"/>
            <w:vAlign w:val="center"/>
          </w:tcPr>
          <w:p w14:paraId="503DE6F9">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2552" w:type="dxa"/>
            <w:gridSpan w:val="3"/>
            <w:vAlign w:val="center"/>
          </w:tcPr>
          <w:p w14:paraId="117D52B2">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      类似业绩</w:t>
            </w:r>
          </w:p>
        </w:tc>
        <w:tc>
          <w:tcPr>
            <w:tcW w:w="5820" w:type="dxa"/>
            <w:gridSpan w:val="3"/>
            <w:vAlign w:val="center"/>
          </w:tcPr>
          <w:p w14:paraId="1F6A117C">
            <w:pPr>
              <w:jc w:val="left"/>
              <w:rPr>
                <w:rFonts w:hint="eastAsia" w:ascii="宋体" w:hAnsi="宋体" w:cs="宋体"/>
                <w:color w:val="auto"/>
                <w:szCs w:val="21"/>
                <w:highlight w:val="none"/>
              </w:rPr>
            </w:pPr>
            <w:r>
              <w:rPr>
                <w:rFonts w:hint="eastAsia" w:ascii="Calibri" w:hAnsi="Calibri" w:cs="Calibri"/>
                <w:bCs/>
                <w:color w:val="auto"/>
                <w:highlight w:val="none"/>
              </w:rPr>
              <w:t>详见投标须知前附表6.4“评审加分要求的投标人类似工程业绩”。</w:t>
            </w:r>
          </w:p>
        </w:tc>
      </w:tr>
      <w:tr w14:paraId="1D3A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87" w:type="dxa"/>
            <w:vMerge w:val="continue"/>
            <w:vAlign w:val="center"/>
          </w:tcPr>
          <w:p w14:paraId="15CA028F">
            <w:pPr>
              <w:jc w:val="center"/>
              <w:rPr>
                <w:rFonts w:hint="eastAsia" w:ascii="宋体" w:hAnsi="宋体" w:cs="宋体"/>
                <w:color w:val="auto"/>
                <w:szCs w:val="21"/>
                <w:highlight w:val="none"/>
              </w:rPr>
            </w:pPr>
          </w:p>
        </w:tc>
        <w:tc>
          <w:tcPr>
            <w:tcW w:w="2552" w:type="dxa"/>
            <w:gridSpan w:val="3"/>
            <w:vAlign w:val="center"/>
          </w:tcPr>
          <w:p w14:paraId="6F9F97FD">
            <w:pPr>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5820" w:type="dxa"/>
            <w:gridSpan w:val="3"/>
            <w:vAlign w:val="center"/>
          </w:tcPr>
          <w:p w14:paraId="24536255">
            <w:pPr>
              <w:jc w:val="left"/>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详见投标须知前附表10.9信用评价要求。</w:t>
            </w:r>
          </w:p>
        </w:tc>
      </w:tr>
      <w:tr w14:paraId="704C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vMerge w:val="restart"/>
            <w:vAlign w:val="center"/>
          </w:tcPr>
          <w:p w14:paraId="2E63A1D7">
            <w:pPr>
              <w:jc w:val="center"/>
              <w:rPr>
                <w:rFonts w:hint="eastAsia" w:ascii="宋体" w:hAnsi="宋体" w:cs="宋体"/>
                <w:strike/>
                <w:color w:val="auto"/>
                <w:szCs w:val="21"/>
                <w:highlight w:val="none"/>
              </w:rPr>
            </w:pPr>
            <w:r>
              <w:rPr>
                <w:rFonts w:hint="eastAsia" w:ascii="宋体" w:hAnsi="宋体" w:cs="宋体"/>
                <w:color w:val="auto"/>
                <w:szCs w:val="21"/>
                <w:highlight w:val="none"/>
              </w:rPr>
              <w:t>1.7</w:t>
            </w:r>
          </w:p>
        </w:tc>
        <w:tc>
          <w:tcPr>
            <w:tcW w:w="8372" w:type="dxa"/>
            <w:gridSpan w:val="6"/>
            <w:vAlign w:val="center"/>
          </w:tcPr>
          <w:p w14:paraId="480FE701">
            <w:pPr>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投标报价评审 </w:t>
            </w:r>
          </w:p>
        </w:tc>
      </w:tr>
      <w:tr w14:paraId="22E0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087" w:type="dxa"/>
            <w:vMerge w:val="continue"/>
            <w:vAlign w:val="center"/>
          </w:tcPr>
          <w:p w14:paraId="7623DD82">
            <w:pPr>
              <w:jc w:val="center"/>
              <w:rPr>
                <w:rFonts w:hint="eastAsia" w:ascii="宋体" w:hAnsi="宋体" w:cs="宋体"/>
                <w:color w:val="auto"/>
                <w:szCs w:val="21"/>
                <w:highlight w:val="none"/>
              </w:rPr>
            </w:pPr>
          </w:p>
        </w:tc>
        <w:tc>
          <w:tcPr>
            <w:tcW w:w="8372" w:type="dxa"/>
            <w:gridSpan w:val="6"/>
            <w:vAlign w:val="center"/>
          </w:tcPr>
          <w:p w14:paraId="5AFE95B3">
            <w:pPr>
              <w:jc w:val="left"/>
              <w:rPr>
                <w:color w:val="auto"/>
                <w:highlight w:val="none"/>
              </w:rPr>
            </w:pPr>
            <w:r>
              <w:rPr>
                <w:rFonts w:hint="eastAsia"/>
                <w:color w:val="auto"/>
                <w:highlight w:val="none"/>
              </w:rPr>
              <w:t>1．对第一阶段排名在规定数量以内的投标人的报价由低到高的顺序排序推荐中标候选人。投标报价以“元”为单位，小数点后保留保留2位，按四舍五入原则进行排序。</w:t>
            </w:r>
          </w:p>
          <w:p w14:paraId="4EF07956">
            <w:pPr>
              <w:jc w:val="left"/>
              <w:rPr>
                <w:color w:val="auto"/>
                <w:highlight w:val="none"/>
              </w:rPr>
            </w:pPr>
            <w:r>
              <w:rPr>
                <w:rFonts w:hint="eastAsia"/>
                <w:color w:val="auto"/>
                <w:highlight w:val="none"/>
              </w:rPr>
              <w:t xml:space="preserve">2.投标价格相同不能确定中标候选人高低排序的，由交易系统随机确定不能高低排序的中标候选人。  </w:t>
            </w:r>
          </w:p>
        </w:tc>
      </w:tr>
      <w:tr w14:paraId="20DE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4925E8E1">
            <w:pPr>
              <w:snapToGrid w:val="0"/>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372" w:type="dxa"/>
            <w:gridSpan w:val="6"/>
            <w:vAlign w:val="center"/>
          </w:tcPr>
          <w:p w14:paraId="05DC95CF">
            <w:pPr>
              <w:snapToGrid w:val="0"/>
              <w:ind w:firstLine="4" w:firstLineChars="2"/>
              <w:jc w:val="center"/>
              <w:rPr>
                <w:rFonts w:hint="eastAsia" w:ascii="宋体" w:hAnsi="宋体" w:cs="宋体"/>
                <w:bCs/>
                <w:color w:val="auto"/>
                <w:szCs w:val="21"/>
                <w:highlight w:val="none"/>
              </w:rPr>
            </w:pPr>
            <w:r>
              <w:rPr>
                <w:rFonts w:hint="eastAsia" w:ascii="宋体" w:hAnsi="宋体" w:cs="宋体"/>
                <w:color w:val="auto"/>
                <w:szCs w:val="21"/>
                <w:highlight w:val="none"/>
              </w:rPr>
              <w:t>编列内容</w:t>
            </w:r>
          </w:p>
        </w:tc>
      </w:tr>
      <w:tr w14:paraId="558E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037BF37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1850" w:type="dxa"/>
            <w:gridSpan w:val="2"/>
            <w:vAlign w:val="center"/>
          </w:tcPr>
          <w:p w14:paraId="43B151C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否决投标情形</w:t>
            </w:r>
          </w:p>
        </w:tc>
        <w:tc>
          <w:tcPr>
            <w:tcW w:w="6522" w:type="dxa"/>
            <w:gridSpan w:val="4"/>
            <w:vAlign w:val="center"/>
          </w:tcPr>
          <w:p w14:paraId="71302A58">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r w14:paraId="6854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523AD444">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850" w:type="dxa"/>
            <w:gridSpan w:val="2"/>
            <w:vAlign w:val="center"/>
          </w:tcPr>
          <w:p w14:paraId="20103FF7">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进入投标报价排序的投标人数量的确定方式</w:t>
            </w:r>
          </w:p>
        </w:tc>
        <w:tc>
          <w:tcPr>
            <w:tcW w:w="6522" w:type="dxa"/>
            <w:gridSpan w:val="4"/>
            <w:vAlign w:val="center"/>
          </w:tcPr>
          <w:p w14:paraId="22797463">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详见第二章投标人须知前附表</w:t>
            </w:r>
          </w:p>
        </w:tc>
      </w:tr>
    </w:tbl>
    <w:p w14:paraId="6194D829">
      <w:pPr>
        <w:widowControl/>
        <w:jc w:val="left"/>
        <w:rPr>
          <w:color w:val="auto"/>
          <w:highlight w:val="none"/>
        </w:rPr>
      </w:pPr>
    </w:p>
    <w:p w14:paraId="200E325F">
      <w:pPr>
        <w:spacing w:line="312" w:lineRule="auto"/>
        <w:jc w:val="center"/>
        <w:rPr>
          <w:rFonts w:eastAsia="黑体"/>
          <w:bCs/>
          <w:color w:val="auto"/>
          <w:sz w:val="30"/>
          <w:highlight w:val="none"/>
        </w:rPr>
      </w:pPr>
      <w:r>
        <w:rPr>
          <w:color w:val="auto"/>
          <w:highlight w:val="none"/>
        </w:rPr>
        <w:br w:type="page"/>
      </w:r>
      <w:r>
        <w:rPr>
          <w:rFonts w:eastAsia="黑体"/>
          <w:bCs/>
          <w:color w:val="auto"/>
          <w:sz w:val="30"/>
          <w:highlight w:val="none"/>
        </w:rPr>
        <w:t>评标办法（</w:t>
      </w:r>
      <w:r>
        <w:rPr>
          <w:rFonts w:hint="eastAsia" w:eastAsia="黑体"/>
          <w:bCs/>
          <w:color w:val="auto"/>
          <w:sz w:val="30"/>
          <w:highlight w:val="none"/>
        </w:rPr>
        <w:t>技术评分最低标价</w:t>
      </w:r>
      <w:r>
        <w:rPr>
          <w:rFonts w:eastAsia="黑体"/>
          <w:bCs/>
          <w:color w:val="auto"/>
          <w:sz w:val="30"/>
          <w:highlight w:val="none"/>
        </w:rPr>
        <w:t>法）</w:t>
      </w:r>
    </w:p>
    <w:p w14:paraId="79EBEAF8">
      <w:pPr>
        <w:spacing w:line="360" w:lineRule="auto"/>
        <w:ind w:left="-103" w:leftChars="-49" w:firstLine="422" w:firstLineChars="201"/>
        <w:rPr>
          <w:rFonts w:hint="eastAsia" w:ascii="宋体" w:hAnsi="宋体" w:cs="宋体"/>
          <w:bCs/>
          <w:color w:val="auto"/>
          <w:szCs w:val="21"/>
          <w:highlight w:val="none"/>
        </w:rPr>
      </w:pPr>
      <w:r>
        <w:rPr>
          <w:color w:val="auto"/>
          <w:szCs w:val="21"/>
          <w:highlight w:val="none"/>
        </w:rPr>
        <w:t>本次评标采用</w:t>
      </w:r>
      <w:r>
        <w:rPr>
          <w:rFonts w:hint="eastAsia"/>
          <w:color w:val="auto"/>
          <w:highlight w:val="none"/>
        </w:rPr>
        <w:t>技术评分最低标价</w:t>
      </w:r>
      <w:r>
        <w:rPr>
          <w:color w:val="auto"/>
          <w:highlight w:val="none"/>
        </w:rPr>
        <w:t>法。</w:t>
      </w:r>
      <w:r>
        <w:rPr>
          <w:rFonts w:hint="eastAsia"/>
          <w:color w:val="auto"/>
          <w:highlight w:val="none"/>
        </w:rPr>
        <w:t>第一阶段，对</w:t>
      </w:r>
      <w:r>
        <w:rPr>
          <w:rFonts w:hint="eastAsia" w:ascii="宋体" w:hAnsi="宋体" w:cs="宋体"/>
          <w:bCs/>
          <w:color w:val="auto"/>
          <w:szCs w:val="21"/>
          <w:highlight w:val="none"/>
        </w:rPr>
        <w:t>未低于异常低价警戒线且</w:t>
      </w:r>
      <w:r>
        <w:rPr>
          <w:rFonts w:hint="eastAsia"/>
          <w:color w:val="auto"/>
          <w:highlight w:val="none"/>
        </w:rPr>
        <w:t>通过初步评审的投标人，评标委员会按照明确的评分因素和量化的评分标准对其商务、技术（施工组织设计）等内容进行评分，技术评审因素细分项实行合格制评审，结果以“不通过不得分、通过得满分”的原则进行计分，评审得分由高到低排序。第二阶段对第一阶段排名在招标文件规定数量以内的投标人经评审的投标价格由低到高的顺序排序推荐中标候选人。</w:t>
      </w:r>
    </w:p>
    <w:p w14:paraId="3D2ACC39">
      <w:pPr>
        <w:pStyle w:val="3"/>
        <w:snapToGrid w:val="0"/>
        <w:spacing w:before="0" w:after="0" w:line="400" w:lineRule="exact"/>
        <w:rPr>
          <w:rFonts w:ascii="Times New Roman" w:hAnsi="Times New Roman" w:eastAsia="黑体"/>
          <w:b w:val="0"/>
          <w:bCs w:val="0"/>
          <w:color w:val="auto"/>
          <w:sz w:val="30"/>
          <w:highlight w:val="none"/>
        </w:rPr>
      </w:pPr>
      <w:r>
        <w:rPr>
          <w:rFonts w:hint="eastAsia"/>
          <w:color w:val="auto"/>
          <w:szCs w:val="21"/>
          <w:highlight w:val="none"/>
        </w:rPr>
        <w:t xml:space="preserve">  </w:t>
      </w:r>
      <w:bookmarkStart w:id="351" w:name="_Toc211498665"/>
      <w:r>
        <w:rPr>
          <w:rFonts w:hint="eastAsia"/>
          <w:color w:val="auto"/>
          <w:szCs w:val="21"/>
          <w:highlight w:val="none"/>
        </w:rPr>
        <w:t>1.</w:t>
      </w:r>
      <w:r>
        <w:rPr>
          <w:rFonts w:ascii="Times New Roman" w:hAnsi="Times New Roman" w:eastAsia="黑体"/>
          <w:b w:val="0"/>
          <w:bCs w:val="0"/>
          <w:color w:val="auto"/>
          <w:sz w:val="30"/>
          <w:highlight w:val="none"/>
        </w:rPr>
        <w:t>评审</w:t>
      </w:r>
      <w:r>
        <w:rPr>
          <w:rFonts w:hint="eastAsia" w:ascii="Times New Roman" w:hAnsi="Times New Roman" w:eastAsia="黑体"/>
          <w:b w:val="0"/>
          <w:bCs w:val="0"/>
          <w:color w:val="auto"/>
          <w:sz w:val="30"/>
          <w:highlight w:val="none"/>
        </w:rPr>
        <w:t>标准</w:t>
      </w:r>
      <w:bookmarkEnd w:id="351"/>
    </w:p>
    <w:p w14:paraId="4FF273FB">
      <w:pPr>
        <w:snapToGrid w:val="0"/>
        <w:spacing w:line="400" w:lineRule="exact"/>
        <w:ind w:firstLine="420" w:firstLineChars="200"/>
        <w:rPr>
          <w:color w:val="auto"/>
          <w:highlight w:val="none"/>
        </w:rPr>
      </w:pPr>
      <w:r>
        <w:rPr>
          <w:rFonts w:hint="eastAsia"/>
          <w:color w:val="auto"/>
          <w:highlight w:val="none"/>
        </w:rPr>
        <w:t>1</w:t>
      </w:r>
      <w:r>
        <w:rPr>
          <w:color w:val="auto"/>
          <w:highlight w:val="none"/>
        </w:rPr>
        <w:t>.</w:t>
      </w:r>
      <w:r>
        <w:rPr>
          <w:rFonts w:hint="eastAsia"/>
          <w:color w:val="auto"/>
          <w:highlight w:val="none"/>
        </w:rPr>
        <w:t>1</w:t>
      </w:r>
      <w:r>
        <w:rPr>
          <w:color w:val="auto"/>
          <w:highlight w:val="none"/>
        </w:rPr>
        <w:t xml:space="preserve"> 形式评审标准：见评标办法前附表。</w:t>
      </w:r>
    </w:p>
    <w:p w14:paraId="53A97C02">
      <w:pPr>
        <w:snapToGrid w:val="0"/>
        <w:spacing w:line="400" w:lineRule="exact"/>
        <w:ind w:firstLine="420" w:firstLineChars="200"/>
        <w:rPr>
          <w:color w:val="auto"/>
          <w:highlight w:val="none"/>
        </w:rPr>
      </w:pPr>
      <w:r>
        <w:rPr>
          <w:rFonts w:hint="eastAsia"/>
          <w:color w:val="auto"/>
          <w:highlight w:val="none"/>
        </w:rPr>
        <w:t>1</w:t>
      </w:r>
      <w:r>
        <w:rPr>
          <w:color w:val="auto"/>
          <w:highlight w:val="none"/>
        </w:rPr>
        <w:t>.</w:t>
      </w:r>
      <w:r>
        <w:rPr>
          <w:rFonts w:hint="eastAsia"/>
          <w:color w:val="auto"/>
          <w:highlight w:val="none"/>
        </w:rPr>
        <w:t>2</w:t>
      </w:r>
      <w:r>
        <w:rPr>
          <w:color w:val="auto"/>
          <w:highlight w:val="none"/>
        </w:rPr>
        <w:t xml:space="preserve"> 资格评审标准：见评标办法前附表</w:t>
      </w:r>
    </w:p>
    <w:p w14:paraId="30F16AD1">
      <w:pPr>
        <w:snapToGrid w:val="0"/>
        <w:spacing w:line="400" w:lineRule="exact"/>
        <w:ind w:firstLine="840" w:firstLineChars="400"/>
        <w:rPr>
          <w:color w:val="auto"/>
          <w:highlight w:val="none"/>
        </w:rPr>
      </w:pPr>
      <w:r>
        <w:rPr>
          <w:color w:val="auto"/>
          <w:highlight w:val="none"/>
        </w:rPr>
        <w:t>已进行资格预审的，见本招标项目资格预审文件第三章“资格审查办法”详细审查标准</w:t>
      </w:r>
    </w:p>
    <w:p w14:paraId="195BF27B">
      <w:pPr>
        <w:snapToGrid w:val="0"/>
        <w:spacing w:line="400" w:lineRule="exact"/>
        <w:ind w:firstLine="420" w:firstLineChars="200"/>
        <w:rPr>
          <w:color w:val="auto"/>
          <w:highlight w:val="none"/>
        </w:rPr>
      </w:pPr>
      <w:r>
        <w:rPr>
          <w:rFonts w:hint="eastAsia"/>
          <w:color w:val="auto"/>
          <w:highlight w:val="none"/>
        </w:rPr>
        <w:t>1</w:t>
      </w:r>
      <w:r>
        <w:rPr>
          <w:color w:val="auto"/>
          <w:highlight w:val="none"/>
        </w:rPr>
        <w:t>.</w:t>
      </w:r>
      <w:r>
        <w:rPr>
          <w:rFonts w:hint="eastAsia"/>
          <w:color w:val="auto"/>
          <w:highlight w:val="none"/>
        </w:rPr>
        <w:t>3</w:t>
      </w:r>
      <w:r>
        <w:rPr>
          <w:color w:val="auto"/>
          <w:highlight w:val="none"/>
        </w:rPr>
        <w:t xml:space="preserve"> 响应性评审标准：见评标办法前附表。</w:t>
      </w:r>
    </w:p>
    <w:p w14:paraId="4C09589F">
      <w:pPr>
        <w:snapToGrid w:val="0"/>
        <w:spacing w:line="400" w:lineRule="exact"/>
        <w:ind w:firstLine="420" w:firstLineChars="200"/>
        <w:rPr>
          <w:color w:val="auto"/>
          <w:highlight w:val="none"/>
        </w:rPr>
      </w:pPr>
      <w:r>
        <w:rPr>
          <w:rFonts w:hint="eastAsia"/>
          <w:color w:val="auto"/>
          <w:highlight w:val="none"/>
        </w:rPr>
        <w:t>1.4权值构成：</w:t>
      </w:r>
      <w:r>
        <w:rPr>
          <w:color w:val="auto"/>
          <w:highlight w:val="none"/>
        </w:rPr>
        <w:t>见评标办法前附表。</w:t>
      </w:r>
    </w:p>
    <w:p w14:paraId="1CB2B3F9">
      <w:pPr>
        <w:snapToGrid w:val="0"/>
        <w:spacing w:line="400" w:lineRule="exact"/>
        <w:ind w:firstLine="420" w:firstLineChars="200"/>
        <w:rPr>
          <w:color w:val="auto"/>
          <w:highlight w:val="none"/>
        </w:rPr>
      </w:pPr>
      <w:r>
        <w:rPr>
          <w:rFonts w:hint="eastAsia"/>
          <w:color w:val="auto"/>
          <w:szCs w:val="21"/>
          <w:highlight w:val="none"/>
        </w:rPr>
        <w:t>1.5 商务部分评审标准：</w:t>
      </w:r>
      <w:r>
        <w:rPr>
          <w:color w:val="auto"/>
          <w:highlight w:val="none"/>
        </w:rPr>
        <w:t>见评标办法前附表</w:t>
      </w:r>
      <w:r>
        <w:rPr>
          <w:rFonts w:hint="eastAsia"/>
          <w:color w:val="auto"/>
          <w:highlight w:val="none"/>
        </w:rPr>
        <w:t>。</w:t>
      </w:r>
    </w:p>
    <w:p w14:paraId="01935440">
      <w:pPr>
        <w:snapToGrid w:val="0"/>
        <w:spacing w:line="400" w:lineRule="exact"/>
        <w:ind w:firstLine="420" w:firstLineChars="200"/>
        <w:rPr>
          <w:color w:val="auto"/>
          <w:szCs w:val="21"/>
          <w:highlight w:val="none"/>
        </w:rPr>
      </w:pPr>
      <w:r>
        <w:rPr>
          <w:rFonts w:hint="eastAsia"/>
          <w:color w:val="auto"/>
          <w:szCs w:val="21"/>
          <w:highlight w:val="none"/>
        </w:rPr>
        <w:t>1.6 技术部分评审标准：</w:t>
      </w:r>
      <w:r>
        <w:rPr>
          <w:color w:val="auto"/>
          <w:highlight w:val="none"/>
        </w:rPr>
        <w:t>见评标办法前附表</w:t>
      </w:r>
      <w:r>
        <w:rPr>
          <w:rFonts w:hint="eastAsia"/>
          <w:color w:val="auto"/>
          <w:highlight w:val="none"/>
        </w:rPr>
        <w:t>。</w:t>
      </w:r>
    </w:p>
    <w:p w14:paraId="51A995A0">
      <w:pPr>
        <w:snapToGrid w:val="0"/>
        <w:spacing w:line="400" w:lineRule="exact"/>
        <w:ind w:firstLine="420" w:firstLineChars="200"/>
        <w:rPr>
          <w:color w:val="auto"/>
          <w:szCs w:val="21"/>
          <w:highlight w:val="none"/>
        </w:rPr>
      </w:pPr>
      <w:r>
        <w:rPr>
          <w:rFonts w:hint="eastAsia"/>
          <w:color w:val="auto"/>
          <w:szCs w:val="21"/>
          <w:highlight w:val="none"/>
        </w:rPr>
        <w:t>1.7</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2E6F0682">
      <w:pPr>
        <w:pStyle w:val="3"/>
        <w:snapToGrid w:val="0"/>
        <w:spacing w:before="0" w:after="0" w:line="400" w:lineRule="exact"/>
        <w:ind w:firstLine="300" w:firstLineChars="100"/>
        <w:rPr>
          <w:color w:val="auto"/>
          <w:highlight w:val="none"/>
        </w:rPr>
      </w:pPr>
      <w:bookmarkStart w:id="352" w:name="_Toc211498666"/>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.评审程序</w:t>
      </w:r>
      <w:bookmarkEnd w:id="352"/>
    </w:p>
    <w:p w14:paraId="3A0F2D94">
      <w:pPr>
        <w:snapToGrid w:val="0"/>
        <w:spacing w:line="400" w:lineRule="exact"/>
        <w:ind w:firstLine="420" w:firstLineChars="200"/>
        <w:rPr>
          <w:color w:val="auto"/>
          <w:highlight w:val="none"/>
        </w:rPr>
      </w:pPr>
      <w:r>
        <w:rPr>
          <w:rFonts w:hint="eastAsia"/>
          <w:color w:val="auto"/>
          <w:highlight w:val="none"/>
        </w:rPr>
        <w:t>2.1异常低价警戒线评审：具体详见评标办法前附表规定。</w:t>
      </w:r>
    </w:p>
    <w:p w14:paraId="0A728DFC">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2.2 初步评审：形式、资格、响应性评审；</w:t>
      </w:r>
    </w:p>
    <w:p w14:paraId="5A14EF65">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2.3 商务评审，包括类似工程业绩、信用、项目经理类似工程业绩（如有）；</w:t>
      </w:r>
    </w:p>
    <w:p w14:paraId="1E3F4A3B">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2.4 评标委员会复核确认；</w:t>
      </w:r>
    </w:p>
    <w:p w14:paraId="6AB0C529">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2.5 评标委员会邀请招标人、招标代理机构进行复核，并提出复核意见，评标委员会对复核意见进行讨论，并记录</w:t>
      </w:r>
      <w:r>
        <w:rPr>
          <w:rFonts w:hint="eastAsia"/>
          <w:color w:val="auto"/>
          <w:szCs w:val="21"/>
          <w:highlight w:val="none"/>
        </w:rPr>
        <w:t>采纳和不采纳情况及不采纳理由</w:t>
      </w:r>
      <w:r>
        <w:rPr>
          <w:rFonts w:hint="eastAsia"/>
          <w:color w:val="auto"/>
          <w:kern w:val="0"/>
          <w:szCs w:val="32"/>
          <w:highlight w:val="none"/>
        </w:rPr>
        <w:t>；</w:t>
      </w:r>
    </w:p>
    <w:p w14:paraId="6946F10A">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2.6 技术评审；</w:t>
      </w:r>
    </w:p>
    <w:p w14:paraId="4CF94058">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2.7确定进入报价评审的合格投标人名单；</w:t>
      </w:r>
    </w:p>
    <w:p w14:paraId="322C64CB">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2.8</w:t>
      </w:r>
      <w:r>
        <w:rPr>
          <w:color w:val="auto"/>
          <w:kern w:val="0"/>
          <w:szCs w:val="32"/>
          <w:highlight w:val="none"/>
        </w:rPr>
        <w:t>汇总评分结果</w:t>
      </w:r>
      <w:r>
        <w:rPr>
          <w:rFonts w:hint="eastAsia"/>
          <w:color w:val="auto"/>
          <w:kern w:val="0"/>
          <w:szCs w:val="32"/>
          <w:highlight w:val="none"/>
        </w:rPr>
        <w:t>；</w:t>
      </w:r>
    </w:p>
    <w:p w14:paraId="25C13549">
      <w:pPr>
        <w:spacing w:line="360" w:lineRule="auto"/>
        <w:ind w:firstLine="420" w:firstLineChars="200"/>
        <w:rPr>
          <w:color w:val="auto"/>
          <w:highlight w:val="none"/>
        </w:rPr>
      </w:pPr>
      <w:r>
        <w:rPr>
          <w:rFonts w:hint="eastAsia"/>
          <w:color w:val="auto"/>
          <w:highlight w:val="none"/>
        </w:rPr>
        <w:t xml:space="preserve">2.9 </w:t>
      </w:r>
      <w:r>
        <w:rPr>
          <w:color w:val="auto"/>
          <w:highlight w:val="none"/>
        </w:rPr>
        <w:t>提交评标报告。</w:t>
      </w:r>
    </w:p>
    <w:p w14:paraId="728DD6B1">
      <w:pPr>
        <w:pStyle w:val="3"/>
        <w:snapToGrid w:val="0"/>
        <w:spacing w:before="0" w:after="0" w:line="400" w:lineRule="exact"/>
        <w:rPr>
          <w:rFonts w:ascii="Times New Roman" w:hAnsi="Times New Roman" w:eastAsia="黑体"/>
          <w:b w:val="0"/>
          <w:bCs w:val="0"/>
          <w:color w:val="auto"/>
          <w:sz w:val="30"/>
          <w:highlight w:val="none"/>
        </w:rPr>
      </w:pPr>
      <w:bookmarkStart w:id="353" w:name="_Toc211498667"/>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.形式、资格、响应性评审</w:t>
      </w:r>
      <w:bookmarkEnd w:id="353"/>
    </w:p>
    <w:p w14:paraId="4004854B">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依据评标办法的规定对投标文件进行评审。有一项不符合评审标准的，应当予以否决。</w:t>
      </w:r>
    </w:p>
    <w:p w14:paraId="6E978ADF">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.1 形式评审</w:t>
      </w:r>
    </w:p>
    <w:p w14:paraId="3DC2A19F">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根据评标办法前附表中规定的评审因素和评审标准，对投标人的投标文件进行形式评审。</w:t>
      </w:r>
    </w:p>
    <w:p w14:paraId="0A81137C">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.2 资格评审</w:t>
      </w:r>
    </w:p>
    <w:p w14:paraId="3D0E4C79">
      <w:pPr>
        <w:spacing w:line="360" w:lineRule="auto"/>
        <w:ind w:firstLine="420" w:firstLineChars="200"/>
        <w:rPr>
          <w:color w:val="auto"/>
          <w:highlight w:val="none"/>
        </w:rPr>
      </w:pPr>
      <w:r>
        <w:rPr>
          <w:rFonts w:hint="eastAsia"/>
          <w:color w:val="auto"/>
          <w:highlight w:val="none"/>
        </w:rPr>
        <w:t>3</w:t>
      </w:r>
      <w:r>
        <w:rPr>
          <w:color w:val="auto"/>
          <w:highlight w:val="none"/>
        </w:rPr>
        <w:t>.2.1未进行资格预审的，由</w:t>
      </w:r>
      <w:r>
        <w:rPr>
          <w:rFonts w:hint="eastAsia"/>
          <w:color w:val="auto"/>
          <w:szCs w:val="21"/>
          <w:highlight w:val="none"/>
        </w:rPr>
        <w:t>交易系统</w:t>
      </w:r>
      <w:r>
        <w:rPr>
          <w:color w:val="auto"/>
          <w:highlight w:val="none"/>
        </w:rPr>
        <w:t>根据评标办法前附表规定的评审因素和评审标准，对投标人的投标文件进行资格评审。</w:t>
      </w:r>
    </w:p>
    <w:p w14:paraId="1EFBACC7">
      <w:pPr>
        <w:spacing w:line="360" w:lineRule="auto"/>
        <w:ind w:firstLine="420" w:firstLineChars="200"/>
        <w:rPr>
          <w:color w:val="auto"/>
          <w:highlight w:val="none"/>
        </w:rPr>
      </w:pPr>
      <w:r>
        <w:rPr>
          <w:rFonts w:hint="eastAsia"/>
          <w:color w:val="auto"/>
          <w:highlight w:val="none"/>
        </w:rPr>
        <w:t>3</w:t>
      </w:r>
      <w:r>
        <w:rPr>
          <w:color w:val="auto"/>
          <w:highlight w:val="none"/>
        </w:rPr>
        <w:t>.2.</w:t>
      </w:r>
      <w:r>
        <w:rPr>
          <w:rFonts w:hint="eastAsia"/>
          <w:color w:val="auto"/>
          <w:highlight w:val="none"/>
        </w:rPr>
        <w:t>2</w:t>
      </w:r>
      <w:r>
        <w:rPr>
          <w:color w:val="auto"/>
          <w:highlight w:val="none"/>
        </w:rPr>
        <w:t>已进行资格预审的，</w:t>
      </w:r>
      <w:r>
        <w:rPr>
          <w:rFonts w:hint="eastAsia"/>
          <w:color w:val="auto"/>
          <w:szCs w:val="21"/>
          <w:highlight w:val="none"/>
        </w:rPr>
        <w:t>交易系统</w:t>
      </w:r>
      <w:r>
        <w:rPr>
          <w:color w:val="auto"/>
          <w:highlight w:val="none"/>
        </w:rPr>
        <w:t>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w:t>
      </w:r>
      <w:r>
        <w:rPr>
          <w:rFonts w:hint="eastAsia"/>
          <w:color w:val="auto"/>
          <w:szCs w:val="21"/>
          <w:highlight w:val="none"/>
        </w:rPr>
        <w:t>交易系统</w:t>
      </w:r>
      <w:r>
        <w:rPr>
          <w:color w:val="auto"/>
          <w:highlight w:val="none"/>
        </w:rPr>
        <w:t>依据资格预审文件规定的标准和方法，对照投标人资格预审申请文件中的资料以及开标前更新的资料，对其更新的资料进行评审，其变化后的资格条件不得低于原有资格条件要求。</w:t>
      </w:r>
    </w:p>
    <w:p w14:paraId="550E4CB2">
      <w:pPr>
        <w:spacing w:line="360" w:lineRule="auto"/>
        <w:ind w:firstLine="420" w:firstLineChars="200"/>
        <w:rPr>
          <w:color w:val="auto"/>
          <w:szCs w:val="21"/>
          <w:highlight w:val="none"/>
        </w:rPr>
      </w:pPr>
      <w:r>
        <w:rPr>
          <w:rFonts w:hint="eastAsia"/>
          <w:color w:val="auto"/>
          <w:szCs w:val="21"/>
          <w:highlight w:val="none"/>
        </w:rPr>
        <w:t>3.3 响应性评审</w:t>
      </w:r>
    </w:p>
    <w:p w14:paraId="62E0BDBE">
      <w:pPr>
        <w:spacing w:line="360" w:lineRule="auto"/>
        <w:ind w:firstLine="420" w:firstLineChars="200"/>
        <w:rPr>
          <w:color w:val="auto"/>
          <w:highlight w:val="none"/>
        </w:rPr>
      </w:pPr>
      <w:r>
        <w:rPr>
          <w:rFonts w:hint="eastAsia"/>
          <w:color w:val="auto"/>
          <w:highlight w:val="none"/>
        </w:rPr>
        <w:t>3</w:t>
      </w:r>
      <w:r>
        <w:rPr>
          <w:color w:val="auto"/>
          <w:highlight w:val="none"/>
        </w:rPr>
        <w:t xml:space="preserve">.3.1 </w:t>
      </w:r>
      <w:r>
        <w:rPr>
          <w:rFonts w:hint="eastAsia"/>
          <w:color w:val="auto"/>
          <w:szCs w:val="21"/>
          <w:highlight w:val="none"/>
        </w:rPr>
        <w:t>交易系统</w:t>
      </w:r>
      <w:r>
        <w:rPr>
          <w:color w:val="auto"/>
          <w:highlight w:val="none"/>
        </w:rPr>
        <w:t>根据评标办法前附表中规定的评审因素和评审标准，对投标人的投标文件进行响应性评审。</w:t>
      </w:r>
    </w:p>
    <w:p w14:paraId="38355729">
      <w:pPr>
        <w:spacing w:line="360" w:lineRule="auto"/>
        <w:ind w:firstLine="420" w:firstLineChars="200"/>
        <w:rPr>
          <w:color w:val="auto"/>
          <w:highlight w:val="none"/>
        </w:rPr>
      </w:pPr>
      <w:r>
        <w:rPr>
          <w:rFonts w:hint="eastAsia"/>
          <w:color w:val="auto"/>
          <w:highlight w:val="none"/>
        </w:rPr>
        <w:t>3</w:t>
      </w:r>
      <w:r>
        <w:rPr>
          <w:color w:val="auto"/>
          <w:highlight w:val="none"/>
        </w:rPr>
        <w:t>.3.2 招标文件设定了最高投标限价的，投标人投标价格不得超出（不含等于）“投标人须知”前附表载明的最高投标限价。</w:t>
      </w:r>
    </w:p>
    <w:p w14:paraId="7239D147">
      <w:pPr>
        <w:spacing w:line="360" w:lineRule="auto"/>
        <w:ind w:firstLine="420" w:firstLineChars="200"/>
        <w:rPr>
          <w:color w:val="auto"/>
          <w:szCs w:val="21"/>
          <w:highlight w:val="none"/>
        </w:rPr>
      </w:pPr>
      <w:r>
        <w:rPr>
          <w:rFonts w:hint="eastAsia"/>
          <w:color w:val="auto"/>
          <w:szCs w:val="21"/>
          <w:highlight w:val="none"/>
        </w:rPr>
        <w:t>3.4  算术错误修正（适用于招标人自主确定清单计量计价的项目）</w:t>
      </w:r>
    </w:p>
    <w:p w14:paraId="50318A3A">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交易系统检查投标人投标报价是否有算术错误，算术性错误分析和修正按以下原则进行，修正的价格经投标人通过电子交易平台确认后具有约束力。投标人不接受修正价格的，应当否决其投标。</w:t>
      </w:r>
    </w:p>
    <w:p w14:paraId="4DDB63D7">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655DFA94">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59D00A68">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6FC37900">
      <w:pPr>
        <w:spacing w:line="360" w:lineRule="auto"/>
        <w:ind w:firstLine="420" w:firstLineChars="200"/>
        <w:rPr>
          <w:color w:val="auto"/>
          <w:szCs w:val="21"/>
          <w:highlight w:val="none"/>
        </w:rPr>
      </w:pPr>
      <w:r>
        <w:rPr>
          <w:rFonts w:hint="eastAsia"/>
          <w:color w:val="auto"/>
          <w:szCs w:val="21"/>
          <w:highlight w:val="none"/>
        </w:rPr>
        <w:t>3.4  算术误差修正，细微偏差、报价合理性、报价完整性(漏报或未报)分析（适用于采用“24清单标准”的项目）</w:t>
      </w:r>
    </w:p>
    <w:p w14:paraId="0A1BD88E">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交易系统检查投标人投标报价是否有算术误差、细微偏差、报价合理性、报价完整性(漏报或未报)问题，并按第二章投标人须知前附表第10.18.5款“规定”由招标人委托评标委员会启动投标报价澄清或说明。</w:t>
      </w:r>
    </w:p>
    <w:p w14:paraId="7C67655E">
      <w:pPr>
        <w:spacing w:line="360" w:lineRule="auto"/>
        <w:ind w:firstLine="420" w:firstLineChars="200"/>
        <w:rPr>
          <w:color w:val="auto"/>
          <w:highlight w:val="none"/>
        </w:rPr>
      </w:pPr>
      <w:r>
        <w:rPr>
          <w:rFonts w:hint="eastAsia"/>
          <w:color w:val="auto"/>
          <w:szCs w:val="21"/>
          <w:highlight w:val="none"/>
        </w:rPr>
        <w:t>按第二章投标人须知前附表第10.18.5款“规定”中第2小点对投标人的投标文件存在算术误差及细微偏差进行修正的，修正报价汇总后的总价应与投标总价扉页内填报的投标总价一致，修正的价格经投标人通过电子交易平台确认后具有约束力。投标人不接受修正价格的，应当否决其投标。投标人对修正结果有不同意见或未通过电子交易平台进行确认的，评标委员会应重新复核修正结果，再次按上述程序分别进行确认、复核。</w:t>
      </w:r>
    </w:p>
    <w:p w14:paraId="19175F5C">
      <w:pPr>
        <w:spacing w:line="360" w:lineRule="auto"/>
        <w:ind w:firstLine="630" w:firstLineChars="300"/>
        <w:rPr>
          <w:color w:val="auto"/>
          <w:szCs w:val="21"/>
          <w:highlight w:val="none"/>
        </w:rPr>
      </w:pPr>
      <w:r>
        <w:rPr>
          <w:rFonts w:hint="eastAsia"/>
          <w:color w:val="auto"/>
          <w:szCs w:val="21"/>
          <w:highlight w:val="none"/>
        </w:rPr>
        <w:t>3.5是否予以否决投标</w:t>
      </w:r>
    </w:p>
    <w:p w14:paraId="4379C19B">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14:paraId="3230CFF0">
      <w:pPr>
        <w:pStyle w:val="3"/>
        <w:snapToGrid w:val="0"/>
        <w:spacing w:before="0" w:after="0" w:line="360" w:lineRule="auto"/>
        <w:rPr>
          <w:rFonts w:ascii="Times New Roman" w:hAnsi="Times New Roman" w:eastAsia="黑体"/>
          <w:b w:val="0"/>
          <w:bCs w:val="0"/>
          <w:color w:val="auto"/>
          <w:sz w:val="30"/>
          <w:highlight w:val="none"/>
        </w:rPr>
      </w:pPr>
      <w:bookmarkStart w:id="354" w:name="_Toc211498668"/>
      <w:r>
        <w:rPr>
          <w:rFonts w:hint="eastAsia" w:ascii="Times New Roman" w:hAnsi="Times New Roman" w:eastAsia="黑体"/>
          <w:b w:val="0"/>
          <w:bCs w:val="0"/>
          <w:color w:val="auto"/>
          <w:sz w:val="30"/>
          <w:highlight w:val="none"/>
        </w:rPr>
        <w:t>4</w:t>
      </w:r>
      <w:r>
        <w:rPr>
          <w:rFonts w:ascii="Times New Roman" w:hAnsi="Times New Roman" w:eastAsia="黑体"/>
          <w:b w:val="0"/>
          <w:bCs w:val="0"/>
          <w:color w:val="auto"/>
          <w:sz w:val="30"/>
          <w:highlight w:val="none"/>
        </w:rPr>
        <w:t>.商务评审</w:t>
      </w:r>
      <w:bookmarkEnd w:id="354"/>
    </w:p>
    <w:p w14:paraId="37E14976">
      <w:pPr>
        <w:snapToGrid w:val="0"/>
        <w:spacing w:after="0" w:line="360" w:lineRule="auto"/>
        <w:rPr>
          <w:color w:val="auto"/>
          <w:szCs w:val="21"/>
          <w:highlight w:val="none"/>
        </w:rPr>
      </w:pPr>
      <w:r>
        <w:rPr>
          <w:rFonts w:hint="eastAsia" w:eastAsia="黑体"/>
          <w:color w:val="auto"/>
          <w:sz w:val="24"/>
          <w:highlight w:val="none"/>
        </w:rPr>
        <w:t xml:space="preserve">   </w:t>
      </w:r>
      <w:r>
        <w:rPr>
          <w:rFonts w:hint="eastAsia"/>
          <w:color w:val="auto"/>
          <w:szCs w:val="21"/>
          <w:highlight w:val="none"/>
        </w:rPr>
        <w:t>交易系统</w:t>
      </w:r>
      <w:r>
        <w:rPr>
          <w:color w:val="auto"/>
          <w:szCs w:val="21"/>
          <w:highlight w:val="none"/>
        </w:rPr>
        <w:t>按照规定的评审因素和标准进行评审计分</w:t>
      </w:r>
      <w:r>
        <w:rPr>
          <w:rFonts w:hint="eastAsia"/>
          <w:color w:val="auto"/>
          <w:szCs w:val="21"/>
          <w:highlight w:val="none"/>
        </w:rPr>
        <w:t>。</w:t>
      </w:r>
    </w:p>
    <w:p w14:paraId="2262D79B">
      <w:pPr>
        <w:pStyle w:val="3"/>
        <w:snapToGrid w:val="0"/>
        <w:spacing w:before="0" w:after="0" w:line="400" w:lineRule="exact"/>
        <w:rPr>
          <w:rFonts w:ascii="Times New Roman" w:hAnsi="Times New Roman" w:eastAsia="黑体"/>
          <w:b w:val="0"/>
          <w:bCs w:val="0"/>
          <w:color w:val="auto"/>
          <w:sz w:val="30"/>
          <w:highlight w:val="none"/>
        </w:rPr>
      </w:pPr>
      <w:bookmarkStart w:id="355" w:name="_Toc211498669"/>
      <w:r>
        <w:rPr>
          <w:rFonts w:hint="eastAsia" w:ascii="Times New Roman" w:hAnsi="Times New Roman" w:eastAsia="黑体"/>
          <w:b w:val="0"/>
          <w:bCs w:val="0"/>
          <w:color w:val="auto"/>
          <w:sz w:val="30"/>
          <w:szCs w:val="21"/>
          <w:highlight w:val="none"/>
        </w:rPr>
        <w:t>5</w:t>
      </w:r>
      <w:r>
        <w:rPr>
          <w:rFonts w:ascii="Times New Roman" w:hAnsi="Times New Roman" w:eastAsia="黑体"/>
          <w:b w:val="0"/>
          <w:bCs w:val="0"/>
          <w:color w:val="auto"/>
          <w:sz w:val="30"/>
          <w:highlight w:val="none"/>
        </w:rPr>
        <w:t xml:space="preserve">. </w:t>
      </w:r>
      <w:r>
        <w:rPr>
          <w:rFonts w:hint="eastAsia" w:ascii="Times New Roman" w:hAnsi="Times New Roman" w:eastAsia="黑体"/>
          <w:b w:val="0"/>
          <w:bCs w:val="0"/>
          <w:color w:val="auto"/>
          <w:sz w:val="30"/>
          <w:highlight w:val="none"/>
        </w:rPr>
        <w:t>评标委员会复核</w:t>
      </w:r>
      <w:bookmarkEnd w:id="355"/>
    </w:p>
    <w:p w14:paraId="52922455">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20FACB39">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0FD61E09">
      <w:pPr>
        <w:pStyle w:val="3"/>
        <w:snapToGrid w:val="0"/>
        <w:spacing w:before="0" w:after="0" w:line="360" w:lineRule="auto"/>
        <w:rPr>
          <w:rFonts w:ascii="Times New Roman" w:hAnsi="Times New Roman" w:eastAsia="黑体"/>
          <w:b w:val="0"/>
          <w:bCs w:val="0"/>
          <w:color w:val="auto"/>
          <w:sz w:val="30"/>
          <w:highlight w:val="none"/>
        </w:rPr>
      </w:pPr>
      <w:bookmarkStart w:id="356" w:name="_Toc211498670"/>
      <w:r>
        <w:rPr>
          <w:rFonts w:hint="eastAsia" w:eastAsia="黑体"/>
          <w:color w:val="auto"/>
          <w:sz w:val="30"/>
          <w:highlight w:val="none"/>
        </w:rPr>
        <w:t>6</w:t>
      </w:r>
      <w:bookmarkEnd w:id="356"/>
      <w:bookmarkStart w:id="357" w:name="_Toc211498671"/>
      <w:r>
        <w:rPr>
          <w:rFonts w:ascii="Times New Roman" w:hAnsi="Times New Roman" w:eastAsia="黑体"/>
          <w:b w:val="0"/>
          <w:bCs w:val="0"/>
          <w:color w:val="auto"/>
          <w:sz w:val="30"/>
          <w:highlight w:val="none"/>
        </w:rPr>
        <w:t>.技术评审</w:t>
      </w:r>
      <w:bookmarkEnd w:id="357"/>
    </w:p>
    <w:p w14:paraId="6E232963">
      <w:pPr>
        <w:spacing w:line="360" w:lineRule="auto"/>
        <w:ind w:firstLine="420" w:firstLineChars="200"/>
        <w:rPr>
          <w:color w:val="auto"/>
          <w:highlight w:val="none"/>
        </w:rPr>
      </w:pPr>
      <w:r>
        <w:rPr>
          <w:color w:val="auto"/>
          <w:szCs w:val="21"/>
          <w:highlight w:val="none"/>
        </w:rPr>
        <w:t>评标委员会按照规定的评审因素和标准进行评审计分</w:t>
      </w:r>
      <w:r>
        <w:rPr>
          <w:rFonts w:hint="eastAsia"/>
          <w:color w:val="auto"/>
          <w:szCs w:val="21"/>
          <w:highlight w:val="none"/>
        </w:rPr>
        <w:t>。技术方案采用暗标形式，投标文件的技术标暗标内出现投标人名称或者出现任何能直接判断出投标人名称的内容，评标委员会应当否决其投标。</w:t>
      </w:r>
    </w:p>
    <w:p w14:paraId="12C67F5D">
      <w:pPr>
        <w:pStyle w:val="3"/>
        <w:snapToGrid w:val="0"/>
        <w:spacing w:before="0" w:after="0" w:line="400" w:lineRule="exact"/>
        <w:rPr>
          <w:rFonts w:ascii="Times New Roman" w:hAnsi="Times New Roman" w:eastAsia="黑体"/>
          <w:b w:val="0"/>
          <w:bCs w:val="0"/>
          <w:color w:val="auto"/>
          <w:sz w:val="30"/>
          <w:highlight w:val="none"/>
        </w:rPr>
      </w:pPr>
      <w:bookmarkStart w:id="358" w:name="_Toc211498672"/>
      <w:r>
        <w:rPr>
          <w:rFonts w:hint="eastAsia" w:ascii="Times New Roman" w:hAnsi="Times New Roman" w:eastAsia="黑体"/>
          <w:b w:val="0"/>
          <w:bCs w:val="0"/>
          <w:color w:val="auto"/>
          <w:sz w:val="30"/>
          <w:highlight w:val="none"/>
        </w:rPr>
        <w:t>7</w:t>
      </w:r>
      <w:r>
        <w:rPr>
          <w:rFonts w:ascii="Times New Roman" w:hAnsi="Times New Roman" w:eastAsia="黑体"/>
          <w:b w:val="0"/>
          <w:bCs w:val="0"/>
          <w:color w:val="auto"/>
          <w:sz w:val="30"/>
          <w:highlight w:val="none"/>
        </w:rPr>
        <w:t>.确定进入第二阶段报价</w:t>
      </w:r>
      <w:r>
        <w:rPr>
          <w:rFonts w:hint="eastAsia" w:ascii="Times New Roman" w:hAnsi="Times New Roman" w:eastAsia="黑体"/>
          <w:b w:val="0"/>
          <w:bCs w:val="0"/>
          <w:color w:val="auto"/>
          <w:sz w:val="30"/>
          <w:highlight w:val="none"/>
        </w:rPr>
        <w:t>评审</w:t>
      </w:r>
      <w:r>
        <w:rPr>
          <w:rFonts w:ascii="Times New Roman" w:hAnsi="Times New Roman" w:eastAsia="黑体"/>
          <w:b w:val="0"/>
          <w:bCs w:val="0"/>
          <w:color w:val="auto"/>
          <w:sz w:val="30"/>
          <w:highlight w:val="none"/>
        </w:rPr>
        <w:t>的合格</w:t>
      </w:r>
      <w:r>
        <w:rPr>
          <w:rFonts w:hint="eastAsia" w:ascii="Times New Roman" w:hAnsi="Times New Roman" w:eastAsia="黑体"/>
          <w:b w:val="0"/>
          <w:bCs w:val="0"/>
          <w:color w:val="auto"/>
          <w:sz w:val="30"/>
          <w:highlight w:val="none"/>
        </w:rPr>
        <w:t>投标人</w:t>
      </w:r>
      <w:r>
        <w:rPr>
          <w:rFonts w:ascii="Times New Roman" w:hAnsi="Times New Roman" w:eastAsia="黑体"/>
          <w:b w:val="0"/>
          <w:bCs w:val="0"/>
          <w:color w:val="auto"/>
          <w:sz w:val="30"/>
          <w:highlight w:val="none"/>
        </w:rPr>
        <w:t>名单</w:t>
      </w:r>
      <w:bookmarkEnd w:id="358"/>
    </w:p>
    <w:p w14:paraId="7B051950">
      <w:pPr>
        <w:spacing w:line="360" w:lineRule="auto"/>
        <w:rPr>
          <w:color w:val="auto"/>
          <w:szCs w:val="21"/>
          <w:highlight w:val="none"/>
        </w:rPr>
      </w:pPr>
      <w:r>
        <w:rPr>
          <w:rFonts w:hint="eastAsia"/>
          <w:color w:val="auto"/>
          <w:szCs w:val="21"/>
          <w:highlight w:val="none"/>
        </w:rPr>
        <w:t xml:space="preserve"> </w:t>
      </w:r>
      <w:r>
        <w:rPr>
          <w:color w:val="auto"/>
          <w:szCs w:val="21"/>
          <w:highlight w:val="none"/>
        </w:rPr>
        <w:t xml:space="preserve">   </w:t>
      </w:r>
      <w:r>
        <w:rPr>
          <w:rFonts w:hint="eastAsia" w:ascii="宋体" w:hAnsi="宋体" w:cs="宋体"/>
          <w:color w:val="auto"/>
          <w:szCs w:val="21"/>
          <w:highlight w:val="none"/>
        </w:rPr>
        <w:t>详见本章评标办法前附表</w:t>
      </w:r>
    </w:p>
    <w:p w14:paraId="7B9025A3">
      <w:pPr>
        <w:pStyle w:val="3"/>
        <w:snapToGrid w:val="0"/>
        <w:spacing w:before="0" w:after="0" w:line="400" w:lineRule="exact"/>
        <w:rPr>
          <w:rFonts w:ascii="Times New Roman" w:hAnsi="Times New Roman" w:eastAsia="黑体"/>
          <w:b w:val="0"/>
          <w:bCs w:val="0"/>
          <w:color w:val="auto"/>
          <w:sz w:val="30"/>
          <w:highlight w:val="none"/>
        </w:rPr>
      </w:pPr>
      <w:bookmarkStart w:id="359" w:name="_Toc211498673"/>
      <w:r>
        <w:rPr>
          <w:rFonts w:hint="eastAsia" w:ascii="Times New Roman" w:hAnsi="Times New Roman" w:eastAsia="黑体"/>
          <w:b w:val="0"/>
          <w:bCs w:val="0"/>
          <w:color w:val="auto"/>
          <w:sz w:val="30"/>
          <w:highlight w:val="none"/>
        </w:rPr>
        <w:t>8</w:t>
      </w:r>
      <w:r>
        <w:rPr>
          <w:rFonts w:ascii="Times New Roman" w:hAnsi="Times New Roman" w:eastAsia="黑体"/>
          <w:b w:val="0"/>
          <w:bCs w:val="0"/>
          <w:color w:val="auto"/>
          <w:sz w:val="30"/>
          <w:highlight w:val="none"/>
        </w:rPr>
        <w:t>.投标报价评审</w:t>
      </w:r>
      <w:bookmarkEnd w:id="359"/>
    </w:p>
    <w:p w14:paraId="1496732C">
      <w:pPr>
        <w:spacing w:line="360" w:lineRule="auto"/>
        <w:ind w:firstLine="420" w:firstLineChars="200"/>
        <w:rPr>
          <w:color w:val="auto"/>
          <w:highlight w:val="none"/>
        </w:rPr>
      </w:pPr>
      <w:r>
        <w:rPr>
          <w:rFonts w:hint="eastAsia" w:ascii="宋体" w:hAnsi="宋体" w:cs="宋体"/>
          <w:color w:val="auto"/>
          <w:szCs w:val="21"/>
          <w:highlight w:val="none"/>
        </w:rPr>
        <w:t>对进入第二阶段的投标人的报价文件按照评标价量化标准进行评分，将</w:t>
      </w:r>
      <w:r>
        <w:rPr>
          <w:rFonts w:hint="eastAsia"/>
          <w:color w:val="auto"/>
          <w:highlight w:val="none"/>
        </w:rPr>
        <w:t>投标价格由低到高的顺序排列。</w:t>
      </w:r>
    </w:p>
    <w:p w14:paraId="4D55F004">
      <w:pPr>
        <w:pStyle w:val="3"/>
        <w:snapToGrid w:val="0"/>
        <w:spacing w:before="0" w:after="0" w:line="400" w:lineRule="exact"/>
        <w:rPr>
          <w:rFonts w:ascii="Times New Roman" w:hAnsi="Times New Roman" w:eastAsia="黑体"/>
          <w:b w:val="0"/>
          <w:bCs w:val="0"/>
          <w:color w:val="auto"/>
          <w:sz w:val="30"/>
          <w:highlight w:val="none"/>
        </w:rPr>
      </w:pPr>
      <w:bookmarkStart w:id="360" w:name="_Toc211498674"/>
      <w:r>
        <w:rPr>
          <w:rFonts w:hint="eastAsia" w:ascii="Times New Roman" w:hAnsi="Times New Roman" w:eastAsia="黑体"/>
          <w:b w:val="0"/>
          <w:bCs w:val="0"/>
          <w:color w:val="auto"/>
          <w:sz w:val="30"/>
          <w:highlight w:val="none"/>
        </w:rPr>
        <w:t>9</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投标文件的澄清和补正</w:t>
      </w:r>
      <w:bookmarkEnd w:id="360"/>
    </w:p>
    <w:p w14:paraId="084B5DB1">
      <w:pPr>
        <w:snapToGrid w:val="0"/>
        <w:spacing w:line="400" w:lineRule="exact"/>
        <w:ind w:firstLine="420" w:firstLineChars="200"/>
        <w:rPr>
          <w:color w:val="auto"/>
          <w:highlight w:val="none"/>
        </w:rPr>
      </w:pPr>
      <w:r>
        <w:rPr>
          <w:rFonts w:hint="eastAsia"/>
          <w:color w:val="auto"/>
          <w:highlight w:val="none"/>
        </w:rPr>
        <w:t>9</w:t>
      </w:r>
      <w:r>
        <w:rPr>
          <w:color w:val="auto"/>
          <w:highlight w:val="none"/>
        </w:rPr>
        <w:t xml:space="preserve">.1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499A0817">
      <w:pPr>
        <w:snapToGrid w:val="0"/>
        <w:spacing w:line="400" w:lineRule="exact"/>
        <w:ind w:firstLine="420" w:firstLineChars="200"/>
        <w:rPr>
          <w:color w:val="auto"/>
          <w:highlight w:val="none"/>
        </w:rPr>
      </w:pPr>
      <w:r>
        <w:rPr>
          <w:rFonts w:hint="eastAsia"/>
          <w:color w:val="auto"/>
          <w:highlight w:val="none"/>
        </w:rPr>
        <w:t>9</w:t>
      </w:r>
      <w:r>
        <w:rPr>
          <w:color w:val="auto"/>
          <w:highlight w:val="none"/>
        </w:rPr>
        <w:t xml:space="preserve">.2 </w:t>
      </w:r>
      <w:r>
        <w:rPr>
          <w:rFonts w:hint="eastAsia"/>
          <w:color w:val="auto"/>
          <w:highlight w:val="none"/>
        </w:rPr>
        <w:t>澄清、说明和补正不得改变投标文件的实质性内容。投标人的书面澄清、说明和补正属于投标文件的组成部分。</w:t>
      </w:r>
    </w:p>
    <w:p w14:paraId="1798B2A6">
      <w:pPr>
        <w:snapToGrid w:val="0"/>
        <w:spacing w:line="400" w:lineRule="exact"/>
        <w:ind w:firstLine="420" w:firstLineChars="200"/>
        <w:rPr>
          <w:color w:val="auto"/>
          <w:highlight w:val="none"/>
        </w:rPr>
      </w:pPr>
      <w:r>
        <w:rPr>
          <w:rFonts w:hint="eastAsia"/>
          <w:color w:val="auto"/>
          <w:highlight w:val="none"/>
        </w:rPr>
        <w:t>9</w:t>
      </w:r>
      <w:r>
        <w:rPr>
          <w:color w:val="auto"/>
          <w:highlight w:val="none"/>
        </w:rPr>
        <w:t xml:space="preserve">.3 </w:t>
      </w:r>
      <w:r>
        <w:rPr>
          <w:rFonts w:hint="eastAsia"/>
          <w:color w:val="auto"/>
          <w:highlight w:val="none"/>
        </w:rPr>
        <w:t>评标委员会对投标人提交的澄清、说明或补正有疑问的，可以要求投标人进一步澄清、说明或补正。</w:t>
      </w:r>
    </w:p>
    <w:p w14:paraId="1C26B1DF">
      <w:pPr>
        <w:snapToGrid w:val="0"/>
        <w:spacing w:line="400" w:lineRule="exact"/>
        <w:ind w:firstLine="420" w:firstLineChars="200"/>
        <w:rPr>
          <w:color w:val="auto"/>
          <w:highlight w:val="none"/>
        </w:rPr>
      </w:pPr>
      <w:r>
        <w:rPr>
          <w:rFonts w:hint="eastAsia"/>
          <w:color w:val="auto"/>
          <w:highlight w:val="none"/>
        </w:rPr>
        <w:t>9</w:t>
      </w:r>
      <w:r>
        <w:rPr>
          <w:color w:val="auto"/>
          <w:highlight w:val="none"/>
        </w:rPr>
        <w:t xml:space="preserve">.4 </w:t>
      </w:r>
      <w:r>
        <w:rPr>
          <w:rFonts w:hint="eastAsia"/>
          <w:color w:val="auto"/>
          <w:highlight w:val="none"/>
        </w:rPr>
        <w:t>评审过程中，评标委员会拟作出否决投标决定的，应要求投标人进行书面澄清、说明或补正，未进行该程序的，不得作出否决投标决定，投标人未按要求进行回复的除外。</w:t>
      </w:r>
    </w:p>
    <w:p w14:paraId="2025FAE6">
      <w:pPr>
        <w:pStyle w:val="3"/>
        <w:snapToGrid w:val="0"/>
        <w:spacing w:before="0" w:after="0" w:line="400" w:lineRule="exact"/>
        <w:rPr>
          <w:rFonts w:ascii="Times New Roman" w:hAnsi="Times New Roman" w:eastAsia="黑体"/>
          <w:b w:val="0"/>
          <w:bCs w:val="0"/>
          <w:color w:val="auto"/>
          <w:sz w:val="30"/>
          <w:highlight w:val="none"/>
        </w:rPr>
      </w:pPr>
      <w:bookmarkStart w:id="361" w:name="_Toc211498675"/>
      <w:r>
        <w:rPr>
          <w:rFonts w:hint="eastAsia" w:ascii="Times New Roman" w:hAnsi="Times New Roman" w:eastAsia="黑体"/>
          <w:b w:val="0"/>
          <w:bCs w:val="0"/>
          <w:color w:val="auto"/>
          <w:sz w:val="30"/>
          <w:highlight w:val="none"/>
        </w:rPr>
        <w:t>10</w:t>
      </w:r>
      <w:r>
        <w:rPr>
          <w:rFonts w:ascii="Times New Roman" w:hAnsi="Times New Roman" w:eastAsia="黑体"/>
          <w:b w:val="0"/>
          <w:bCs w:val="0"/>
          <w:color w:val="auto"/>
          <w:sz w:val="30"/>
          <w:highlight w:val="none"/>
        </w:rPr>
        <w:t>.中标人的确定</w:t>
      </w:r>
      <w:bookmarkEnd w:id="361"/>
    </w:p>
    <w:p w14:paraId="5119BC6A">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.1 推荐中标候选人</w:t>
      </w:r>
    </w:p>
    <w:p w14:paraId="15650644">
      <w:pPr>
        <w:adjustRightInd w:val="0"/>
        <w:snapToGrid w:val="0"/>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评标委员会</w:t>
      </w:r>
      <w:r>
        <w:rPr>
          <w:color w:val="auto"/>
          <w:szCs w:val="21"/>
          <w:highlight w:val="none"/>
        </w:rPr>
        <w:t>在推荐中标候选人时，应遵照以下原则:</w:t>
      </w:r>
    </w:p>
    <w:p w14:paraId="1F2C4DA8">
      <w:pPr>
        <w:spacing w:line="360" w:lineRule="auto"/>
        <w:ind w:left="-103" w:leftChars="-49" w:firstLine="422" w:firstLineChars="201"/>
        <w:rPr>
          <w:color w:val="auto"/>
          <w:szCs w:val="21"/>
          <w:highlight w:val="none"/>
        </w:rPr>
      </w:pPr>
      <w:r>
        <w:rPr>
          <w:color w:val="auto"/>
          <w:szCs w:val="21"/>
          <w:highlight w:val="none"/>
        </w:rPr>
        <w:t>（1） 评标委员会</w:t>
      </w:r>
      <w:r>
        <w:rPr>
          <w:rFonts w:hint="eastAsia"/>
          <w:color w:val="auto"/>
          <w:szCs w:val="21"/>
          <w:highlight w:val="none"/>
        </w:rPr>
        <w:t>将第二阶段</w:t>
      </w:r>
      <w:r>
        <w:rPr>
          <w:rFonts w:hint="eastAsia"/>
          <w:color w:val="auto"/>
          <w:highlight w:val="none"/>
        </w:rPr>
        <w:t>经评审的投标价格由低到高的顺序排列推荐中标候选人</w:t>
      </w:r>
      <w:r>
        <w:rPr>
          <w:color w:val="auto"/>
          <w:szCs w:val="21"/>
          <w:highlight w:val="none"/>
        </w:rPr>
        <w:t>。</w:t>
      </w:r>
      <w:r>
        <w:rPr>
          <w:rFonts w:hint="eastAsia" w:ascii="宋体" w:hAnsi="宋体" w:cs="宋体"/>
          <w:bCs/>
          <w:color w:val="auto"/>
          <w:szCs w:val="21"/>
          <w:highlight w:val="none"/>
        </w:rPr>
        <w:t>投标价格相同不能确定中标候选人高低排序的，由交易系统随机确定不能高低排序的中标候选人。 投标报价以“元”为单位，小数点后保留2位，按四舍五入原则进行排序 。</w:t>
      </w:r>
    </w:p>
    <w:p w14:paraId="23D2C957">
      <w:pPr>
        <w:adjustRightInd w:val="0"/>
        <w:snapToGrid w:val="0"/>
        <w:spacing w:line="360" w:lineRule="auto"/>
        <w:ind w:firstLine="420" w:firstLineChars="200"/>
        <w:rPr>
          <w:color w:val="auto"/>
          <w:szCs w:val="21"/>
          <w:highlight w:val="none"/>
        </w:rPr>
      </w:pPr>
      <w:r>
        <w:rPr>
          <w:color w:val="auto"/>
          <w:szCs w:val="21"/>
          <w:highlight w:val="none"/>
        </w:rPr>
        <w:t>（2）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68329C08">
      <w:pPr>
        <w:adjustRightInd w:val="0"/>
        <w:snapToGrid w:val="0"/>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.1.2 投标人数量少于</w:t>
      </w:r>
      <w:r>
        <w:rPr>
          <w:rFonts w:hint="eastAsia"/>
          <w:color w:val="auto"/>
          <w:szCs w:val="21"/>
          <w:highlight w:val="none"/>
        </w:rPr>
        <w:t>3</w:t>
      </w:r>
      <w:r>
        <w:rPr>
          <w:color w:val="auto"/>
          <w:szCs w:val="21"/>
          <w:highlight w:val="none"/>
        </w:rPr>
        <w:t>个或者所有投标被否决的，招标人应当依法重新招标。</w:t>
      </w:r>
    </w:p>
    <w:p w14:paraId="7BB5910E">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.2 确定中标人</w:t>
      </w:r>
    </w:p>
    <w:p w14:paraId="691C6628">
      <w:pPr>
        <w:adjustRightInd w:val="0"/>
        <w:snapToGrid w:val="0"/>
        <w:spacing w:line="360" w:lineRule="auto"/>
        <w:ind w:firstLine="420" w:firstLineChars="200"/>
        <w:rPr>
          <w:color w:val="auto"/>
          <w:szCs w:val="21"/>
          <w:highlight w:val="none"/>
        </w:rPr>
      </w:pP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000677F9">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.3 编制评标报告</w:t>
      </w:r>
    </w:p>
    <w:p w14:paraId="7EBA6DC4">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2500A7C2">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5B0E042A">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03237F13">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2BA7CFA9">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0CEEC441">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5C63F0BF">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14:paraId="0D8D75ED">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）经评审的投标人排序；</w:t>
      </w:r>
    </w:p>
    <w:p w14:paraId="0D474588">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8</w:t>
      </w:r>
      <w:r>
        <w:rPr>
          <w:color w:val="auto"/>
          <w:szCs w:val="21"/>
          <w:highlight w:val="none"/>
        </w:rPr>
        <w:t>）推荐的中标候选人名单与签订合同前要处理的事宜；</w:t>
      </w:r>
    </w:p>
    <w:p w14:paraId="19385AF7">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9</w:t>
      </w:r>
      <w:r>
        <w:rPr>
          <w:color w:val="auto"/>
          <w:szCs w:val="21"/>
          <w:highlight w:val="none"/>
        </w:rPr>
        <w:t>）澄清、说明、补正事项纪要。</w:t>
      </w:r>
    </w:p>
    <w:p w14:paraId="0081A3C9">
      <w:pPr>
        <w:pStyle w:val="3"/>
        <w:snapToGrid w:val="0"/>
        <w:spacing w:before="0" w:after="0" w:line="400" w:lineRule="exact"/>
        <w:rPr>
          <w:rFonts w:ascii="Times New Roman" w:hAnsi="Times New Roman" w:eastAsia="黑体"/>
          <w:b w:val="0"/>
          <w:bCs w:val="0"/>
          <w:color w:val="auto"/>
          <w:sz w:val="30"/>
          <w:highlight w:val="none"/>
        </w:rPr>
      </w:pPr>
      <w:bookmarkStart w:id="362" w:name="_Toc211498676"/>
      <w:r>
        <w:rPr>
          <w:rFonts w:hint="eastAsia" w:ascii="Times New Roman" w:hAnsi="Times New Roman" w:eastAsia="黑体"/>
          <w:b w:val="0"/>
          <w:bCs w:val="0"/>
          <w:color w:val="auto"/>
          <w:sz w:val="30"/>
          <w:highlight w:val="none"/>
        </w:rPr>
        <w:t>11</w:t>
      </w:r>
      <w:r>
        <w:rPr>
          <w:rFonts w:ascii="Times New Roman" w:hAnsi="Times New Roman" w:eastAsia="黑体"/>
          <w:b w:val="0"/>
          <w:bCs w:val="0"/>
          <w:color w:val="auto"/>
          <w:sz w:val="30"/>
          <w:highlight w:val="none"/>
        </w:rPr>
        <w:t>．特殊情况的处置程序</w:t>
      </w:r>
      <w:bookmarkEnd w:id="362"/>
    </w:p>
    <w:p w14:paraId="2638283D">
      <w:pPr>
        <w:widowControl/>
        <w:spacing w:line="440" w:lineRule="exact"/>
        <w:ind w:left="210" w:leftChars="100" w:firstLine="210" w:firstLineChars="100"/>
        <w:jc w:val="left"/>
        <w:rPr>
          <w:color w:val="auto"/>
          <w:szCs w:val="21"/>
          <w:highlight w:val="none"/>
        </w:rPr>
      </w:pPr>
      <w:r>
        <w:rPr>
          <w:color w:val="auto"/>
          <w:szCs w:val="21"/>
          <w:highlight w:val="none"/>
        </w:rPr>
        <w:t>1</w:t>
      </w:r>
      <w:r>
        <w:rPr>
          <w:rFonts w:hint="eastAsia"/>
          <w:color w:val="auto"/>
          <w:szCs w:val="21"/>
          <w:highlight w:val="none"/>
        </w:rPr>
        <w:t>1</w:t>
      </w:r>
      <w:r>
        <w:rPr>
          <w:color w:val="auto"/>
          <w:szCs w:val="21"/>
          <w:highlight w:val="none"/>
        </w:rPr>
        <w:t>.1 </w:t>
      </w:r>
      <w:r>
        <w:rPr>
          <w:rFonts w:hint="eastAsia"/>
          <w:color w:val="auto"/>
          <w:szCs w:val="21"/>
          <w:highlight w:val="none"/>
        </w:rPr>
        <w:t>施工组织设计（暗标）的评审</w:t>
      </w:r>
    </w:p>
    <w:p w14:paraId="11C7B776">
      <w:pPr>
        <w:widowControl/>
        <w:spacing w:line="440" w:lineRule="exact"/>
        <w:ind w:left="210" w:leftChars="100" w:firstLine="420" w:firstLineChars="200"/>
        <w:jc w:val="left"/>
        <w:rPr>
          <w:color w:val="auto"/>
          <w:szCs w:val="21"/>
          <w:highlight w:val="none"/>
        </w:rPr>
      </w:pPr>
      <w:r>
        <w:rPr>
          <w:rFonts w:hint="eastAsia"/>
          <w:color w:val="auto"/>
          <w:szCs w:val="21"/>
          <w:highlight w:val="none"/>
        </w:rPr>
        <w:t>报价评审完成之后，将施工组织设计编号与投标人名称逐一对应。评标委员会全体成员对评审结果进行汇总和签字确认。</w:t>
      </w:r>
    </w:p>
    <w:p w14:paraId="6A96142B">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1FBA302B">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066EF1EC">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19F43B87">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7E7924B8">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4F70B517">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14:paraId="2D4910B1">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7FD56BEC">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10F3CAE7">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4EE489D9">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2191EAD2">
      <w:pPr>
        <w:pStyle w:val="3"/>
        <w:snapToGrid w:val="0"/>
        <w:spacing w:before="0" w:after="0" w:line="400" w:lineRule="exact"/>
        <w:rPr>
          <w:rFonts w:ascii="Times New Roman" w:hAnsi="Times New Roman" w:eastAsia="黑体"/>
          <w:b w:val="0"/>
          <w:bCs w:val="0"/>
          <w:color w:val="auto"/>
          <w:sz w:val="30"/>
          <w:highlight w:val="none"/>
        </w:rPr>
      </w:pPr>
      <w:bookmarkStart w:id="363" w:name="_Toc211498677"/>
      <w:r>
        <w:rPr>
          <w:rFonts w:ascii="Times New Roman" w:hAnsi="Times New Roman" w:eastAsia="黑体"/>
          <w:b w:val="0"/>
          <w:bCs w:val="0"/>
          <w:color w:val="auto"/>
          <w:sz w:val="30"/>
          <w:highlight w:val="none"/>
        </w:rPr>
        <w:t>1</w:t>
      </w:r>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补充条款</w:t>
      </w:r>
      <w:bookmarkEnd w:id="363"/>
    </w:p>
    <w:p w14:paraId="4C4CAA05">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1C6148A5">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3A8D9632">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229099E3">
      <w:pPr>
        <w:adjustRightInd w:val="0"/>
        <w:snapToGrid w:val="0"/>
        <w:spacing w:line="360" w:lineRule="auto"/>
        <w:ind w:firstLine="420" w:firstLineChars="200"/>
        <w:rPr>
          <w:color w:val="auto"/>
          <w:highlight w:val="none"/>
          <w:lang w:val="zh-CN"/>
        </w:rPr>
      </w:pPr>
      <w:r>
        <w:rPr>
          <w:bCs/>
          <w:color w:val="auto"/>
          <w:highlight w:val="none"/>
        </w:rPr>
        <w:br w:type="page"/>
      </w:r>
    </w:p>
    <w:p w14:paraId="640D30D8">
      <w:pPr>
        <w:pStyle w:val="2"/>
        <w:spacing w:before="0" w:after="0"/>
        <w:jc w:val="center"/>
        <w:rPr>
          <w:rFonts w:ascii="Times New Roman" w:hAnsi="Times New Roman" w:eastAsia="黑体"/>
          <w:b w:val="0"/>
          <w:bCs w:val="0"/>
          <w:color w:val="auto"/>
          <w:highlight w:val="none"/>
        </w:rPr>
      </w:pPr>
      <w:bookmarkStart w:id="364" w:name="_Toc211498678"/>
      <w:r>
        <w:rPr>
          <w:rFonts w:ascii="Times New Roman" w:hAnsi="Times New Roman" w:eastAsia="黑体"/>
          <w:b w:val="0"/>
          <w:bCs w:val="0"/>
          <w:color w:val="auto"/>
          <w:highlight w:val="none"/>
        </w:rPr>
        <w:t>第三章  评标办法（综合评估法</w:t>
      </w:r>
      <w:r>
        <w:rPr>
          <w:rFonts w:hint="eastAsia" w:ascii="Times New Roman" w:hAnsi="Times New Roman" w:eastAsia="黑体"/>
          <w:b w:val="0"/>
          <w:bCs w:val="0"/>
          <w:color w:val="auto"/>
          <w:highlight w:val="none"/>
        </w:rPr>
        <w:t>1</w:t>
      </w:r>
      <w:r>
        <w:rPr>
          <w:rFonts w:ascii="Times New Roman" w:hAnsi="Times New Roman" w:eastAsia="黑体"/>
          <w:b w:val="0"/>
          <w:bCs w:val="0"/>
          <w:color w:val="auto"/>
          <w:highlight w:val="none"/>
        </w:rPr>
        <w:t>）</w:t>
      </w:r>
      <w:bookmarkEnd w:id="303"/>
      <w:bookmarkEnd w:id="364"/>
    </w:p>
    <w:p w14:paraId="5BEA0C49">
      <w:pPr>
        <w:pStyle w:val="2"/>
        <w:spacing w:before="0" w:after="0"/>
        <w:jc w:val="center"/>
        <w:rPr>
          <w:rFonts w:ascii="Times New Roman" w:hAnsi="Times New Roman" w:eastAsia="黑体"/>
          <w:b w:val="0"/>
          <w:bCs w:val="0"/>
          <w:color w:val="auto"/>
          <w:sz w:val="30"/>
          <w:highlight w:val="none"/>
        </w:rPr>
      </w:pPr>
      <w:bookmarkStart w:id="365" w:name="_Toc211498679"/>
      <w:r>
        <w:rPr>
          <w:rFonts w:ascii="Times New Roman" w:hAnsi="Times New Roman" w:eastAsia="黑体"/>
          <w:b w:val="0"/>
          <w:bCs w:val="0"/>
          <w:color w:val="auto"/>
          <w:sz w:val="30"/>
          <w:highlight w:val="none"/>
        </w:rPr>
        <w:t>评标办法前附表</w:t>
      </w:r>
      <w:bookmarkEnd w:id="365"/>
    </w:p>
    <w:tbl>
      <w:tblPr>
        <w:tblStyle w:val="41"/>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935"/>
        <w:gridCol w:w="1568"/>
        <w:gridCol w:w="3854"/>
        <w:gridCol w:w="1009"/>
        <w:gridCol w:w="1366"/>
      </w:tblGrid>
      <w:tr w14:paraId="64AD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6" w:type="dxa"/>
            <w:vAlign w:val="center"/>
          </w:tcPr>
          <w:p w14:paraId="7414F7D6">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503" w:type="dxa"/>
            <w:gridSpan w:val="2"/>
            <w:vAlign w:val="center"/>
          </w:tcPr>
          <w:p w14:paraId="050809CE">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6229" w:type="dxa"/>
            <w:gridSpan w:val="3"/>
            <w:vAlign w:val="center"/>
          </w:tcPr>
          <w:p w14:paraId="08E8CA04">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0179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86" w:type="dxa"/>
            <w:vMerge w:val="restart"/>
            <w:vAlign w:val="center"/>
          </w:tcPr>
          <w:p w14:paraId="3E359AEF">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732" w:type="dxa"/>
            <w:gridSpan w:val="5"/>
            <w:vAlign w:val="center"/>
          </w:tcPr>
          <w:p w14:paraId="3EF08931">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3B80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86" w:type="dxa"/>
            <w:vMerge w:val="continue"/>
            <w:vAlign w:val="center"/>
          </w:tcPr>
          <w:p w14:paraId="4EB09F69">
            <w:pPr>
              <w:jc w:val="center"/>
              <w:rPr>
                <w:rFonts w:hint="eastAsia" w:ascii="宋体" w:hAnsi="宋体" w:cs="宋体"/>
                <w:color w:val="auto"/>
                <w:szCs w:val="21"/>
                <w:highlight w:val="none"/>
              </w:rPr>
            </w:pPr>
          </w:p>
        </w:tc>
        <w:tc>
          <w:tcPr>
            <w:tcW w:w="2503" w:type="dxa"/>
            <w:gridSpan w:val="2"/>
            <w:vAlign w:val="center"/>
          </w:tcPr>
          <w:p w14:paraId="5799AD8F">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229" w:type="dxa"/>
            <w:gridSpan w:val="3"/>
            <w:vAlign w:val="center"/>
          </w:tcPr>
          <w:p w14:paraId="68AC064B">
            <w:pPr>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与营业执照、资质证书、安全生产许可证上的名称一致；省外企业名称与在“湖南省建筑市场监管公共服务平台”报送的一致，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7D23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86" w:type="dxa"/>
            <w:vMerge w:val="continue"/>
            <w:vAlign w:val="center"/>
          </w:tcPr>
          <w:p w14:paraId="23C809E6">
            <w:pPr>
              <w:jc w:val="center"/>
              <w:rPr>
                <w:rFonts w:hint="eastAsia" w:ascii="宋体" w:hAnsi="宋体" w:cs="宋体"/>
                <w:color w:val="auto"/>
                <w:szCs w:val="21"/>
                <w:highlight w:val="none"/>
              </w:rPr>
            </w:pPr>
          </w:p>
        </w:tc>
        <w:tc>
          <w:tcPr>
            <w:tcW w:w="2503" w:type="dxa"/>
            <w:gridSpan w:val="2"/>
            <w:vAlign w:val="center"/>
          </w:tcPr>
          <w:p w14:paraId="6E257095">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6229" w:type="dxa"/>
            <w:gridSpan w:val="3"/>
            <w:vAlign w:val="center"/>
          </w:tcPr>
          <w:p w14:paraId="335D3E3D">
            <w:pPr>
              <w:jc w:val="left"/>
              <w:rPr>
                <w:rFonts w:hint="eastAsia" w:ascii="宋体" w:hAnsi="宋体" w:cs="宋体"/>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4551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6" w:type="dxa"/>
            <w:vMerge w:val="continue"/>
            <w:vAlign w:val="center"/>
          </w:tcPr>
          <w:p w14:paraId="55B04402">
            <w:pPr>
              <w:jc w:val="center"/>
              <w:rPr>
                <w:rFonts w:hint="eastAsia" w:ascii="宋体" w:hAnsi="宋体" w:cs="宋体"/>
                <w:color w:val="auto"/>
                <w:szCs w:val="21"/>
                <w:highlight w:val="none"/>
              </w:rPr>
            </w:pPr>
          </w:p>
        </w:tc>
        <w:tc>
          <w:tcPr>
            <w:tcW w:w="2503" w:type="dxa"/>
            <w:gridSpan w:val="2"/>
            <w:vAlign w:val="center"/>
          </w:tcPr>
          <w:p w14:paraId="4D9A4EC4">
            <w:pPr>
              <w:jc w:val="center"/>
              <w:rPr>
                <w:rFonts w:hint="eastAsia" w:ascii="宋体" w:hAnsi="宋体" w:cs="宋体"/>
                <w:color w:val="auto"/>
                <w:szCs w:val="21"/>
                <w:highlight w:val="none"/>
              </w:rPr>
            </w:pPr>
            <w:r>
              <w:rPr>
                <w:rFonts w:hint="eastAsia" w:ascii="宋体" w:hAnsi="宋体" w:cs="宋体"/>
                <w:bCs/>
                <w:color w:val="auto"/>
                <w:szCs w:val="21"/>
                <w:highlight w:val="none"/>
              </w:rPr>
              <w:t>授权委托书（如有）</w:t>
            </w:r>
          </w:p>
        </w:tc>
        <w:tc>
          <w:tcPr>
            <w:tcW w:w="6229" w:type="dxa"/>
            <w:gridSpan w:val="3"/>
            <w:vAlign w:val="center"/>
          </w:tcPr>
          <w:p w14:paraId="3536A1E9">
            <w:pPr>
              <w:jc w:val="left"/>
              <w:rPr>
                <w:rFonts w:hint="eastAsia" w:ascii="宋体" w:hAnsi="宋体" w:cs="宋体"/>
                <w:color w:val="auto"/>
                <w:szCs w:val="21"/>
                <w:highlight w:val="none"/>
              </w:rPr>
            </w:pPr>
            <w:r>
              <w:rPr>
                <w:rFonts w:hint="eastAsia" w:asciiTheme="minorEastAsia" w:hAnsiTheme="minorEastAsia" w:eastAsiaTheme="minorEastAsia" w:cstheme="minorEastAsia"/>
                <w:bCs/>
                <w:color w:val="auto"/>
                <w:szCs w:val="21"/>
                <w:highlight w:val="none"/>
              </w:rPr>
              <w:t>提交授权委托书</w:t>
            </w:r>
          </w:p>
        </w:tc>
      </w:tr>
      <w:tr w14:paraId="6976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 w:type="dxa"/>
            <w:vMerge w:val="continue"/>
            <w:vAlign w:val="center"/>
          </w:tcPr>
          <w:p w14:paraId="17E80899">
            <w:pPr>
              <w:jc w:val="center"/>
              <w:rPr>
                <w:rFonts w:hint="eastAsia" w:ascii="宋体" w:hAnsi="宋体" w:cs="宋体"/>
                <w:color w:val="auto"/>
                <w:szCs w:val="21"/>
                <w:highlight w:val="none"/>
              </w:rPr>
            </w:pPr>
          </w:p>
        </w:tc>
        <w:tc>
          <w:tcPr>
            <w:tcW w:w="2503" w:type="dxa"/>
            <w:gridSpan w:val="2"/>
            <w:vAlign w:val="center"/>
          </w:tcPr>
          <w:p w14:paraId="28554FF7">
            <w:pPr>
              <w:jc w:val="center"/>
              <w:rPr>
                <w:rFonts w:ascii="Calibri" w:hAnsi="Calibri" w:cs="Calibri"/>
                <w:color w:val="auto"/>
                <w:szCs w:val="21"/>
                <w:highlight w:val="none"/>
              </w:rPr>
            </w:pPr>
            <w:r>
              <w:rPr>
                <w:rFonts w:ascii="宋体" w:hAnsi="宋体" w:cs="宋体"/>
                <w:bCs/>
                <w:color w:val="auto"/>
                <w:szCs w:val="21"/>
                <w:highlight w:val="none"/>
              </w:rPr>
              <w:t>投标文件签字盖章</w:t>
            </w:r>
          </w:p>
        </w:tc>
        <w:tc>
          <w:tcPr>
            <w:tcW w:w="6229" w:type="dxa"/>
            <w:gridSpan w:val="3"/>
            <w:vAlign w:val="center"/>
          </w:tcPr>
          <w:p w14:paraId="22A30C6E">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符合第二章“投标人须知”第3.7.3项规定</w:t>
            </w:r>
          </w:p>
        </w:tc>
      </w:tr>
      <w:tr w14:paraId="3EA1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 w:type="dxa"/>
            <w:vMerge w:val="continue"/>
            <w:vAlign w:val="center"/>
          </w:tcPr>
          <w:p w14:paraId="5DA97EE6">
            <w:pPr>
              <w:jc w:val="center"/>
              <w:rPr>
                <w:rFonts w:hint="eastAsia" w:ascii="宋体" w:hAnsi="宋体" w:cs="宋体"/>
                <w:color w:val="auto"/>
                <w:szCs w:val="21"/>
                <w:highlight w:val="none"/>
              </w:rPr>
            </w:pPr>
          </w:p>
        </w:tc>
        <w:tc>
          <w:tcPr>
            <w:tcW w:w="2503" w:type="dxa"/>
            <w:gridSpan w:val="2"/>
            <w:vAlign w:val="center"/>
          </w:tcPr>
          <w:p w14:paraId="2539045C">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6229" w:type="dxa"/>
            <w:gridSpan w:val="3"/>
            <w:vAlign w:val="center"/>
          </w:tcPr>
          <w:p w14:paraId="1E2C0612">
            <w:pPr>
              <w:jc w:val="left"/>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74D7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 w:type="dxa"/>
            <w:vMerge w:val="continue"/>
            <w:vAlign w:val="center"/>
          </w:tcPr>
          <w:p w14:paraId="6AA3A13D">
            <w:pPr>
              <w:jc w:val="center"/>
              <w:rPr>
                <w:rFonts w:hint="eastAsia" w:ascii="宋体" w:hAnsi="宋体" w:cs="宋体"/>
                <w:color w:val="auto"/>
                <w:szCs w:val="21"/>
                <w:highlight w:val="none"/>
              </w:rPr>
            </w:pPr>
          </w:p>
        </w:tc>
        <w:tc>
          <w:tcPr>
            <w:tcW w:w="2503" w:type="dxa"/>
            <w:gridSpan w:val="2"/>
            <w:vAlign w:val="center"/>
          </w:tcPr>
          <w:p w14:paraId="13B8E510">
            <w:pPr>
              <w:jc w:val="center"/>
              <w:rPr>
                <w:rFonts w:ascii="Calibri" w:hAnsi="Calibri" w:cs="Calibri"/>
                <w:color w:val="auto"/>
                <w:szCs w:val="21"/>
                <w:highlight w:val="none"/>
              </w:rPr>
            </w:pPr>
            <w:r>
              <w:rPr>
                <w:rFonts w:hint="eastAsia" w:ascii="宋体" w:hAnsi="宋体" w:cs="宋体"/>
                <w:bCs/>
                <w:color w:val="auto"/>
                <w:szCs w:val="21"/>
                <w:highlight w:val="none"/>
              </w:rPr>
              <w:t>联合体协议书（如有）</w:t>
            </w:r>
          </w:p>
        </w:tc>
        <w:tc>
          <w:tcPr>
            <w:tcW w:w="6229" w:type="dxa"/>
            <w:gridSpan w:val="3"/>
            <w:vAlign w:val="center"/>
          </w:tcPr>
          <w:p w14:paraId="72FC5DE4">
            <w:pPr>
              <w:jc w:val="left"/>
              <w:rPr>
                <w:rFonts w:hint="eastAsia" w:ascii="宋体" w:hAnsi="宋体" w:cs="宋体"/>
                <w:bCs/>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6653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6" w:type="dxa"/>
            <w:vMerge w:val="continue"/>
            <w:vAlign w:val="center"/>
          </w:tcPr>
          <w:p w14:paraId="389F1E87">
            <w:pPr>
              <w:jc w:val="center"/>
              <w:rPr>
                <w:rFonts w:hint="eastAsia" w:ascii="宋体" w:hAnsi="宋体" w:cs="宋体"/>
                <w:color w:val="auto"/>
                <w:szCs w:val="21"/>
                <w:highlight w:val="none"/>
              </w:rPr>
            </w:pPr>
          </w:p>
        </w:tc>
        <w:tc>
          <w:tcPr>
            <w:tcW w:w="2503" w:type="dxa"/>
            <w:gridSpan w:val="2"/>
            <w:vAlign w:val="center"/>
          </w:tcPr>
          <w:p w14:paraId="78A7E0A6">
            <w:pPr>
              <w:jc w:val="center"/>
              <w:rPr>
                <w:rFonts w:hint="eastAsia" w:ascii="宋体" w:hAnsi="宋体" w:cs="宋体"/>
                <w:color w:val="auto"/>
                <w:szCs w:val="21"/>
                <w:highlight w:val="none"/>
              </w:rPr>
            </w:pPr>
            <w:r>
              <w:rPr>
                <w:rFonts w:hint="eastAsia" w:ascii="宋体" w:hAnsi="宋体" w:cs="宋体"/>
                <w:bCs/>
                <w:color w:val="auto"/>
                <w:szCs w:val="21"/>
                <w:highlight w:val="none"/>
              </w:rPr>
              <w:t>投标文件</w:t>
            </w:r>
          </w:p>
        </w:tc>
        <w:tc>
          <w:tcPr>
            <w:tcW w:w="6229" w:type="dxa"/>
            <w:gridSpan w:val="3"/>
            <w:vAlign w:val="center"/>
          </w:tcPr>
          <w:p w14:paraId="13CB63EE">
            <w:pPr>
              <w:jc w:val="left"/>
              <w:rPr>
                <w:rFonts w:hint="eastAsia" w:ascii="宋体" w:hAnsi="宋体" w:cs="宋体"/>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1E5D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86" w:type="dxa"/>
            <w:vMerge w:val="restart"/>
            <w:vAlign w:val="center"/>
          </w:tcPr>
          <w:p w14:paraId="50ED2293">
            <w:pPr>
              <w:jc w:val="center"/>
              <w:rPr>
                <w:rFonts w:hint="eastAsia" w:ascii="宋体" w:hAnsi="宋体" w:cs="宋体"/>
                <w:color w:val="auto"/>
                <w:szCs w:val="21"/>
                <w:highlight w:val="none"/>
              </w:rPr>
            </w:pPr>
          </w:p>
          <w:p w14:paraId="5F1057D6">
            <w:pPr>
              <w:jc w:val="center"/>
              <w:rPr>
                <w:rFonts w:hint="eastAsia" w:ascii="宋体" w:hAnsi="宋体" w:cs="宋体"/>
                <w:color w:val="auto"/>
                <w:szCs w:val="21"/>
                <w:highlight w:val="none"/>
              </w:rPr>
            </w:pPr>
          </w:p>
          <w:p w14:paraId="10596F32">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1.2 </w:t>
            </w:r>
          </w:p>
        </w:tc>
        <w:tc>
          <w:tcPr>
            <w:tcW w:w="8732" w:type="dxa"/>
            <w:gridSpan w:val="5"/>
            <w:vAlign w:val="center"/>
          </w:tcPr>
          <w:p w14:paraId="1ABF13D4">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140F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6" w:type="dxa"/>
            <w:vMerge w:val="continue"/>
            <w:vAlign w:val="center"/>
          </w:tcPr>
          <w:p w14:paraId="0A661BC2">
            <w:pPr>
              <w:jc w:val="center"/>
              <w:rPr>
                <w:rFonts w:hint="eastAsia" w:ascii="宋体" w:hAnsi="宋体" w:cs="宋体"/>
                <w:color w:val="auto"/>
                <w:szCs w:val="21"/>
                <w:highlight w:val="none"/>
              </w:rPr>
            </w:pPr>
          </w:p>
        </w:tc>
        <w:tc>
          <w:tcPr>
            <w:tcW w:w="2503" w:type="dxa"/>
            <w:gridSpan w:val="2"/>
            <w:vAlign w:val="center"/>
          </w:tcPr>
          <w:p w14:paraId="39333B2C">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6229" w:type="dxa"/>
            <w:gridSpan w:val="3"/>
            <w:vAlign w:val="center"/>
          </w:tcPr>
          <w:p w14:paraId="6B205BF9">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7D3A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6" w:type="dxa"/>
            <w:vMerge w:val="continue"/>
            <w:vAlign w:val="center"/>
          </w:tcPr>
          <w:p w14:paraId="1DE4E876">
            <w:pPr>
              <w:jc w:val="center"/>
              <w:rPr>
                <w:rFonts w:hint="eastAsia" w:ascii="宋体" w:hAnsi="宋体" w:cs="宋体"/>
                <w:color w:val="auto"/>
                <w:szCs w:val="21"/>
                <w:highlight w:val="none"/>
              </w:rPr>
            </w:pPr>
          </w:p>
        </w:tc>
        <w:tc>
          <w:tcPr>
            <w:tcW w:w="2503" w:type="dxa"/>
            <w:gridSpan w:val="2"/>
            <w:vAlign w:val="center"/>
          </w:tcPr>
          <w:p w14:paraId="3A8D6C9A">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6229" w:type="dxa"/>
            <w:gridSpan w:val="3"/>
            <w:vAlign w:val="center"/>
          </w:tcPr>
          <w:p w14:paraId="31DF7E8E">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368C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6" w:type="dxa"/>
            <w:vMerge w:val="continue"/>
            <w:vAlign w:val="center"/>
          </w:tcPr>
          <w:p w14:paraId="05ECB1B1">
            <w:pPr>
              <w:jc w:val="center"/>
              <w:rPr>
                <w:rFonts w:hint="eastAsia" w:ascii="宋体" w:hAnsi="宋体" w:cs="宋体"/>
                <w:color w:val="auto"/>
                <w:szCs w:val="21"/>
                <w:highlight w:val="none"/>
              </w:rPr>
            </w:pPr>
          </w:p>
        </w:tc>
        <w:tc>
          <w:tcPr>
            <w:tcW w:w="2503" w:type="dxa"/>
            <w:gridSpan w:val="2"/>
            <w:vAlign w:val="center"/>
          </w:tcPr>
          <w:p w14:paraId="1EF6B4A3">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6229" w:type="dxa"/>
            <w:gridSpan w:val="3"/>
            <w:vAlign w:val="center"/>
          </w:tcPr>
          <w:p w14:paraId="08B67195">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23E1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 w:type="dxa"/>
            <w:vMerge w:val="continue"/>
            <w:vAlign w:val="center"/>
          </w:tcPr>
          <w:p w14:paraId="6F066954">
            <w:pPr>
              <w:jc w:val="center"/>
              <w:rPr>
                <w:rFonts w:hint="eastAsia" w:ascii="宋体" w:hAnsi="宋体" w:cs="宋体"/>
                <w:color w:val="auto"/>
                <w:szCs w:val="21"/>
                <w:highlight w:val="none"/>
              </w:rPr>
            </w:pPr>
          </w:p>
        </w:tc>
        <w:tc>
          <w:tcPr>
            <w:tcW w:w="2503" w:type="dxa"/>
            <w:gridSpan w:val="2"/>
            <w:vAlign w:val="center"/>
          </w:tcPr>
          <w:p w14:paraId="7C8DD93D">
            <w:pPr>
              <w:pStyle w:val="229"/>
              <w:spacing w:line="240" w:lineRule="exact"/>
              <w:ind w:firstLine="0" w:firstLineChars="0"/>
              <w:jc w:val="center"/>
              <w:rPr>
                <w:rFonts w:hint="eastAsia" w:ascii="宋体" w:hAnsi="宋体" w:cs="宋体"/>
                <w:color w:val="auto"/>
                <w:szCs w:val="21"/>
                <w:highlight w:val="none"/>
              </w:rPr>
            </w:pPr>
            <w:bookmarkStart w:id="366" w:name="_Toc193802733"/>
            <w:bookmarkStart w:id="367" w:name="_Toc211498680"/>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366"/>
            <w:bookmarkEnd w:id="367"/>
          </w:p>
        </w:tc>
        <w:tc>
          <w:tcPr>
            <w:tcW w:w="6229" w:type="dxa"/>
            <w:gridSpan w:val="3"/>
            <w:vAlign w:val="center"/>
          </w:tcPr>
          <w:p w14:paraId="746B6E07">
            <w:pPr>
              <w:pStyle w:val="229"/>
              <w:spacing w:line="240" w:lineRule="exact"/>
              <w:ind w:firstLine="0" w:firstLineChars="0"/>
              <w:jc w:val="left"/>
              <w:rPr>
                <w:rFonts w:hint="eastAsia" w:ascii="宋体" w:hAnsi="宋体" w:cs="宋体"/>
                <w:color w:val="auto"/>
                <w:szCs w:val="21"/>
                <w:highlight w:val="none"/>
              </w:rPr>
            </w:pPr>
            <w:bookmarkStart w:id="368" w:name="_Toc193802734"/>
            <w:bookmarkStart w:id="369" w:name="_Toc211498681"/>
            <w:r>
              <w:rPr>
                <w:rFonts w:hint="eastAsia" w:ascii="宋体" w:hAnsi="宋体" w:eastAsia="宋体" w:cs="宋体"/>
                <w:bCs/>
                <w:color w:val="auto"/>
                <w:sz w:val="21"/>
                <w:szCs w:val="21"/>
                <w:highlight w:val="none"/>
                <w:u w:val="none"/>
              </w:rPr>
              <w:t>符合第二章投标人须知第1.4.1项规定</w:t>
            </w:r>
            <w:bookmarkEnd w:id="368"/>
            <w:bookmarkEnd w:id="369"/>
          </w:p>
        </w:tc>
      </w:tr>
      <w:tr w14:paraId="37AE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6" w:type="dxa"/>
            <w:vMerge w:val="continue"/>
            <w:vAlign w:val="center"/>
          </w:tcPr>
          <w:p w14:paraId="43B3D40A">
            <w:pPr>
              <w:jc w:val="center"/>
              <w:rPr>
                <w:rFonts w:hint="eastAsia" w:ascii="宋体" w:hAnsi="宋体" w:cs="宋体"/>
                <w:color w:val="auto"/>
                <w:szCs w:val="21"/>
                <w:highlight w:val="none"/>
              </w:rPr>
            </w:pPr>
          </w:p>
        </w:tc>
        <w:tc>
          <w:tcPr>
            <w:tcW w:w="2503" w:type="dxa"/>
            <w:gridSpan w:val="2"/>
            <w:vAlign w:val="center"/>
          </w:tcPr>
          <w:p w14:paraId="303BC219">
            <w:pPr>
              <w:pStyle w:val="229"/>
              <w:spacing w:line="240" w:lineRule="exact"/>
              <w:ind w:firstLine="0" w:firstLineChars="0"/>
              <w:jc w:val="center"/>
              <w:rPr>
                <w:rFonts w:hint="eastAsia" w:ascii="宋体" w:hAnsi="宋体" w:cs="宋体"/>
                <w:color w:val="auto"/>
                <w:szCs w:val="21"/>
                <w:highlight w:val="none"/>
              </w:rPr>
            </w:pPr>
            <w:bookmarkStart w:id="370" w:name="_Toc193802735"/>
            <w:bookmarkStart w:id="371" w:name="_Toc211498682"/>
            <w:r>
              <w:rPr>
                <w:rFonts w:hint="eastAsia" w:ascii="宋体" w:hAnsi="宋体" w:eastAsia="宋体" w:cs="宋体"/>
                <w:bCs/>
                <w:color w:val="auto"/>
                <w:sz w:val="21"/>
                <w:szCs w:val="21"/>
                <w:highlight w:val="none"/>
                <w:u w:val="none"/>
              </w:rPr>
              <w:t>法定代表人资格（不适用）</w:t>
            </w:r>
            <w:bookmarkEnd w:id="370"/>
            <w:bookmarkEnd w:id="371"/>
          </w:p>
        </w:tc>
        <w:tc>
          <w:tcPr>
            <w:tcW w:w="6229" w:type="dxa"/>
            <w:gridSpan w:val="3"/>
            <w:vAlign w:val="center"/>
          </w:tcPr>
          <w:p w14:paraId="14EE781F">
            <w:pPr>
              <w:pStyle w:val="229"/>
              <w:spacing w:line="240" w:lineRule="exact"/>
              <w:ind w:firstLine="0" w:firstLineChars="0"/>
              <w:jc w:val="left"/>
              <w:rPr>
                <w:rFonts w:hint="eastAsia" w:ascii="宋体" w:hAnsi="宋体" w:cs="宋体"/>
                <w:color w:val="auto"/>
                <w:szCs w:val="21"/>
                <w:highlight w:val="none"/>
              </w:rPr>
            </w:pPr>
            <w:bookmarkStart w:id="372" w:name="_Toc193802736"/>
            <w:bookmarkStart w:id="373" w:name="_Toc211498683"/>
            <w:r>
              <w:rPr>
                <w:rFonts w:hint="eastAsia" w:ascii="宋体" w:hAnsi="宋体" w:eastAsia="宋体" w:cs="宋体"/>
                <w:bCs/>
                <w:color w:val="auto"/>
                <w:sz w:val="21"/>
                <w:szCs w:val="21"/>
                <w:highlight w:val="none"/>
                <w:u w:val="none"/>
              </w:rPr>
              <w:t>符合第二章投标人须知第1.4.1项规定</w:t>
            </w:r>
            <w:bookmarkEnd w:id="372"/>
            <w:bookmarkEnd w:id="373"/>
          </w:p>
        </w:tc>
      </w:tr>
      <w:tr w14:paraId="129F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6" w:type="dxa"/>
            <w:vMerge w:val="continue"/>
            <w:vAlign w:val="center"/>
          </w:tcPr>
          <w:p w14:paraId="610038E9">
            <w:pPr>
              <w:jc w:val="center"/>
              <w:rPr>
                <w:rFonts w:hint="eastAsia" w:ascii="宋体" w:hAnsi="宋体" w:cs="宋体"/>
                <w:color w:val="auto"/>
                <w:szCs w:val="21"/>
                <w:highlight w:val="none"/>
              </w:rPr>
            </w:pPr>
          </w:p>
        </w:tc>
        <w:tc>
          <w:tcPr>
            <w:tcW w:w="2503" w:type="dxa"/>
            <w:gridSpan w:val="2"/>
            <w:vAlign w:val="center"/>
          </w:tcPr>
          <w:p w14:paraId="3C893A4F">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6229" w:type="dxa"/>
            <w:gridSpan w:val="3"/>
            <w:vAlign w:val="center"/>
          </w:tcPr>
          <w:p w14:paraId="762DA6DD">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1DD8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6" w:type="dxa"/>
            <w:vMerge w:val="continue"/>
            <w:vAlign w:val="center"/>
          </w:tcPr>
          <w:p w14:paraId="059D5EB0">
            <w:pPr>
              <w:jc w:val="center"/>
              <w:rPr>
                <w:rFonts w:hint="eastAsia" w:ascii="宋体" w:hAnsi="宋体" w:cs="宋体"/>
                <w:color w:val="auto"/>
                <w:szCs w:val="21"/>
                <w:highlight w:val="none"/>
              </w:rPr>
            </w:pPr>
          </w:p>
        </w:tc>
        <w:tc>
          <w:tcPr>
            <w:tcW w:w="2503" w:type="dxa"/>
            <w:gridSpan w:val="2"/>
            <w:vAlign w:val="center"/>
          </w:tcPr>
          <w:p w14:paraId="547F8871">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6229" w:type="dxa"/>
            <w:gridSpan w:val="3"/>
            <w:vAlign w:val="center"/>
          </w:tcPr>
          <w:p w14:paraId="019B7E24">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4672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6" w:type="dxa"/>
            <w:vMerge w:val="continue"/>
            <w:vAlign w:val="center"/>
          </w:tcPr>
          <w:p w14:paraId="2605BB52">
            <w:pPr>
              <w:jc w:val="center"/>
              <w:rPr>
                <w:rFonts w:hint="eastAsia" w:ascii="宋体" w:hAnsi="宋体" w:cs="宋体"/>
                <w:color w:val="auto"/>
                <w:szCs w:val="21"/>
                <w:highlight w:val="none"/>
              </w:rPr>
            </w:pPr>
          </w:p>
        </w:tc>
        <w:tc>
          <w:tcPr>
            <w:tcW w:w="2503" w:type="dxa"/>
            <w:gridSpan w:val="2"/>
            <w:vAlign w:val="center"/>
          </w:tcPr>
          <w:p w14:paraId="19A42592">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6229" w:type="dxa"/>
            <w:gridSpan w:val="3"/>
            <w:vAlign w:val="center"/>
          </w:tcPr>
          <w:p w14:paraId="46FE954B">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135B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6" w:type="dxa"/>
            <w:vMerge w:val="continue"/>
            <w:vAlign w:val="center"/>
          </w:tcPr>
          <w:p w14:paraId="1AA5BC8D">
            <w:pPr>
              <w:jc w:val="center"/>
              <w:rPr>
                <w:rFonts w:hint="eastAsia" w:ascii="宋体" w:hAnsi="宋体" w:cs="宋体"/>
                <w:color w:val="auto"/>
                <w:szCs w:val="21"/>
                <w:highlight w:val="none"/>
              </w:rPr>
            </w:pPr>
          </w:p>
        </w:tc>
        <w:tc>
          <w:tcPr>
            <w:tcW w:w="2503" w:type="dxa"/>
            <w:gridSpan w:val="2"/>
            <w:vAlign w:val="center"/>
          </w:tcPr>
          <w:p w14:paraId="1FF817C6">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6229" w:type="dxa"/>
            <w:gridSpan w:val="3"/>
            <w:vAlign w:val="center"/>
          </w:tcPr>
          <w:p w14:paraId="1AB749EB">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4426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986" w:type="dxa"/>
            <w:vMerge w:val="continue"/>
            <w:vAlign w:val="center"/>
          </w:tcPr>
          <w:p w14:paraId="5F2FCB4E">
            <w:pPr>
              <w:jc w:val="center"/>
              <w:rPr>
                <w:rFonts w:hint="eastAsia" w:ascii="宋体" w:hAnsi="宋体" w:cs="宋体"/>
                <w:color w:val="auto"/>
                <w:szCs w:val="21"/>
                <w:highlight w:val="none"/>
              </w:rPr>
            </w:pPr>
          </w:p>
        </w:tc>
        <w:tc>
          <w:tcPr>
            <w:tcW w:w="8732" w:type="dxa"/>
            <w:gridSpan w:val="5"/>
            <w:vAlign w:val="center"/>
          </w:tcPr>
          <w:p w14:paraId="445B0B5B">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重大变化的，由交易系统依据资格预审文件中规定的标准和方法，对照投标人资格预审申请文件中的资料以及开标前更新的资料，对其更新的资料进行评审，其变化后的资格条件不得低于原有资格条件要求。</w:t>
            </w:r>
          </w:p>
          <w:p w14:paraId="54BC78D7">
            <w:pPr>
              <w:rPr>
                <w:rFonts w:hint="eastAsia" w:ascii="宋体" w:hAnsi="宋体" w:cs="宋体"/>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tc>
      </w:tr>
      <w:tr w14:paraId="5876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86" w:type="dxa"/>
            <w:vMerge w:val="restart"/>
            <w:vAlign w:val="center"/>
          </w:tcPr>
          <w:p w14:paraId="5A97FE39">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732" w:type="dxa"/>
            <w:gridSpan w:val="5"/>
            <w:vAlign w:val="center"/>
          </w:tcPr>
          <w:p w14:paraId="4A7984E2">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342D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86" w:type="dxa"/>
            <w:vMerge w:val="continue"/>
            <w:vAlign w:val="center"/>
          </w:tcPr>
          <w:p w14:paraId="1B10D218">
            <w:pPr>
              <w:jc w:val="center"/>
              <w:rPr>
                <w:rFonts w:hint="eastAsia" w:ascii="宋体" w:hAnsi="宋体" w:cs="宋体"/>
                <w:color w:val="auto"/>
                <w:szCs w:val="21"/>
                <w:highlight w:val="none"/>
              </w:rPr>
            </w:pPr>
          </w:p>
        </w:tc>
        <w:tc>
          <w:tcPr>
            <w:tcW w:w="2503" w:type="dxa"/>
            <w:gridSpan w:val="2"/>
            <w:vAlign w:val="center"/>
          </w:tcPr>
          <w:p w14:paraId="553C80B8">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229" w:type="dxa"/>
            <w:gridSpan w:val="3"/>
            <w:vAlign w:val="center"/>
          </w:tcPr>
          <w:p w14:paraId="3FE7BF83">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6B0D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986" w:type="dxa"/>
            <w:vMerge w:val="continue"/>
            <w:vAlign w:val="center"/>
          </w:tcPr>
          <w:p w14:paraId="01E7B4D3">
            <w:pPr>
              <w:jc w:val="center"/>
              <w:rPr>
                <w:rFonts w:hint="eastAsia" w:ascii="宋体" w:hAnsi="宋体" w:cs="宋体"/>
                <w:color w:val="auto"/>
                <w:szCs w:val="21"/>
                <w:highlight w:val="none"/>
              </w:rPr>
            </w:pPr>
          </w:p>
        </w:tc>
        <w:tc>
          <w:tcPr>
            <w:tcW w:w="2503" w:type="dxa"/>
            <w:gridSpan w:val="2"/>
            <w:vAlign w:val="center"/>
          </w:tcPr>
          <w:p w14:paraId="76396806">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229" w:type="dxa"/>
            <w:gridSpan w:val="3"/>
            <w:vAlign w:val="center"/>
          </w:tcPr>
          <w:p w14:paraId="1C252E71">
            <w:pPr>
              <w:rPr>
                <w:rFonts w:ascii="Calibri" w:hAnsi="Calibri" w:cs="Calibri"/>
                <w:color w:val="auto"/>
                <w:szCs w:val="21"/>
                <w:highlight w:val="none"/>
              </w:rPr>
            </w:pPr>
            <w:r>
              <w:rPr>
                <w:rFonts w:hint="eastAsia" w:ascii="Calibri" w:hAnsi="Calibri" w:cs="Calibri"/>
                <w:color w:val="auto"/>
                <w:szCs w:val="21"/>
                <w:highlight w:val="none"/>
              </w:rPr>
              <w:t>投标报价未超过招标文件规定的最高投标限价；</w:t>
            </w:r>
          </w:p>
          <w:p w14:paraId="2C94F870">
            <w:pPr>
              <w:rPr>
                <w:rFonts w:ascii="Calibri" w:hAnsi="Calibri" w:cs="Calibri"/>
                <w:color w:val="auto"/>
                <w:szCs w:val="21"/>
                <w:highlight w:val="none"/>
              </w:rPr>
            </w:pPr>
            <w:r>
              <w:rPr>
                <w:rFonts w:hint="eastAsia" w:ascii="Calibri" w:hAnsi="Calibri" w:cs="Calibri"/>
                <w:color w:val="auto"/>
                <w:szCs w:val="21"/>
                <w:highlight w:val="none"/>
              </w:rPr>
              <w:t>投标报价中的安全生产措施费费率未低于省住房城乡建设主管部门公布的费率；</w:t>
            </w:r>
          </w:p>
          <w:p w14:paraId="3EE792A9">
            <w:pPr>
              <w:rPr>
                <w:rFonts w:ascii="Calibri" w:hAnsi="Calibri" w:cs="Calibri"/>
                <w:color w:val="auto"/>
                <w:szCs w:val="21"/>
                <w:highlight w:val="none"/>
              </w:rPr>
            </w:pPr>
            <w:r>
              <w:rPr>
                <w:rFonts w:hint="eastAsia" w:ascii="Calibri" w:hAnsi="Calibri" w:cs="Calibri"/>
                <w:color w:val="auto"/>
                <w:szCs w:val="21"/>
                <w:highlight w:val="none"/>
              </w:rPr>
              <w:t>投标报价中的增值税按照政府有关主管部门的规定计算费用；</w:t>
            </w:r>
          </w:p>
          <w:p w14:paraId="18C6B07D">
            <w:pPr>
              <w:rPr>
                <w:rFonts w:ascii="Calibri" w:hAnsi="Calibri" w:cs="Calibri"/>
                <w:color w:val="auto"/>
                <w:szCs w:val="21"/>
                <w:highlight w:val="none"/>
              </w:rPr>
            </w:pPr>
            <w:r>
              <w:rPr>
                <w:rFonts w:hint="eastAsia" w:ascii="Calibri" w:hAnsi="Calibri" w:cs="Calibri"/>
                <w:color w:val="auto"/>
                <w:szCs w:val="21"/>
                <w:highlight w:val="none"/>
              </w:rPr>
              <w:t>投标报价中的暂列金额和专业工程暂估价金额和材料暂估单价与招标人公布的暂列金额和专业工程暂估价金额和材料暂估单价保持一致的；</w:t>
            </w:r>
          </w:p>
          <w:p w14:paraId="6A102E5C">
            <w:pPr>
              <w:rPr>
                <w:rFonts w:hint="eastAsia" w:ascii="宋体" w:hAnsi="宋体" w:cs="宋体"/>
                <w:bCs/>
                <w:color w:val="auto"/>
                <w:szCs w:val="21"/>
                <w:highlight w:val="none"/>
              </w:rPr>
            </w:pPr>
            <w:r>
              <w:rPr>
                <w:rFonts w:hint="eastAsia" w:ascii="Calibri" w:hAnsi="Calibri" w:cs="Calibri"/>
                <w:color w:val="auto"/>
                <w:szCs w:val="21"/>
                <w:highlight w:val="none"/>
              </w:rPr>
              <w:t>投标报价中的分部分项工程项目清单（不含在分部分项工程项目清单中列项的措施项目费）项目编码、项目名称、项目特征、计量单位和工程数量与招标</w:t>
            </w:r>
            <w:r>
              <w:rPr>
                <w:rFonts w:hint="eastAsia" w:ascii="Calibri" w:hAnsi="Calibri" w:cs="Calibri"/>
                <w:color w:val="auto"/>
                <w:szCs w:val="21"/>
                <w:highlight w:val="none"/>
                <w:lang w:eastAsia="zh"/>
              </w:rPr>
              <w:t>人公布的</w:t>
            </w:r>
            <w:r>
              <w:rPr>
                <w:rFonts w:hint="eastAsia" w:ascii="Calibri" w:hAnsi="Calibri" w:cs="Calibri"/>
                <w:color w:val="auto"/>
                <w:szCs w:val="21"/>
                <w:highlight w:val="none"/>
              </w:rPr>
              <w:t>分部分项工程项目清单（不含在分部分项工程项目清单中列项的措施项目费）项目编码、项目名称、项目特征、计量单位和工程数量保持一致的（适用于采用单价合同的工程）。</w:t>
            </w:r>
          </w:p>
        </w:tc>
      </w:tr>
      <w:tr w14:paraId="1193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86" w:type="dxa"/>
            <w:vMerge w:val="continue"/>
            <w:vAlign w:val="center"/>
          </w:tcPr>
          <w:p w14:paraId="55E5D621">
            <w:pPr>
              <w:jc w:val="center"/>
              <w:rPr>
                <w:rFonts w:hint="eastAsia" w:ascii="宋体" w:hAnsi="宋体" w:cs="宋体"/>
                <w:color w:val="auto"/>
                <w:szCs w:val="21"/>
                <w:highlight w:val="none"/>
              </w:rPr>
            </w:pPr>
          </w:p>
        </w:tc>
        <w:tc>
          <w:tcPr>
            <w:tcW w:w="2503" w:type="dxa"/>
            <w:gridSpan w:val="2"/>
            <w:vAlign w:val="center"/>
          </w:tcPr>
          <w:p w14:paraId="017FE7BC">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229" w:type="dxa"/>
            <w:gridSpan w:val="3"/>
            <w:vAlign w:val="center"/>
          </w:tcPr>
          <w:p w14:paraId="06EDD3FA">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3C2D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6" w:type="dxa"/>
            <w:vMerge w:val="continue"/>
            <w:vAlign w:val="center"/>
          </w:tcPr>
          <w:p w14:paraId="706DAF45">
            <w:pPr>
              <w:jc w:val="center"/>
              <w:rPr>
                <w:rFonts w:hint="eastAsia" w:ascii="宋体" w:hAnsi="宋体" w:cs="宋体"/>
                <w:color w:val="auto"/>
                <w:szCs w:val="21"/>
                <w:highlight w:val="none"/>
              </w:rPr>
            </w:pPr>
          </w:p>
        </w:tc>
        <w:tc>
          <w:tcPr>
            <w:tcW w:w="2503" w:type="dxa"/>
            <w:gridSpan w:val="2"/>
            <w:vAlign w:val="center"/>
          </w:tcPr>
          <w:p w14:paraId="04BC108F">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6229" w:type="dxa"/>
            <w:gridSpan w:val="3"/>
            <w:vAlign w:val="center"/>
          </w:tcPr>
          <w:p w14:paraId="758631DA">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5F49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6" w:type="dxa"/>
            <w:vMerge w:val="continue"/>
            <w:vAlign w:val="center"/>
          </w:tcPr>
          <w:p w14:paraId="6605CC64">
            <w:pPr>
              <w:jc w:val="center"/>
              <w:rPr>
                <w:rFonts w:hint="eastAsia" w:ascii="宋体" w:hAnsi="宋体" w:cs="宋体"/>
                <w:color w:val="auto"/>
                <w:szCs w:val="21"/>
                <w:highlight w:val="none"/>
              </w:rPr>
            </w:pPr>
          </w:p>
        </w:tc>
        <w:tc>
          <w:tcPr>
            <w:tcW w:w="2503" w:type="dxa"/>
            <w:gridSpan w:val="2"/>
            <w:vAlign w:val="center"/>
          </w:tcPr>
          <w:p w14:paraId="6188C599">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w:t>
            </w:r>
            <w:r>
              <w:rPr>
                <w:rFonts w:hint="eastAsia" w:ascii="宋体" w:hAnsi="宋体" w:cs="宋体"/>
                <w:color w:val="auto"/>
                <w:szCs w:val="21"/>
                <w:highlight w:val="none"/>
              </w:rPr>
              <w:t>报送</w:t>
            </w:r>
          </w:p>
        </w:tc>
        <w:tc>
          <w:tcPr>
            <w:tcW w:w="6229" w:type="dxa"/>
            <w:gridSpan w:val="3"/>
            <w:vAlign w:val="center"/>
          </w:tcPr>
          <w:p w14:paraId="633C0183">
            <w:pPr>
              <w:rPr>
                <w:rFonts w:hint="eastAsia" w:ascii="宋体" w:hAnsi="宋体" w:cs="宋体"/>
                <w:color w:val="auto"/>
                <w:szCs w:val="21"/>
                <w:highlight w:val="none"/>
              </w:rPr>
            </w:pPr>
            <w:r>
              <w:rPr>
                <w:rFonts w:hint="eastAsia" w:ascii="Calibri" w:hAnsi="Calibri" w:cs="Calibri"/>
                <w:color w:val="auto"/>
                <w:szCs w:val="21"/>
                <w:highlight w:val="none"/>
              </w:rPr>
              <w:t xml:space="preserve">符合第二章“投标人须知”的规定   </w:t>
            </w:r>
          </w:p>
        </w:tc>
      </w:tr>
      <w:tr w14:paraId="07E8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6" w:type="dxa"/>
            <w:vMerge w:val="continue"/>
            <w:vAlign w:val="center"/>
          </w:tcPr>
          <w:p w14:paraId="3C6F1A2E">
            <w:pPr>
              <w:jc w:val="center"/>
              <w:rPr>
                <w:rFonts w:hint="eastAsia" w:ascii="宋体" w:hAnsi="宋体" w:cs="宋体"/>
                <w:color w:val="auto"/>
                <w:szCs w:val="21"/>
                <w:highlight w:val="none"/>
              </w:rPr>
            </w:pPr>
          </w:p>
        </w:tc>
        <w:tc>
          <w:tcPr>
            <w:tcW w:w="2503" w:type="dxa"/>
            <w:gridSpan w:val="2"/>
            <w:vAlign w:val="center"/>
          </w:tcPr>
          <w:p w14:paraId="2425F804">
            <w:pPr>
              <w:jc w:val="center"/>
              <w:rPr>
                <w:rFonts w:hint="eastAsia" w:ascii="宋体" w:hAnsi="宋体" w:cs="宋体"/>
                <w:color w:val="auto"/>
                <w:szCs w:val="21"/>
                <w:highlight w:val="none"/>
              </w:rPr>
            </w:pPr>
            <w:r>
              <w:rPr>
                <w:rFonts w:hint="eastAsia" w:ascii="宋体" w:hAnsi="宋体" w:cs="宋体"/>
                <w:bCs/>
                <w:color w:val="auto"/>
                <w:szCs w:val="21"/>
                <w:highlight w:val="none"/>
              </w:rPr>
              <w:t>拟任项目经理在建情况</w:t>
            </w:r>
          </w:p>
        </w:tc>
        <w:tc>
          <w:tcPr>
            <w:tcW w:w="6229" w:type="dxa"/>
            <w:gridSpan w:val="3"/>
            <w:vAlign w:val="center"/>
          </w:tcPr>
          <w:p w14:paraId="3EADD162">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符合第二章投标人须知规定</w:t>
            </w:r>
          </w:p>
        </w:tc>
      </w:tr>
      <w:tr w14:paraId="49C3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86" w:type="dxa"/>
            <w:vMerge w:val="continue"/>
            <w:vAlign w:val="center"/>
          </w:tcPr>
          <w:p w14:paraId="0E0FB5D1">
            <w:pPr>
              <w:jc w:val="center"/>
              <w:rPr>
                <w:rFonts w:hint="eastAsia" w:ascii="宋体" w:hAnsi="宋体" w:cs="宋体"/>
                <w:color w:val="auto"/>
                <w:szCs w:val="21"/>
                <w:highlight w:val="none"/>
              </w:rPr>
            </w:pPr>
          </w:p>
        </w:tc>
        <w:tc>
          <w:tcPr>
            <w:tcW w:w="2503" w:type="dxa"/>
            <w:gridSpan w:val="2"/>
            <w:vAlign w:val="center"/>
          </w:tcPr>
          <w:p w14:paraId="2B4E6041">
            <w:pPr>
              <w:jc w:val="center"/>
              <w:rPr>
                <w:rFonts w:hint="eastAsia" w:ascii="宋体" w:hAnsi="宋体" w:cs="宋体"/>
                <w:color w:val="auto"/>
                <w:szCs w:val="21"/>
                <w:highlight w:val="none"/>
              </w:rPr>
            </w:pPr>
            <w:r>
              <w:rPr>
                <w:rFonts w:hint="eastAsia" w:ascii="宋体" w:hAnsi="宋体" w:cs="宋体"/>
                <w:bCs/>
                <w:color w:val="auto"/>
                <w:szCs w:val="21"/>
                <w:highlight w:val="none"/>
              </w:rPr>
              <w:t>投标保证金</w:t>
            </w:r>
          </w:p>
        </w:tc>
        <w:tc>
          <w:tcPr>
            <w:tcW w:w="6229" w:type="dxa"/>
            <w:gridSpan w:val="3"/>
            <w:vAlign w:val="center"/>
          </w:tcPr>
          <w:p w14:paraId="3872E5C3">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4F61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6" w:type="dxa"/>
            <w:vMerge w:val="continue"/>
            <w:vAlign w:val="center"/>
          </w:tcPr>
          <w:p w14:paraId="4F4D3085">
            <w:pPr>
              <w:jc w:val="center"/>
              <w:rPr>
                <w:rFonts w:hint="eastAsia" w:ascii="宋体" w:hAnsi="宋体" w:cs="宋体"/>
                <w:color w:val="auto"/>
                <w:szCs w:val="21"/>
                <w:highlight w:val="none"/>
              </w:rPr>
            </w:pPr>
          </w:p>
        </w:tc>
        <w:tc>
          <w:tcPr>
            <w:tcW w:w="2503" w:type="dxa"/>
            <w:gridSpan w:val="2"/>
            <w:vAlign w:val="center"/>
          </w:tcPr>
          <w:p w14:paraId="0B742FB0">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9" w:type="dxa"/>
            <w:gridSpan w:val="3"/>
            <w:vAlign w:val="center"/>
          </w:tcPr>
          <w:p w14:paraId="1A199EA8">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7574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86" w:type="dxa"/>
            <w:vMerge w:val="continue"/>
            <w:vAlign w:val="center"/>
          </w:tcPr>
          <w:p w14:paraId="5F0CB655">
            <w:pPr>
              <w:jc w:val="center"/>
              <w:rPr>
                <w:rFonts w:hint="eastAsia" w:ascii="宋体" w:hAnsi="宋体" w:cs="宋体"/>
                <w:color w:val="auto"/>
                <w:szCs w:val="21"/>
                <w:highlight w:val="none"/>
              </w:rPr>
            </w:pPr>
          </w:p>
        </w:tc>
        <w:tc>
          <w:tcPr>
            <w:tcW w:w="2503" w:type="dxa"/>
            <w:gridSpan w:val="2"/>
            <w:vAlign w:val="center"/>
          </w:tcPr>
          <w:p w14:paraId="4DFF3319">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6229" w:type="dxa"/>
            <w:gridSpan w:val="3"/>
            <w:vAlign w:val="center"/>
          </w:tcPr>
          <w:p w14:paraId="2CA8B36D">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6439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6" w:type="dxa"/>
            <w:vMerge w:val="continue"/>
            <w:vAlign w:val="center"/>
          </w:tcPr>
          <w:p w14:paraId="5474C984">
            <w:pPr>
              <w:jc w:val="center"/>
              <w:rPr>
                <w:rFonts w:hint="eastAsia" w:ascii="宋体" w:hAnsi="宋体" w:cs="宋体"/>
                <w:color w:val="auto"/>
                <w:szCs w:val="21"/>
                <w:highlight w:val="none"/>
              </w:rPr>
            </w:pPr>
          </w:p>
        </w:tc>
        <w:tc>
          <w:tcPr>
            <w:tcW w:w="2503" w:type="dxa"/>
            <w:gridSpan w:val="2"/>
            <w:vAlign w:val="center"/>
          </w:tcPr>
          <w:p w14:paraId="6C2496B1">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6229" w:type="dxa"/>
            <w:gridSpan w:val="3"/>
            <w:vAlign w:val="center"/>
          </w:tcPr>
          <w:p w14:paraId="7A2946A2">
            <w:pPr>
              <w:pStyle w:val="224"/>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rPr>
              <w:t>符合第七章技术 标准和要求（合同技术条款）的规定</w:t>
            </w:r>
          </w:p>
        </w:tc>
      </w:tr>
      <w:tr w14:paraId="363E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6" w:type="dxa"/>
            <w:vMerge w:val="continue"/>
            <w:vAlign w:val="center"/>
          </w:tcPr>
          <w:p w14:paraId="0480F7AC">
            <w:pPr>
              <w:jc w:val="center"/>
              <w:rPr>
                <w:rFonts w:hint="eastAsia" w:ascii="宋体" w:hAnsi="宋体" w:cs="宋体"/>
                <w:color w:val="auto"/>
                <w:szCs w:val="21"/>
                <w:highlight w:val="none"/>
              </w:rPr>
            </w:pPr>
          </w:p>
        </w:tc>
        <w:tc>
          <w:tcPr>
            <w:tcW w:w="2503" w:type="dxa"/>
            <w:gridSpan w:val="2"/>
            <w:vAlign w:val="center"/>
          </w:tcPr>
          <w:p w14:paraId="29E93D49">
            <w:pPr>
              <w:spacing w:after="0"/>
              <w:jc w:val="center"/>
              <w:rPr>
                <w:rFonts w:hint="eastAsia" w:ascii="宋体" w:hAnsi="宋体" w:cs="宋体"/>
                <w:bCs/>
                <w:color w:val="auto"/>
                <w:szCs w:val="21"/>
                <w:highlight w:val="none"/>
              </w:rPr>
            </w:pPr>
            <w:r>
              <w:rPr>
                <w:rFonts w:hint="eastAsia"/>
                <w:color w:val="auto"/>
                <w:highlight w:val="none"/>
              </w:rPr>
              <w:t>党建工作要求</w:t>
            </w:r>
          </w:p>
        </w:tc>
        <w:tc>
          <w:tcPr>
            <w:tcW w:w="6229" w:type="dxa"/>
            <w:gridSpan w:val="3"/>
            <w:vAlign w:val="center"/>
          </w:tcPr>
          <w:p w14:paraId="53C55539">
            <w:pPr>
              <w:adjustRightInd w:val="0"/>
              <w:snapToGrid w:val="0"/>
              <w:spacing w:line="360" w:lineRule="auto"/>
              <w:ind w:left="21" w:leftChars="10" w:right="21" w:rightChars="10"/>
              <w:rPr>
                <w:rFonts w:hint="eastAsia" w:ascii="宋体" w:hAnsi="宋体" w:cs="宋体"/>
                <w:bCs/>
                <w:color w:val="auto"/>
                <w:szCs w:val="21"/>
                <w:highlight w:val="none"/>
              </w:rPr>
            </w:pPr>
            <w:r>
              <w:rPr>
                <w:rFonts w:hint="eastAsia"/>
                <w:color w:val="auto"/>
                <w:highlight w:val="none"/>
              </w:rPr>
              <w:t>符合第二章投标人须知前附表第10.19.5款规定</w:t>
            </w:r>
          </w:p>
        </w:tc>
      </w:tr>
      <w:tr w14:paraId="5698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6" w:type="dxa"/>
            <w:vMerge w:val="continue"/>
            <w:vAlign w:val="center"/>
          </w:tcPr>
          <w:p w14:paraId="261A91B6">
            <w:pPr>
              <w:jc w:val="center"/>
              <w:rPr>
                <w:rFonts w:hint="eastAsia" w:ascii="宋体" w:hAnsi="宋体" w:cs="宋体"/>
                <w:color w:val="auto"/>
                <w:szCs w:val="21"/>
                <w:highlight w:val="none"/>
              </w:rPr>
            </w:pPr>
          </w:p>
        </w:tc>
        <w:tc>
          <w:tcPr>
            <w:tcW w:w="2503" w:type="dxa"/>
            <w:gridSpan w:val="2"/>
            <w:vAlign w:val="center"/>
          </w:tcPr>
          <w:p w14:paraId="476A4A10">
            <w:pPr>
              <w:jc w:val="center"/>
              <w:rPr>
                <w:rFonts w:hint="eastAsia" w:ascii="宋体" w:hAnsi="宋体" w:cs="宋体"/>
                <w:color w:val="auto"/>
                <w:szCs w:val="21"/>
                <w:highlight w:val="none"/>
              </w:rPr>
            </w:pPr>
            <w:r>
              <w:rPr>
                <w:rFonts w:hint="eastAsia" w:ascii="宋体" w:hAnsi="宋体" w:cs="宋体"/>
                <w:bCs/>
                <w:color w:val="auto"/>
                <w:szCs w:val="21"/>
                <w:highlight w:val="none"/>
              </w:rPr>
              <w:t>工程结算款支付账户（不适用）</w:t>
            </w:r>
          </w:p>
        </w:tc>
        <w:tc>
          <w:tcPr>
            <w:tcW w:w="6229" w:type="dxa"/>
            <w:gridSpan w:val="3"/>
            <w:vAlign w:val="center"/>
          </w:tcPr>
          <w:p w14:paraId="28F1C311">
            <w:pPr>
              <w:pStyle w:val="224"/>
              <w:rPr>
                <w:rFonts w:hint="eastAsia" w:ascii="宋体" w:hAnsi="宋体" w:eastAsia="宋体" w:cs="宋体"/>
                <w:color w:val="auto"/>
                <w:szCs w:val="21"/>
                <w:highlight w:val="none"/>
              </w:rPr>
            </w:pPr>
            <w:r>
              <w:rPr>
                <w:rFonts w:hint="eastAsia" w:ascii="宋体" w:hAnsi="宋体" w:eastAsia="宋体" w:cs="宋体"/>
                <w:bCs/>
                <w:color w:val="auto"/>
                <w:kern w:val="2"/>
                <w:sz w:val="21"/>
                <w:szCs w:val="21"/>
                <w:highlight w:val="none"/>
              </w:rPr>
              <w:t>符合第二章投标人须知第10条的规定</w:t>
            </w:r>
          </w:p>
        </w:tc>
      </w:tr>
      <w:tr w14:paraId="515D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6" w:type="dxa"/>
            <w:vAlign w:val="center"/>
          </w:tcPr>
          <w:p w14:paraId="1053FE4B">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503" w:type="dxa"/>
            <w:gridSpan w:val="2"/>
            <w:vAlign w:val="center"/>
          </w:tcPr>
          <w:p w14:paraId="7FDEFD2E">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6229" w:type="dxa"/>
            <w:gridSpan w:val="3"/>
            <w:vAlign w:val="center"/>
          </w:tcPr>
          <w:p w14:paraId="008FA51C">
            <w:pPr>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248F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986" w:type="dxa"/>
            <w:vAlign w:val="center"/>
          </w:tcPr>
          <w:p w14:paraId="53752EFD">
            <w:pPr>
              <w:jc w:val="center"/>
              <w:rPr>
                <w:rFonts w:hint="eastAsia" w:ascii="宋体" w:hAnsi="宋体" w:cs="宋体"/>
                <w:strike/>
                <w:color w:val="auto"/>
                <w:szCs w:val="21"/>
                <w:highlight w:val="none"/>
              </w:rPr>
            </w:pPr>
          </w:p>
          <w:p w14:paraId="6D0649A0">
            <w:pPr>
              <w:jc w:val="center"/>
              <w:rPr>
                <w:rFonts w:hint="eastAsia" w:ascii="宋体" w:hAnsi="宋体" w:cs="宋体"/>
                <w:bCs/>
                <w:color w:val="auto"/>
                <w:szCs w:val="21"/>
                <w:highlight w:val="none"/>
              </w:rPr>
            </w:pPr>
            <w:r>
              <w:rPr>
                <w:rFonts w:hint="eastAsia" w:ascii="宋体" w:hAnsi="宋体" w:cs="宋体"/>
                <w:color w:val="auto"/>
                <w:szCs w:val="21"/>
                <w:highlight w:val="none"/>
              </w:rPr>
              <w:t>1.4</w:t>
            </w:r>
          </w:p>
        </w:tc>
        <w:tc>
          <w:tcPr>
            <w:tcW w:w="2503" w:type="dxa"/>
            <w:gridSpan w:val="2"/>
            <w:vAlign w:val="center"/>
          </w:tcPr>
          <w:p w14:paraId="5676281A">
            <w:pPr>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14:paraId="79DBD481">
            <w:pPr>
              <w:jc w:val="center"/>
              <w:rPr>
                <w:rFonts w:hint="eastAsia" w:ascii="宋体" w:hAnsi="宋体" w:cs="宋体"/>
                <w:bCs/>
                <w:color w:val="auto"/>
                <w:szCs w:val="21"/>
                <w:highlight w:val="none"/>
              </w:rPr>
            </w:pPr>
            <w:r>
              <w:rPr>
                <w:rFonts w:hint="eastAsia" w:ascii="宋体" w:hAnsi="宋体" w:cs="宋体"/>
                <w:color w:val="auto"/>
                <w:szCs w:val="21"/>
                <w:highlight w:val="none"/>
              </w:rPr>
              <w:t>（总权值为1）</w:t>
            </w:r>
          </w:p>
        </w:tc>
        <w:tc>
          <w:tcPr>
            <w:tcW w:w="6229" w:type="dxa"/>
            <w:gridSpan w:val="3"/>
            <w:vAlign w:val="center"/>
          </w:tcPr>
          <w:p w14:paraId="7703F5B8">
            <w:pPr>
              <w:rPr>
                <w:rFonts w:hint="eastAsia" w:ascii="宋体" w:hAnsi="宋体" w:cs="宋体"/>
                <w:color w:val="auto"/>
                <w:szCs w:val="21"/>
                <w:highlight w:val="none"/>
              </w:rPr>
            </w:pPr>
            <w:r>
              <w:rPr>
                <w:rFonts w:hint="eastAsia" w:ascii="宋体" w:hAnsi="宋体" w:cs="宋体"/>
                <w:color w:val="auto"/>
                <w:szCs w:val="21"/>
                <w:highlight w:val="none"/>
              </w:rPr>
              <w:t>报价权重范围：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50%-55%） ；</w:t>
            </w:r>
          </w:p>
          <w:p w14:paraId="774D5552">
            <w:pPr>
              <w:rPr>
                <w:rFonts w:hint="eastAsia" w:ascii="宋体" w:hAnsi="宋体" w:cs="宋体"/>
                <w:color w:val="auto"/>
                <w:szCs w:val="21"/>
                <w:highlight w:val="none"/>
              </w:rPr>
            </w:pPr>
            <w:r>
              <w:rPr>
                <w:rFonts w:hint="eastAsia" w:ascii="宋体" w:hAnsi="宋体" w:cs="宋体"/>
                <w:color w:val="auto"/>
                <w:szCs w:val="21"/>
                <w:highlight w:val="none"/>
              </w:rPr>
              <w:t>技术权重范围：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（15%-20%）；</w:t>
            </w:r>
          </w:p>
          <w:p w14:paraId="28D93B69">
            <w:pPr>
              <w:rPr>
                <w:rFonts w:hint="eastAsia" w:ascii="宋体" w:hAnsi="宋体" w:cs="宋体"/>
                <w:color w:val="auto"/>
                <w:szCs w:val="21"/>
                <w:highlight w:val="none"/>
              </w:rPr>
            </w:pPr>
            <w:r>
              <w:rPr>
                <w:rFonts w:hint="eastAsia" w:ascii="宋体" w:hAnsi="宋体" w:cs="宋体"/>
                <w:color w:val="auto"/>
                <w:szCs w:val="21"/>
                <w:highlight w:val="none"/>
              </w:rPr>
              <w:t>商务权重范围：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（25%-35%），</w:t>
            </w:r>
          </w:p>
          <w:p w14:paraId="755BE9A0">
            <w:pPr>
              <w:rPr>
                <w:rFonts w:hint="eastAsia" w:ascii="宋体" w:hAnsi="宋体" w:cs="宋体"/>
                <w:bCs/>
                <w:color w:val="auto"/>
                <w:szCs w:val="21"/>
                <w:highlight w:val="none"/>
              </w:rPr>
            </w:pPr>
            <w:r>
              <w:rPr>
                <w:rFonts w:hint="eastAsia" w:ascii="宋体" w:hAnsi="宋体" w:cs="宋体"/>
                <w:color w:val="auto"/>
                <w:szCs w:val="21"/>
                <w:highlight w:val="none"/>
              </w:rPr>
              <w:t>商务评审包括：类似工程业绩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（60%-70% ）、信用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（20%-30%） 、项目经理业绩：权重 </w:t>
            </w:r>
            <w:r>
              <w:rPr>
                <w:rFonts w:hint="eastAsia" w:ascii="宋体" w:hAnsi="宋体" w:cs="宋体"/>
                <w:color w:val="auto"/>
                <w:szCs w:val="21"/>
                <w:highlight w:val="none"/>
                <w:u w:val="single"/>
              </w:rPr>
              <w:t xml:space="preserve">10%  </w:t>
            </w:r>
            <w:r>
              <w:rPr>
                <w:rFonts w:hint="eastAsia" w:ascii="宋体" w:hAnsi="宋体" w:cs="宋体"/>
                <w:color w:val="auto"/>
                <w:szCs w:val="21"/>
                <w:highlight w:val="none"/>
              </w:rPr>
              <w:t>。（如不选择项目经理业绩，此部分权重由系统自动平移至报价权重分值中。）</w:t>
            </w:r>
          </w:p>
        </w:tc>
      </w:tr>
      <w:tr w14:paraId="06D1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6" w:type="dxa"/>
            <w:vMerge w:val="restart"/>
            <w:vAlign w:val="center"/>
          </w:tcPr>
          <w:p w14:paraId="3D1355CB">
            <w:pPr>
              <w:jc w:val="center"/>
              <w:rPr>
                <w:rFonts w:hint="eastAsia" w:ascii="宋体" w:hAnsi="宋体" w:cs="宋体"/>
                <w:strike/>
                <w:color w:val="auto"/>
                <w:szCs w:val="21"/>
                <w:highlight w:val="none"/>
              </w:rPr>
            </w:pPr>
            <w:bookmarkStart w:id="374" w:name="_Hlk193796949"/>
            <w:r>
              <w:rPr>
                <w:rFonts w:hint="eastAsia" w:ascii="宋体" w:hAnsi="宋体" w:cs="宋体"/>
                <w:color w:val="auto"/>
                <w:szCs w:val="21"/>
                <w:highlight w:val="none"/>
              </w:rPr>
              <w:t>条款号</w:t>
            </w:r>
          </w:p>
        </w:tc>
        <w:tc>
          <w:tcPr>
            <w:tcW w:w="2503" w:type="dxa"/>
            <w:gridSpan w:val="2"/>
            <w:vMerge w:val="restart"/>
            <w:vAlign w:val="center"/>
          </w:tcPr>
          <w:p w14:paraId="338ABABA">
            <w:pPr>
              <w:jc w:val="center"/>
              <w:rPr>
                <w:rFonts w:hint="eastAsia" w:ascii="宋体" w:hAnsi="宋体" w:cs="宋体"/>
                <w:bCs/>
                <w:color w:val="auto"/>
                <w:szCs w:val="21"/>
                <w:highlight w:val="none"/>
              </w:rPr>
            </w:pPr>
            <w:r>
              <w:rPr>
                <w:rFonts w:hint="eastAsia" w:ascii="宋体" w:hAnsi="宋体" w:cs="宋体"/>
                <w:color w:val="auto"/>
                <w:szCs w:val="21"/>
                <w:highlight w:val="none"/>
              </w:rPr>
              <w:t>评审因素</w:t>
            </w:r>
          </w:p>
        </w:tc>
        <w:tc>
          <w:tcPr>
            <w:tcW w:w="3854" w:type="dxa"/>
            <w:vMerge w:val="restart"/>
            <w:vAlign w:val="center"/>
          </w:tcPr>
          <w:p w14:paraId="6BE6E797">
            <w:pPr>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c>
          <w:tcPr>
            <w:tcW w:w="2375" w:type="dxa"/>
            <w:gridSpan w:val="2"/>
            <w:vAlign w:val="center"/>
          </w:tcPr>
          <w:p w14:paraId="1E1250CD">
            <w:pPr>
              <w:jc w:val="center"/>
              <w:rPr>
                <w:rFonts w:hint="eastAsia" w:ascii="宋体" w:hAnsi="宋体" w:cs="宋体"/>
                <w:color w:val="auto"/>
                <w:szCs w:val="21"/>
                <w:highlight w:val="none"/>
              </w:rPr>
            </w:pPr>
            <w:r>
              <w:rPr>
                <w:rFonts w:hint="eastAsia" w:ascii="宋体" w:hAnsi="宋体" w:cs="宋体"/>
                <w:color w:val="auto"/>
                <w:szCs w:val="21"/>
                <w:highlight w:val="none"/>
              </w:rPr>
              <w:t>评审结论</w:t>
            </w:r>
          </w:p>
        </w:tc>
      </w:tr>
      <w:tr w14:paraId="5219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86" w:type="dxa"/>
            <w:vMerge w:val="continue"/>
            <w:vAlign w:val="center"/>
          </w:tcPr>
          <w:p w14:paraId="6387C5D8">
            <w:pPr>
              <w:jc w:val="center"/>
              <w:rPr>
                <w:rFonts w:hint="eastAsia" w:ascii="宋体" w:hAnsi="宋体" w:cs="宋体"/>
                <w:color w:val="auto"/>
                <w:szCs w:val="21"/>
                <w:highlight w:val="none"/>
              </w:rPr>
            </w:pPr>
          </w:p>
        </w:tc>
        <w:tc>
          <w:tcPr>
            <w:tcW w:w="2503" w:type="dxa"/>
            <w:gridSpan w:val="2"/>
            <w:vMerge w:val="continue"/>
            <w:vAlign w:val="center"/>
          </w:tcPr>
          <w:p w14:paraId="235A38FA">
            <w:pPr>
              <w:jc w:val="center"/>
              <w:rPr>
                <w:rFonts w:hint="eastAsia" w:ascii="宋体" w:hAnsi="宋体" w:cs="宋体"/>
                <w:color w:val="auto"/>
                <w:szCs w:val="21"/>
                <w:highlight w:val="none"/>
              </w:rPr>
            </w:pPr>
          </w:p>
        </w:tc>
        <w:tc>
          <w:tcPr>
            <w:tcW w:w="3854" w:type="dxa"/>
            <w:vMerge w:val="continue"/>
            <w:vAlign w:val="center"/>
          </w:tcPr>
          <w:p w14:paraId="1BBF961D">
            <w:pPr>
              <w:jc w:val="center"/>
              <w:rPr>
                <w:rFonts w:hint="eastAsia" w:ascii="宋体" w:hAnsi="宋体" w:cs="宋体"/>
                <w:color w:val="auto"/>
                <w:szCs w:val="21"/>
                <w:highlight w:val="none"/>
              </w:rPr>
            </w:pPr>
          </w:p>
        </w:tc>
        <w:tc>
          <w:tcPr>
            <w:tcW w:w="1009" w:type="dxa"/>
            <w:vMerge w:val="restart"/>
            <w:vAlign w:val="center"/>
          </w:tcPr>
          <w:p w14:paraId="5C7BBE0B">
            <w:pPr>
              <w:jc w:val="center"/>
              <w:rPr>
                <w:rFonts w:hint="eastAsia" w:ascii="宋体" w:hAnsi="宋体" w:cs="宋体"/>
                <w:color w:val="auto"/>
                <w:szCs w:val="21"/>
                <w:highlight w:val="none"/>
              </w:rPr>
            </w:pPr>
            <w:r>
              <w:rPr>
                <w:rFonts w:hint="eastAsia" w:ascii="宋体" w:hAnsi="宋体" w:cs="宋体"/>
                <w:color w:val="auto"/>
                <w:szCs w:val="21"/>
                <w:highlight w:val="none"/>
              </w:rPr>
              <w:t>通过得分</w:t>
            </w:r>
          </w:p>
        </w:tc>
        <w:tc>
          <w:tcPr>
            <w:tcW w:w="1366" w:type="dxa"/>
            <w:vMerge w:val="restart"/>
            <w:vAlign w:val="center"/>
          </w:tcPr>
          <w:p w14:paraId="54EEEB47">
            <w:pPr>
              <w:jc w:val="center"/>
              <w:rPr>
                <w:rFonts w:hint="eastAsia" w:ascii="宋体" w:hAnsi="宋体" w:cs="宋体"/>
                <w:color w:val="auto"/>
                <w:szCs w:val="21"/>
                <w:highlight w:val="none"/>
              </w:rPr>
            </w:pPr>
            <w:r>
              <w:rPr>
                <w:rFonts w:hint="eastAsia" w:ascii="宋体" w:hAnsi="宋体" w:cs="宋体"/>
                <w:color w:val="auto"/>
                <w:szCs w:val="21"/>
                <w:highlight w:val="none"/>
              </w:rPr>
              <w:t>不通过</w:t>
            </w:r>
          </w:p>
        </w:tc>
      </w:tr>
      <w:tr w14:paraId="008C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86" w:type="dxa"/>
            <w:vMerge w:val="restart"/>
            <w:vAlign w:val="center"/>
          </w:tcPr>
          <w:p w14:paraId="2AB8C3B6">
            <w:pPr>
              <w:jc w:val="center"/>
              <w:rPr>
                <w:rFonts w:hint="eastAsia" w:ascii="宋体" w:hAnsi="宋体" w:cs="宋体"/>
                <w:color w:val="auto"/>
                <w:szCs w:val="21"/>
                <w:highlight w:val="none"/>
              </w:rPr>
            </w:pPr>
            <w:r>
              <w:rPr>
                <w:rFonts w:hint="eastAsia" w:ascii="宋体" w:hAnsi="宋体" w:cs="宋体"/>
                <w:color w:val="auto"/>
                <w:szCs w:val="21"/>
                <w:highlight w:val="none"/>
              </w:rPr>
              <w:t>1.5</w:t>
            </w:r>
          </w:p>
          <w:p w14:paraId="3C081229">
            <w:pPr>
              <w:jc w:val="center"/>
              <w:rPr>
                <w:rFonts w:hint="eastAsia" w:ascii="宋体" w:hAnsi="宋体" w:cs="宋体"/>
                <w:color w:val="auto"/>
                <w:szCs w:val="21"/>
                <w:highlight w:val="none"/>
              </w:rPr>
            </w:pPr>
          </w:p>
        </w:tc>
        <w:tc>
          <w:tcPr>
            <w:tcW w:w="935" w:type="dxa"/>
            <w:vAlign w:val="center"/>
          </w:tcPr>
          <w:p w14:paraId="5F45CDEF">
            <w:pPr>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1568" w:type="dxa"/>
            <w:vAlign w:val="center"/>
          </w:tcPr>
          <w:p w14:paraId="7E60B0A5">
            <w:pPr>
              <w:jc w:val="center"/>
              <w:rPr>
                <w:rFonts w:hint="eastAsia" w:ascii="宋体" w:hAnsi="宋体" w:cs="宋体"/>
                <w:color w:val="auto"/>
                <w:szCs w:val="21"/>
                <w:highlight w:val="none"/>
              </w:rPr>
            </w:pPr>
            <w:r>
              <w:rPr>
                <w:rFonts w:hint="eastAsia" w:ascii="宋体" w:hAnsi="宋体" w:cs="宋体"/>
                <w:color w:val="auto"/>
                <w:szCs w:val="21"/>
                <w:highlight w:val="none"/>
              </w:rPr>
              <w:t>细分项</w:t>
            </w:r>
          </w:p>
        </w:tc>
        <w:tc>
          <w:tcPr>
            <w:tcW w:w="3854" w:type="dxa"/>
            <w:vMerge w:val="continue"/>
            <w:vAlign w:val="center"/>
          </w:tcPr>
          <w:p w14:paraId="24FDBD78">
            <w:pPr>
              <w:jc w:val="center"/>
              <w:rPr>
                <w:rFonts w:hint="eastAsia" w:ascii="宋体" w:hAnsi="宋体" w:cs="宋体"/>
                <w:color w:val="auto"/>
                <w:szCs w:val="21"/>
                <w:highlight w:val="none"/>
              </w:rPr>
            </w:pPr>
          </w:p>
        </w:tc>
        <w:tc>
          <w:tcPr>
            <w:tcW w:w="1009" w:type="dxa"/>
            <w:vMerge w:val="continue"/>
            <w:vAlign w:val="center"/>
          </w:tcPr>
          <w:p w14:paraId="158CEE5B">
            <w:pPr>
              <w:jc w:val="center"/>
              <w:rPr>
                <w:rFonts w:hint="eastAsia" w:ascii="宋体" w:hAnsi="宋体" w:cs="宋体"/>
                <w:color w:val="auto"/>
                <w:szCs w:val="21"/>
                <w:highlight w:val="none"/>
              </w:rPr>
            </w:pPr>
          </w:p>
        </w:tc>
        <w:tc>
          <w:tcPr>
            <w:tcW w:w="1366" w:type="dxa"/>
            <w:vMerge w:val="continue"/>
            <w:vAlign w:val="center"/>
          </w:tcPr>
          <w:p w14:paraId="1ED5FCD6">
            <w:pPr>
              <w:jc w:val="center"/>
              <w:rPr>
                <w:rFonts w:hint="eastAsia" w:ascii="宋体" w:hAnsi="宋体" w:cs="宋体"/>
                <w:color w:val="auto"/>
                <w:szCs w:val="21"/>
                <w:highlight w:val="none"/>
              </w:rPr>
            </w:pPr>
          </w:p>
        </w:tc>
      </w:tr>
      <w:tr w14:paraId="5514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986" w:type="dxa"/>
            <w:vMerge w:val="continue"/>
            <w:vAlign w:val="center"/>
          </w:tcPr>
          <w:p w14:paraId="56BE96FD">
            <w:pPr>
              <w:jc w:val="center"/>
              <w:rPr>
                <w:rFonts w:hint="eastAsia" w:ascii="宋体" w:hAnsi="宋体" w:cs="宋体"/>
                <w:color w:val="auto"/>
                <w:szCs w:val="21"/>
                <w:highlight w:val="none"/>
              </w:rPr>
            </w:pPr>
          </w:p>
        </w:tc>
        <w:tc>
          <w:tcPr>
            <w:tcW w:w="935" w:type="dxa"/>
            <w:vMerge w:val="restart"/>
            <w:vAlign w:val="center"/>
          </w:tcPr>
          <w:p w14:paraId="2D0A1E7E">
            <w:pPr>
              <w:jc w:val="center"/>
              <w:rPr>
                <w:rFonts w:hint="eastAsia" w:ascii="宋体" w:hAnsi="宋体" w:cs="宋体"/>
                <w:color w:val="auto"/>
                <w:szCs w:val="21"/>
                <w:highlight w:val="none"/>
              </w:rPr>
            </w:pPr>
          </w:p>
          <w:p w14:paraId="6C20AB84">
            <w:pPr>
              <w:jc w:val="center"/>
              <w:rPr>
                <w:rFonts w:hint="eastAsia" w:ascii="宋体" w:hAnsi="宋体" w:cs="宋体"/>
                <w:color w:val="auto"/>
                <w:szCs w:val="21"/>
                <w:highlight w:val="none"/>
              </w:rPr>
            </w:pPr>
          </w:p>
          <w:p w14:paraId="4B7912C7">
            <w:pPr>
              <w:jc w:val="center"/>
              <w:rPr>
                <w:rFonts w:hint="eastAsia" w:ascii="宋体" w:hAnsi="宋体" w:cs="宋体"/>
                <w:color w:val="auto"/>
                <w:szCs w:val="21"/>
                <w:highlight w:val="none"/>
              </w:rPr>
            </w:pPr>
          </w:p>
          <w:p w14:paraId="0DD75239">
            <w:pPr>
              <w:jc w:val="center"/>
              <w:rPr>
                <w:rFonts w:hint="eastAsia" w:ascii="宋体" w:hAnsi="宋体" w:cs="宋体"/>
                <w:color w:val="auto"/>
                <w:szCs w:val="21"/>
                <w:highlight w:val="none"/>
              </w:rPr>
            </w:pPr>
          </w:p>
          <w:p w14:paraId="792E6D40">
            <w:pPr>
              <w:jc w:val="center"/>
              <w:rPr>
                <w:rFonts w:hint="eastAsia" w:ascii="宋体" w:hAnsi="宋体" w:cs="宋体"/>
                <w:color w:val="auto"/>
                <w:szCs w:val="21"/>
                <w:highlight w:val="none"/>
              </w:rPr>
            </w:pPr>
            <w:r>
              <w:rPr>
                <w:rFonts w:hint="eastAsia" w:ascii="宋体" w:hAnsi="宋体" w:cs="宋体"/>
                <w:color w:val="auto"/>
                <w:szCs w:val="21"/>
                <w:highlight w:val="none"/>
              </w:rPr>
              <w:t>技术评审(施工组织设计)</w:t>
            </w:r>
          </w:p>
          <w:p w14:paraId="00243282">
            <w:pPr>
              <w:jc w:val="center"/>
              <w:rPr>
                <w:rFonts w:hint="eastAsia" w:ascii="宋体" w:hAnsi="宋体" w:cs="宋体"/>
                <w:color w:val="auto"/>
                <w:szCs w:val="21"/>
                <w:highlight w:val="none"/>
              </w:rPr>
            </w:pPr>
          </w:p>
        </w:tc>
        <w:tc>
          <w:tcPr>
            <w:tcW w:w="1568" w:type="dxa"/>
            <w:vAlign w:val="center"/>
          </w:tcPr>
          <w:p w14:paraId="7A9CF26E">
            <w:pPr>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3854" w:type="dxa"/>
            <w:vAlign w:val="center"/>
          </w:tcPr>
          <w:p w14:paraId="7653E3E1">
            <w:pPr>
              <w:rPr>
                <w:rFonts w:hint="eastAsia" w:ascii="宋体" w:hAnsi="宋体" w:cs="宋体"/>
                <w:color w:val="auto"/>
                <w:szCs w:val="21"/>
                <w:highlight w:val="none"/>
              </w:rPr>
            </w:pPr>
            <w:r>
              <w:rPr>
                <w:rFonts w:hint="eastAsia" w:ascii="宋体" w:hAnsi="宋体" w:cs="宋体"/>
                <w:color w:val="auto"/>
                <w:szCs w:val="21"/>
                <w:highlight w:val="none"/>
              </w:rPr>
              <w:t xml:space="preserve"> 施工方案是否完整，是否有关键项目施工技术方案；或者市政项目是否有交通措施（除招标文件明确不需要外）；是否准确引用强制性技术标准，是否明显违反国家和省有关规定。  </w:t>
            </w:r>
          </w:p>
        </w:tc>
        <w:tc>
          <w:tcPr>
            <w:tcW w:w="1009" w:type="dxa"/>
            <w:vAlign w:val="center"/>
          </w:tcPr>
          <w:p w14:paraId="2CC0CE5B">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25分 </w:t>
            </w:r>
          </w:p>
        </w:tc>
        <w:tc>
          <w:tcPr>
            <w:tcW w:w="1366" w:type="dxa"/>
            <w:vAlign w:val="center"/>
          </w:tcPr>
          <w:p w14:paraId="6D614D78">
            <w:pPr>
              <w:jc w:val="center"/>
              <w:rPr>
                <w:color w:val="auto"/>
                <w:highlight w:val="none"/>
              </w:rPr>
            </w:pPr>
            <w:r>
              <w:rPr>
                <w:rFonts w:hint="eastAsia"/>
                <w:color w:val="auto"/>
                <w:highlight w:val="none"/>
              </w:rPr>
              <w:t>0分</w:t>
            </w:r>
          </w:p>
        </w:tc>
      </w:tr>
      <w:tr w14:paraId="651C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86" w:type="dxa"/>
            <w:vMerge w:val="continue"/>
            <w:vAlign w:val="center"/>
          </w:tcPr>
          <w:p w14:paraId="3268C22F">
            <w:pPr>
              <w:jc w:val="center"/>
              <w:rPr>
                <w:rFonts w:hint="eastAsia" w:ascii="宋体" w:hAnsi="宋体" w:cs="宋体"/>
                <w:color w:val="auto"/>
                <w:szCs w:val="21"/>
                <w:highlight w:val="none"/>
              </w:rPr>
            </w:pPr>
          </w:p>
        </w:tc>
        <w:tc>
          <w:tcPr>
            <w:tcW w:w="935" w:type="dxa"/>
            <w:vMerge w:val="continue"/>
            <w:vAlign w:val="center"/>
          </w:tcPr>
          <w:p w14:paraId="18273A5E">
            <w:pPr>
              <w:jc w:val="center"/>
              <w:rPr>
                <w:rFonts w:hint="eastAsia" w:ascii="宋体" w:hAnsi="宋体" w:cs="宋体"/>
                <w:color w:val="auto"/>
                <w:szCs w:val="21"/>
                <w:highlight w:val="none"/>
              </w:rPr>
            </w:pPr>
          </w:p>
        </w:tc>
        <w:tc>
          <w:tcPr>
            <w:tcW w:w="1568" w:type="dxa"/>
            <w:vAlign w:val="center"/>
          </w:tcPr>
          <w:p w14:paraId="0D68F296">
            <w:pPr>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3854" w:type="dxa"/>
            <w:vAlign w:val="center"/>
          </w:tcPr>
          <w:p w14:paraId="0EACE4E0">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质量目标是否满足招标文件要求，是否有质量保证措施；是否准确引用强制性技术标准，是否明显违反国家和省有关规定。 </w:t>
            </w:r>
          </w:p>
        </w:tc>
        <w:tc>
          <w:tcPr>
            <w:tcW w:w="1009" w:type="dxa"/>
            <w:vAlign w:val="center"/>
          </w:tcPr>
          <w:p w14:paraId="5D632637">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366" w:type="dxa"/>
            <w:vAlign w:val="center"/>
          </w:tcPr>
          <w:p w14:paraId="1794C963">
            <w:pPr>
              <w:jc w:val="center"/>
              <w:rPr>
                <w:color w:val="auto"/>
                <w:highlight w:val="none"/>
              </w:rPr>
            </w:pPr>
            <w:r>
              <w:rPr>
                <w:rFonts w:hint="eastAsia"/>
                <w:color w:val="auto"/>
                <w:highlight w:val="none"/>
              </w:rPr>
              <w:t>0分</w:t>
            </w:r>
          </w:p>
        </w:tc>
      </w:tr>
      <w:tr w14:paraId="61D1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986" w:type="dxa"/>
            <w:vMerge w:val="continue"/>
            <w:vAlign w:val="center"/>
          </w:tcPr>
          <w:p w14:paraId="266775F0">
            <w:pPr>
              <w:jc w:val="center"/>
              <w:rPr>
                <w:rFonts w:hint="eastAsia" w:ascii="宋体" w:hAnsi="宋体" w:cs="宋体"/>
                <w:color w:val="auto"/>
                <w:szCs w:val="21"/>
                <w:highlight w:val="none"/>
              </w:rPr>
            </w:pPr>
          </w:p>
        </w:tc>
        <w:tc>
          <w:tcPr>
            <w:tcW w:w="935" w:type="dxa"/>
            <w:vMerge w:val="continue"/>
            <w:vAlign w:val="center"/>
          </w:tcPr>
          <w:p w14:paraId="6393A7DE">
            <w:pPr>
              <w:jc w:val="center"/>
              <w:rPr>
                <w:rFonts w:hint="eastAsia" w:ascii="宋体" w:hAnsi="宋体" w:cs="宋体"/>
                <w:color w:val="auto"/>
                <w:szCs w:val="21"/>
                <w:highlight w:val="none"/>
              </w:rPr>
            </w:pPr>
          </w:p>
        </w:tc>
        <w:tc>
          <w:tcPr>
            <w:tcW w:w="1568" w:type="dxa"/>
            <w:vAlign w:val="center"/>
          </w:tcPr>
          <w:p w14:paraId="74314B57">
            <w:pPr>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3854" w:type="dxa"/>
            <w:vAlign w:val="center"/>
          </w:tcPr>
          <w:p w14:paraId="687FB924">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安全目标是否满足招标文件要求，是否有重大危险源识别和控制措施，是否有施工安全措施；是否准确引用强制性技术标准，是否明显违反国家和省有关规定。  </w:t>
            </w:r>
          </w:p>
        </w:tc>
        <w:tc>
          <w:tcPr>
            <w:tcW w:w="1009" w:type="dxa"/>
            <w:vAlign w:val="center"/>
          </w:tcPr>
          <w:p w14:paraId="10B0DCDB">
            <w:pPr>
              <w:jc w:val="center"/>
              <w:rPr>
                <w:rFonts w:hint="eastAsia" w:ascii="宋体" w:hAnsi="宋体" w:cs="宋体"/>
                <w:color w:val="auto"/>
                <w:szCs w:val="21"/>
                <w:highlight w:val="none"/>
              </w:rPr>
            </w:pPr>
            <w:r>
              <w:rPr>
                <w:rFonts w:hint="eastAsia" w:ascii="宋体" w:hAnsi="宋体" w:cs="宋体"/>
                <w:color w:val="auto"/>
                <w:szCs w:val="21"/>
                <w:highlight w:val="none"/>
              </w:rPr>
              <w:t>20分</w:t>
            </w:r>
          </w:p>
        </w:tc>
        <w:tc>
          <w:tcPr>
            <w:tcW w:w="1366" w:type="dxa"/>
            <w:vAlign w:val="center"/>
          </w:tcPr>
          <w:p w14:paraId="6067CA67">
            <w:pPr>
              <w:jc w:val="center"/>
              <w:rPr>
                <w:color w:val="auto"/>
                <w:highlight w:val="none"/>
              </w:rPr>
            </w:pPr>
            <w:r>
              <w:rPr>
                <w:rFonts w:hint="eastAsia"/>
                <w:color w:val="auto"/>
                <w:highlight w:val="none"/>
              </w:rPr>
              <w:t>0分</w:t>
            </w:r>
          </w:p>
        </w:tc>
      </w:tr>
      <w:tr w14:paraId="007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86" w:type="dxa"/>
            <w:vMerge w:val="continue"/>
            <w:vAlign w:val="center"/>
          </w:tcPr>
          <w:p w14:paraId="40364086">
            <w:pPr>
              <w:jc w:val="center"/>
              <w:rPr>
                <w:rFonts w:hint="eastAsia" w:ascii="宋体" w:hAnsi="宋体" w:cs="宋体"/>
                <w:color w:val="auto"/>
                <w:szCs w:val="21"/>
                <w:highlight w:val="none"/>
              </w:rPr>
            </w:pPr>
          </w:p>
        </w:tc>
        <w:tc>
          <w:tcPr>
            <w:tcW w:w="935" w:type="dxa"/>
            <w:vMerge w:val="continue"/>
            <w:vAlign w:val="center"/>
          </w:tcPr>
          <w:p w14:paraId="5443AAAE">
            <w:pPr>
              <w:jc w:val="center"/>
              <w:rPr>
                <w:rFonts w:hint="eastAsia" w:ascii="宋体" w:hAnsi="宋体" w:cs="宋体"/>
                <w:color w:val="auto"/>
                <w:szCs w:val="21"/>
                <w:highlight w:val="none"/>
              </w:rPr>
            </w:pPr>
          </w:p>
        </w:tc>
        <w:tc>
          <w:tcPr>
            <w:tcW w:w="1568" w:type="dxa"/>
            <w:vAlign w:val="center"/>
          </w:tcPr>
          <w:p w14:paraId="4069B359">
            <w:pPr>
              <w:jc w:val="center"/>
              <w:rPr>
                <w:rFonts w:hint="eastAsia" w:ascii="宋体" w:hAnsi="宋体" w:cs="宋体"/>
                <w:color w:val="auto"/>
                <w:szCs w:val="21"/>
                <w:highlight w:val="none"/>
              </w:rPr>
            </w:pPr>
            <w:r>
              <w:rPr>
                <w:rFonts w:hint="eastAsia" w:ascii="宋体" w:hAnsi="宋体" w:cs="宋体"/>
                <w:color w:val="auto"/>
                <w:szCs w:val="21"/>
                <w:highlight w:val="none"/>
              </w:rPr>
              <w:t>环境保护管理体系与措施</w:t>
            </w:r>
          </w:p>
        </w:tc>
        <w:tc>
          <w:tcPr>
            <w:tcW w:w="3854" w:type="dxa"/>
            <w:vAlign w:val="center"/>
          </w:tcPr>
          <w:p w14:paraId="7E37261A">
            <w:pPr>
              <w:jc w:val="left"/>
              <w:rPr>
                <w:rFonts w:hint="eastAsia" w:ascii="宋体" w:hAnsi="宋体" w:cs="宋体"/>
                <w:color w:val="auto"/>
                <w:szCs w:val="21"/>
                <w:highlight w:val="none"/>
              </w:rPr>
            </w:pPr>
            <w:r>
              <w:rPr>
                <w:rFonts w:hint="eastAsia" w:ascii="宋体" w:hAnsi="宋体" w:cs="宋体"/>
                <w:color w:val="auto"/>
                <w:szCs w:val="21"/>
                <w:highlight w:val="none"/>
              </w:rPr>
              <w:t>环境管理目标是否明确，是否有环境保护保证措施；是否有建筑垃圾源头减量、分类处置及扬尘污染防治等相关内容。</w:t>
            </w:r>
          </w:p>
        </w:tc>
        <w:tc>
          <w:tcPr>
            <w:tcW w:w="1009" w:type="dxa"/>
            <w:vAlign w:val="center"/>
          </w:tcPr>
          <w:p w14:paraId="0E9748F9">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15分 </w:t>
            </w:r>
          </w:p>
        </w:tc>
        <w:tc>
          <w:tcPr>
            <w:tcW w:w="1366" w:type="dxa"/>
            <w:vAlign w:val="center"/>
          </w:tcPr>
          <w:p w14:paraId="4E478AF7">
            <w:pPr>
              <w:jc w:val="center"/>
              <w:rPr>
                <w:color w:val="auto"/>
                <w:highlight w:val="none"/>
              </w:rPr>
            </w:pPr>
            <w:r>
              <w:rPr>
                <w:rFonts w:hint="eastAsia"/>
                <w:color w:val="auto"/>
                <w:highlight w:val="none"/>
              </w:rPr>
              <w:t>0分</w:t>
            </w:r>
          </w:p>
        </w:tc>
      </w:tr>
      <w:tr w14:paraId="707C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86" w:type="dxa"/>
            <w:vMerge w:val="continue"/>
            <w:vAlign w:val="center"/>
          </w:tcPr>
          <w:p w14:paraId="5DA23A2F">
            <w:pPr>
              <w:jc w:val="center"/>
              <w:rPr>
                <w:rFonts w:hint="eastAsia" w:ascii="宋体" w:hAnsi="宋体" w:cs="宋体"/>
                <w:color w:val="auto"/>
                <w:szCs w:val="21"/>
                <w:highlight w:val="none"/>
              </w:rPr>
            </w:pPr>
          </w:p>
        </w:tc>
        <w:tc>
          <w:tcPr>
            <w:tcW w:w="935" w:type="dxa"/>
            <w:vMerge w:val="continue"/>
            <w:vAlign w:val="center"/>
          </w:tcPr>
          <w:p w14:paraId="2C7FC7A7">
            <w:pPr>
              <w:jc w:val="center"/>
              <w:rPr>
                <w:rFonts w:hint="eastAsia" w:ascii="宋体" w:hAnsi="宋体" w:cs="宋体"/>
                <w:color w:val="auto"/>
                <w:szCs w:val="21"/>
                <w:highlight w:val="none"/>
              </w:rPr>
            </w:pPr>
          </w:p>
        </w:tc>
        <w:tc>
          <w:tcPr>
            <w:tcW w:w="1568" w:type="dxa"/>
            <w:vAlign w:val="center"/>
          </w:tcPr>
          <w:p w14:paraId="231D5DA3">
            <w:pPr>
              <w:jc w:val="center"/>
              <w:rPr>
                <w:rFonts w:hint="eastAsia" w:ascii="宋体" w:hAnsi="宋体" w:cs="宋体"/>
                <w:color w:val="auto"/>
                <w:szCs w:val="21"/>
                <w:highlight w:val="none"/>
              </w:rPr>
            </w:pPr>
            <w:r>
              <w:rPr>
                <w:rFonts w:hint="eastAsia" w:ascii="宋体" w:hAnsi="宋体" w:cs="宋体"/>
                <w:color w:val="auto"/>
                <w:szCs w:val="21"/>
                <w:highlight w:val="none"/>
              </w:rPr>
              <w:t>工程进度计划与保证措施</w:t>
            </w:r>
          </w:p>
        </w:tc>
        <w:tc>
          <w:tcPr>
            <w:tcW w:w="3854" w:type="dxa"/>
            <w:vAlign w:val="center"/>
          </w:tcPr>
          <w:p w14:paraId="7C7BA29A">
            <w:pPr>
              <w:jc w:val="left"/>
              <w:rPr>
                <w:rFonts w:hint="eastAsia" w:ascii="宋体" w:hAnsi="宋体" w:cs="宋体"/>
                <w:color w:val="auto"/>
                <w:szCs w:val="21"/>
                <w:highlight w:val="none"/>
              </w:rPr>
            </w:pPr>
            <w:r>
              <w:rPr>
                <w:rFonts w:hint="eastAsia" w:ascii="宋体" w:hAnsi="宋体" w:cs="宋体"/>
                <w:color w:val="auto"/>
                <w:szCs w:val="21"/>
                <w:highlight w:val="none"/>
              </w:rPr>
              <w:t>总工期及节点工期是否满足招标文件要求；施工进度计划内容是否全面，线路是否清晰、准确、完整。</w:t>
            </w:r>
          </w:p>
        </w:tc>
        <w:tc>
          <w:tcPr>
            <w:tcW w:w="1009" w:type="dxa"/>
            <w:vAlign w:val="center"/>
          </w:tcPr>
          <w:p w14:paraId="6E788568">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15分</w:t>
            </w:r>
          </w:p>
        </w:tc>
        <w:tc>
          <w:tcPr>
            <w:tcW w:w="1366" w:type="dxa"/>
            <w:vAlign w:val="center"/>
          </w:tcPr>
          <w:p w14:paraId="545B896B">
            <w:pPr>
              <w:jc w:val="center"/>
              <w:rPr>
                <w:color w:val="auto"/>
                <w:highlight w:val="none"/>
              </w:rPr>
            </w:pPr>
            <w:r>
              <w:rPr>
                <w:rFonts w:hint="eastAsia"/>
                <w:color w:val="auto"/>
                <w:highlight w:val="none"/>
              </w:rPr>
              <w:t xml:space="preserve">0分 </w:t>
            </w:r>
          </w:p>
        </w:tc>
      </w:tr>
      <w:tr w14:paraId="02A4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86" w:type="dxa"/>
            <w:vMerge w:val="continue"/>
            <w:vAlign w:val="center"/>
          </w:tcPr>
          <w:p w14:paraId="722E3C59">
            <w:pPr>
              <w:jc w:val="center"/>
              <w:rPr>
                <w:rFonts w:hint="eastAsia" w:ascii="宋体" w:hAnsi="宋体" w:cs="宋体"/>
                <w:color w:val="auto"/>
                <w:szCs w:val="21"/>
                <w:highlight w:val="none"/>
              </w:rPr>
            </w:pPr>
          </w:p>
        </w:tc>
        <w:tc>
          <w:tcPr>
            <w:tcW w:w="935" w:type="dxa"/>
            <w:vMerge w:val="continue"/>
            <w:vAlign w:val="center"/>
          </w:tcPr>
          <w:p w14:paraId="2DD94218">
            <w:pPr>
              <w:jc w:val="center"/>
              <w:rPr>
                <w:rFonts w:hint="eastAsia" w:ascii="宋体" w:hAnsi="宋体" w:cs="宋体"/>
                <w:color w:val="auto"/>
                <w:szCs w:val="21"/>
                <w:highlight w:val="none"/>
              </w:rPr>
            </w:pPr>
          </w:p>
        </w:tc>
        <w:tc>
          <w:tcPr>
            <w:tcW w:w="1568" w:type="dxa"/>
            <w:vAlign w:val="center"/>
          </w:tcPr>
          <w:p w14:paraId="549AD03A">
            <w:pPr>
              <w:jc w:val="center"/>
              <w:rPr>
                <w:rFonts w:hint="eastAsia" w:ascii="宋体" w:hAnsi="宋体" w:cs="宋体"/>
                <w:color w:val="auto"/>
                <w:szCs w:val="21"/>
                <w:highlight w:val="none"/>
              </w:rPr>
            </w:pPr>
            <w:r>
              <w:rPr>
                <w:rFonts w:hint="eastAsia" w:ascii="宋体" w:hAnsi="宋体" w:cs="宋体"/>
                <w:color w:val="auto"/>
                <w:szCs w:val="21"/>
                <w:highlight w:val="none"/>
              </w:rPr>
              <w:t>资源配备计划</w:t>
            </w:r>
          </w:p>
        </w:tc>
        <w:tc>
          <w:tcPr>
            <w:tcW w:w="3854" w:type="dxa"/>
            <w:vAlign w:val="center"/>
          </w:tcPr>
          <w:p w14:paraId="3C24C5E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资源投入计划与施工部署、施工方法及进度计划是否能够相互呼应并满足施工需要，调配投入计划是否合理、准确。 </w:t>
            </w:r>
          </w:p>
        </w:tc>
        <w:tc>
          <w:tcPr>
            <w:tcW w:w="1009" w:type="dxa"/>
            <w:vAlign w:val="center"/>
          </w:tcPr>
          <w:p w14:paraId="2D0FD8DE">
            <w:pPr>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1366" w:type="dxa"/>
            <w:vAlign w:val="center"/>
          </w:tcPr>
          <w:p w14:paraId="33CADE9D">
            <w:pPr>
              <w:jc w:val="center"/>
              <w:rPr>
                <w:color w:val="auto"/>
                <w:highlight w:val="none"/>
              </w:rPr>
            </w:pPr>
            <w:r>
              <w:rPr>
                <w:rFonts w:hint="eastAsia"/>
                <w:color w:val="auto"/>
                <w:highlight w:val="none"/>
              </w:rPr>
              <w:t>0分</w:t>
            </w:r>
          </w:p>
        </w:tc>
      </w:tr>
      <w:bookmarkEnd w:id="374"/>
      <w:tr w14:paraId="4CB8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986" w:type="dxa"/>
            <w:vMerge w:val="continue"/>
            <w:vAlign w:val="center"/>
          </w:tcPr>
          <w:p w14:paraId="5B6675D7">
            <w:pPr>
              <w:jc w:val="center"/>
              <w:rPr>
                <w:rFonts w:hint="eastAsia" w:ascii="宋体" w:hAnsi="宋体" w:cs="宋体"/>
                <w:color w:val="auto"/>
                <w:szCs w:val="21"/>
                <w:highlight w:val="none"/>
              </w:rPr>
            </w:pPr>
          </w:p>
        </w:tc>
        <w:tc>
          <w:tcPr>
            <w:tcW w:w="8732" w:type="dxa"/>
            <w:gridSpan w:val="5"/>
            <w:vAlign w:val="center"/>
          </w:tcPr>
          <w:p w14:paraId="7FCDD717">
            <w:pPr>
              <w:pStyle w:val="15"/>
              <w:rPr>
                <w:rFonts w:hint="eastAsia" w:ascii="宋体" w:hAnsi="宋体" w:cs="宋体"/>
                <w:color w:val="auto"/>
                <w:szCs w:val="21"/>
                <w:highlight w:val="none"/>
              </w:rPr>
            </w:pPr>
            <w:r>
              <w:rPr>
                <w:rFonts w:hint="eastAsia" w:ascii="宋体" w:hAnsi="宋体" w:cs="宋体"/>
                <w:color w:val="auto"/>
                <w:szCs w:val="21"/>
                <w:highlight w:val="none"/>
              </w:rPr>
              <w:t xml:space="preserve">1.技术方案采用暗标形式，投标文件的技术标暗标内出现投标人名称或者出现任何能直接判断出投标人名称的内容，评标委员会应当否决其投标。 </w:t>
            </w:r>
          </w:p>
          <w:p w14:paraId="6B7B33B2">
            <w:pPr>
              <w:pStyle w:val="15"/>
              <w:rPr>
                <w:rFonts w:hint="eastAsia" w:ascii="宋体" w:hAnsi="宋体" w:cs="宋体"/>
                <w:color w:val="auto"/>
                <w:szCs w:val="21"/>
                <w:highlight w:val="none"/>
              </w:rPr>
            </w:pPr>
            <w:r>
              <w:rPr>
                <w:rFonts w:hint="eastAsia" w:ascii="宋体" w:hAnsi="宋体" w:cs="宋体"/>
                <w:color w:val="auto"/>
                <w:szCs w:val="21"/>
                <w:highlight w:val="none"/>
              </w:rPr>
              <w:t>2.技术评审因素细分项实行合格制评审，结果以“不通过不得分、通过得满分”的原则进行计分，评审得分由高到低排序。</w:t>
            </w:r>
            <w:r>
              <w:rPr>
                <w:rFonts w:hint="eastAsia"/>
                <w:color w:val="auto"/>
                <w:highlight w:val="none"/>
              </w:rPr>
              <w:t>评审因素细分项缺项或者同一评审因素细分项被超过一半评标委员会成员判定为不合格的，该细分项不通过，评标委员会应当根据评审标准内容注明详细理由和依据。</w:t>
            </w:r>
          </w:p>
        </w:tc>
      </w:tr>
    </w:tbl>
    <w:p w14:paraId="661BD049">
      <w:pPr>
        <w:widowControl/>
        <w:jc w:val="left"/>
        <w:rPr>
          <w:color w:val="auto"/>
          <w:highlight w:val="none"/>
        </w:rPr>
      </w:pPr>
      <w:r>
        <w:rPr>
          <w:color w:val="auto"/>
          <w:highlight w:val="none"/>
        </w:rPr>
        <w:br w:type="page"/>
      </w:r>
    </w:p>
    <w:p w14:paraId="38D3BEAA">
      <w:pPr>
        <w:rPr>
          <w:color w:val="auto"/>
          <w:highlight w:val="none"/>
        </w:rPr>
      </w:pPr>
      <w:r>
        <w:rPr>
          <w:color w:val="auto"/>
          <w:highlight w:val="none"/>
        </w:rPr>
        <w:t>承前页：</w:t>
      </w:r>
      <w:r>
        <w:rPr>
          <w:color w:val="auto"/>
          <w:sz w:val="18"/>
          <w:szCs w:val="21"/>
          <w:highlight w:val="none"/>
        </w:rPr>
        <w:t xml:space="preserve"> </w:t>
      </w:r>
    </w:p>
    <w:tbl>
      <w:tblPr>
        <w:tblStyle w:val="41"/>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47"/>
        <w:gridCol w:w="979"/>
        <w:gridCol w:w="5184"/>
        <w:gridCol w:w="1108"/>
        <w:gridCol w:w="16"/>
      </w:tblGrid>
      <w:tr w14:paraId="5114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8" w:type="dxa"/>
            <w:vAlign w:val="center"/>
          </w:tcPr>
          <w:p w14:paraId="531EC09B">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426" w:type="dxa"/>
            <w:gridSpan w:val="2"/>
            <w:vAlign w:val="center"/>
          </w:tcPr>
          <w:p w14:paraId="15478296">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44A37B58">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5184" w:type="dxa"/>
            <w:vAlign w:val="center"/>
          </w:tcPr>
          <w:p w14:paraId="023C1E7C">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24" w:type="dxa"/>
            <w:gridSpan w:val="2"/>
            <w:vAlign w:val="center"/>
          </w:tcPr>
          <w:p w14:paraId="7750A2FD">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5C02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8" w:type="dxa"/>
            <w:vMerge w:val="restart"/>
            <w:vAlign w:val="center"/>
          </w:tcPr>
          <w:p w14:paraId="1887A59D">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734" w:type="dxa"/>
            <w:gridSpan w:val="5"/>
            <w:vAlign w:val="center"/>
          </w:tcPr>
          <w:p w14:paraId="1C635676">
            <w:pPr>
              <w:jc w:val="center"/>
              <w:rPr>
                <w:rFonts w:hint="eastAsia" w:ascii="宋体" w:hAnsi="宋体" w:cs="宋体"/>
                <w:bCs/>
                <w:color w:val="auto"/>
                <w:szCs w:val="21"/>
                <w:highlight w:val="none"/>
              </w:rPr>
            </w:pPr>
            <w:r>
              <w:rPr>
                <w:rFonts w:hint="eastAsia" w:ascii="宋体" w:hAnsi="宋体" w:cs="宋体"/>
                <w:color w:val="auto"/>
                <w:szCs w:val="21"/>
                <w:highlight w:val="none"/>
              </w:rPr>
              <w:t>商务部分评审</w:t>
            </w:r>
          </w:p>
        </w:tc>
      </w:tr>
      <w:tr w14:paraId="36E1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58" w:type="dxa"/>
            <w:vMerge w:val="continue"/>
            <w:vAlign w:val="center"/>
          </w:tcPr>
          <w:p w14:paraId="77D54053">
            <w:pPr>
              <w:jc w:val="center"/>
              <w:rPr>
                <w:rFonts w:hint="eastAsia" w:ascii="宋体" w:hAnsi="宋体" w:cs="宋体"/>
                <w:color w:val="auto"/>
                <w:szCs w:val="21"/>
                <w:highlight w:val="none"/>
              </w:rPr>
            </w:pPr>
          </w:p>
        </w:tc>
        <w:tc>
          <w:tcPr>
            <w:tcW w:w="2426" w:type="dxa"/>
            <w:gridSpan w:val="2"/>
            <w:vAlign w:val="center"/>
          </w:tcPr>
          <w:p w14:paraId="02C2B01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      类似业绩</w:t>
            </w:r>
          </w:p>
        </w:tc>
        <w:tc>
          <w:tcPr>
            <w:tcW w:w="5184" w:type="dxa"/>
            <w:vAlign w:val="center"/>
          </w:tcPr>
          <w:p w14:paraId="6F80EE36">
            <w:pPr>
              <w:snapToGrid w:val="0"/>
              <w:jc w:val="left"/>
              <w:rPr>
                <w:rFonts w:hint="eastAsia" w:ascii="宋体" w:hAnsi="宋体" w:cs="宋体"/>
                <w:color w:val="auto"/>
                <w:szCs w:val="21"/>
                <w:highlight w:val="none"/>
              </w:rPr>
            </w:pPr>
            <w:r>
              <w:rPr>
                <w:rFonts w:hint="eastAsia" w:ascii="Calibri" w:hAnsi="Calibri" w:cs="Calibri"/>
                <w:color w:val="auto"/>
                <w:szCs w:val="21"/>
                <w:highlight w:val="none"/>
              </w:rPr>
              <w:t>详见投标须知前附表6.4中“评审加分的投标人类似工程业绩”要求</w:t>
            </w:r>
          </w:p>
        </w:tc>
        <w:tc>
          <w:tcPr>
            <w:tcW w:w="1124" w:type="dxa"/>
            <w:gridSpan w:val="2"/>
            <w:vAlign w:val="center"/>
          </w:tcPr>
          <w:p w14:paraId="23FC566D">
            <w:pPr>
              <w:jc w:val="center"/>
              <w:rPr>
                <w:rFonts w:hint="eastAsia" w:ascii="宋体" w:hAnsi="宋体" w:cs="宋体"/>
                <w:color w:val="auto"/>
                <w:szCs w:val="21"/>
                <w:highlight w:val="none"/>
              </w:rPr>
            </w:pPr>
          </w:p>
        </w:tc>
      </w:tr>
      <w:tr w14:paraId="7B63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Merge w:val="continue"/>
            <w:vAlign w:val="center"/>
          </w:tcPr>
          <w:p w14:paraId="7E3F6C71">
            <w:pPr>
              <w:jc w:val="center"/>
              <w:rPr>
                <w:rFonts w:hint="eastAsia" w:ascii="宋体" w:hAnsi="宋体" w:cs="宋体"/>
                <w:color w:val="auto"/>
                <w:szCs w:val="21"/>
                <w:highlight w:val="none"/>
              </w:rPr>
            </w:pPr>
          </w:p>
        </w:tc>
        <w:tc>
          <w:tcPr>
            <w:tcW w:w="2426" w:type="dxa"/>
            <w:gridSpan w:val="2"/>
            <w:vAlign w:val="center"/>
          </w:tcPr>
          <w:p w14:paraId="4A92CDE3">
            <w:pPr>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5184" w:type="dxa"/>
            <w:vAlign w:val="center"/>
          </w:tcPr>
          <w:p w14:paraId="79CA1B55">
            <w:pPr>
              <w:jc w:val="left"/>
              <w:rPr>
                <w:rFonts w:hint="eastAsia" w:ascii="宋体" w:hAnsi="宋体" w:cs="宋体"/>
                <w:color w:val="auto"/>
                <w:szCs w:val="21"/>
                <w:highlight w:val="none"/>
              </w:rPr>
            </w:pPr>
            <w:r>
              <w:rPr>
                <w:rFonts w:hint="eastAsia" w:ascii="仿宋_GB2312" w:hAnsi="仿宋_GB2312" w:cs="仿宋_GB2312" w:eastAsiaTheme="minorEastAsia"/>
                <w:color w:val="auto"/>
                <w:highlight w:val="none"/>
              </w:rPr>
              <w:t>详见投标须知前附表10.9信用评价要求</w:t>
            </w:r>
            <w:r>
              <w:rPr>
                <w:rFonts w:hint="eastAsia" w:asciiTheme="minorEastAsia" w:hAnsiTheme="minorEastAsia" w:eastAsiaTheme="minorEastAsia"/>
                <w:color w:val="auto"/>
                <w:szCs w:val="21"/>
                <w:highlight w:val="none"/>
              </w:rPr>
              <w:t>。</w:t>
            </w:r>
          </w:p>
        </w:tc>
        <w:tc>
          <w:tcPr>
            <w:tcW w:w="1124" w:type="dxa"/>
            <w:gridSpan w:val="2"/>
            <w:vAlign w:val="center"/>
          </w:tcPr>
          <w:p w14:paraId="77D12451">
            <w:pPr>
              <w:jc w:val="center"/>
              <w:rPr>
                <w:rFonts w:hint="eastAsia" w:ascii="宋体" w:hAnsi="宋体" w:cs="宋体"/>
                <w:color w:val="auto"/>
                <w:szCs w:val="21"/>
                <w:highlight w:val="none"/>
              </w:rPr>
            </w:pPr>
          </w:p>
        </w:tc>
      </w:tr>
      <w:tr w14:paraId="7636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758" w:type="dxa"/>
            <w:vMerge w:val="continue"/>
            <w:vAlign w:val="center"/>
          </w:tcPr>
          <w:p w14:paraId="13865F1D">
            <w:pPr>
              <w:jc w:val="center"/>
              <w:rPr>
                <w:rFonts w:hint="eastAsia" w:ascii="宋体" w:hAnsi="宋体" w:cs="宋体"/>
                <w:color w:val="auto"/>
                <w:szCs w:val="21"/>
                <w:highlight w:val="none"/>
              </w:rPr>
            </w:pPr>
          </w:p>
        </w:tc>
        <w:tc>
          <w:tcPr>
            <w:tcW w:w="2426" w:type="dxa"/>
            <w:gridSpan w:val="2"/>
            <w:vAlign w:val="center"/>
          </w:tcPr>
          <w:p w14:paraId="55D301CB">
            <w:pPr>
              <w:jc w:val="left"/>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项目经理类似工程业绩</w:t>
            </w:r>
          </w:p>
          <w:p w14:paraId="2E1851C7">
            <w:pPr>
              <w:jc w:val="left"/>
              <w:rPr>
                <w:rFonts w:hint="eastAsia" w:ascii="宋体" w:hAnsi="宋体" w:cs="宋体"/>
                <w:color w:val="auto"/>
                <w:szCs w:val="21"/>
                <w:highlight w:val="none"/>
              </w:rPr>
            </w:pPr>
            <w:r>
              <w:rPr>
                <w:rFonts w:hint="eastAsia" w:ascii="宋体" w:hAnsi="宋体" w:cs="宋体"/>
                <w:color w:val="auto"/>
                <w:szCs w:val="21"/>
                <w:highlight w:val="none"/>
              </w:rPr>
              <w:t>如不选择项目经理业绩，此部分权重由系统自动平移至报价权重分值中。</w:t>
            </w:r>
          </w:p>
        </w:tc>
        <w:tc>
          <w:tcPr>
            <w:tcW w:w="5184" w:type="dxa"/>
            <w:vAlign w:val="center"/>
          </w:tcPr>
          <w:p w14:paraId="1FBF570C">
            <w:pPr>
              <w:jc w:val="left"/>
              <w:rPr>
                <w:rFonts w:hint="eastAsia" w:ascii="仿宋_GB2312" w:hAnsi="仿宋_GB2312" w:cs="仿宋_GB2312"/>
                <w:color w:val="auto"/>
                <w:highlight w:val="none"/>
              </w:rPr>
            </w:pPr>
            <w:r>
              <w:rPr>
                <w:rFonts w:hint="eastAsia" w:ascii="Calibri" w:hAnsi="Calibri" w:cs="Calibri"/>
                <w:color w:val="auto"/>
                <w:szCs w:val="21"/>
                <w:highlight w:val="none"/>
              </w:rPr>
              <w:t>详见投标须知前附表6.4中“评审加分的项目经理类似工程业绩”要求。</w:t>
            </w:r>
          </w:p>
        </w:tc>
        <w:tc>
          <w:tcPr>
            <w:tcW w:w="1124" w:type="dxa"/>
            <w:gridSpan w:val="2"/>
            <w:vAlign w:val="center"/>
          </w:tcPr>
          <w:p w14:paraId="1BC2E875">
            <w:pPr>
              <w:jc w:val="center"/>
              <w:rPr>
                <w:rFonts w:hint="eastAsia" w:ascii="宋体" w:hAnsi="宋体" w:cs="宋体"/>
                <w:color w:val="auto"/>
                <w:szCs w:val="21"/>
                <w:highlight w:val="none"/>
              </w:rPr>
            </w:pPr>
          </w:p>
        </w:tc>
      </w:tr>
      <w:tr w14:paraId="0ED3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105" w:hRule="atLeast"/>
          <w:jc w:val="center"/>
        </w:trPr>
        <w:tc>
          <w:tcPr>
            <w:tcW w:w="9476" w:type="dxa"/>
            <w:gridSpan w:val="5"/>
            <w:vAlign w:val="center"/>
          </w:tcPr>
          <w:p w14:paraId="204B8C4E">
            <w:pPr>
              <w:jc w:val="center"/>
              <w:rPr>
                <w:rFonts w:hint="eastAsia" w:ascii="宋体" w:hAnsi="宋体" w:cs="宋体"/>
                <w:color w:val="auto"/>
                <w:szCs w:val="21"/>
                <w:highlight w:val="none"/>
              </w:rPr>
            </w:pPr>
            <w:r>
              <w:rPr>
                <w:rFonts w:hint="eastAsia" w:ascii="宋体" w:hAnsi="宋体" w:cs="宋体"/>
                <w:color w:val="auto"/>
                <w:szCs w:val="21"/>
                <w:highlight w:val="none"/>
              </w:rPr>
              <w:t>投标报价评审</w:t>
            </w:r>
          </w:p>
        </w:tc>
      </w:tr>
      <w:tr w14:paraId="4DCC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62" w:hRule="atLeast"/>
          <w:jc w:val="center"/>
        </w:trPr>
        <w:tc>
          <w:tcPr>
            <w:tcW w:w="2205" w:type="dxa"/>
            <w:gridSpan w:val="2"/>
            <w:vAlign w:val="center"/>
          </w:tcPr>
          <w:p w14:paraId="61C4264B">
            <w:pPr>
              <w:jc w:val="center"/>
              <w:rPr>
                <w:rFonts w:hint="eastAsia" w:ascii="宋体" w:hAnsi="宋体" w:cs="宋体"/>
                <w:bCs/>
                <w:color w:val="auto"/>
                <w:szCs w:val="21"/>
                <w:highlight w:val="none"/>
              </w:rPr>
            </w:pPr>
            <w:r>
              <w:rPr>
                <w:rFonts w:hint="eastAsia" w:ascii="宋体" w:hAnsi="宋体" w:cs="宋体"/>
                <w:color w:val="auto"/>
                <w:szCs w:val="21"/>
                <w:highlight w:val="none"/>
              </w:rPr>
              <w:t>采用六随机五区间报价得分模型</w:t>
            </w:r>
          </w:p>
        </w:tc>
        <w:tc>
          <w:tcPr>
            <w:tcW w:w="7271" w:type="dxa"/>
            <w:gridSpan w:val="3"/>
            <w:vAlign w:val="center"/>
          </w:tcPr>
          <w:p w14:paraId="4DE96899">
            <w:pPr>
              <w:jc w:val="left"/>
              <w:rPr>
                <w:rFonts w:hint="eastAsia" w:ascii="宋体" w:hAnsi="宋体" w:cs="宋体"/>
                <w:bCs/>
                <w:color w:val="auto"/>
                <w:szCs w:val="21"/>
                <w:highlight w:val="none"/>
              </w:rPr>
            </w:pPr>
            <w:r>
              <w:rPr>
                <w:rFonts w:hint="eastAsia"/>
                <w:color w:val="auto"/>
                <w:sz w:val="20"/>
                <w:szCs w:val="20"/>
                <w:highlight w:val="none"/>
              </w:rPr>
              <w:t>按照湖南省公共资源交易服务平台动态更新的“六随机五区间报价得分”系统模型计算。</w:t>
            </w:r>
          </w:p>
        </w:tc>
      </w:tr>
    </w:tbl>
    <w:p w14:paraId="6B9BC4A8">
      <w:pPr>
        <w:rPr>
          <w:color w:val="auto"/>
          <w:highlight w:val="none"/>
        </w:rPr>
      </w:pPr>
    </w:p>
    <w:p w14:paraId="602470E9">
      <w:pPr>
        <w:widowControl/>
        <w:jc w:val="center"/>
        <w:rPr>
          <w:rFonts w:eastAsia="黑体"/>
          <w:bCs/>
          <w:color w:val="auto"/>
          <w:sz w:val="30"/>
          <w:highlight w:val="none"/>
        </w:rPr>
      </w:pPr>
    </w:p>
    <w:p w14:paraId="68F78F8A">
      <w:pPr>
        <w:widowControl/>
        <w:jc w:val="center"/>
        <w:rPr>
          <w:rFonts w:eastAsia="黑体"/>
          <w:bCs/>
          <w:color w:val="auto"/>
          <w:sz w:val="30"/>
          <w:highlight w:val="none"/>
        </w:rPr>
      </w:pPr>
      <w:r>
        <w:rPr>
          <w:rFonts w:eastAsia="黑体"/>
          <w:bCs/>
          <w:color w:val="auto"/>
          <w:sz w:val="30"/>
          <w:highlight w:val="none"/>
        </w:rPr>
        <w:br w:type="page"/>
      </w:r>
      <w:r>
        <w:rPr>
          <w:rFonts w:eastAsia="黑体"/>
          <w:bCs/>
          <w:color w:val="auto"/>
          <w:sz w:val="30"/>
          <w:highlight w:val="none"/>
        </w:rPr>
        <w:t>评标办法（综合评估法</w:t>
      </w:r>
      <w:r>
        <w:rPr>
          <w:rFonts w:hint="eastAsia" w:eastAsia="黑体"/>
          <w:bCs/>
          <w:color w:val="auto"/>
          <w:sz w:val="30"/>
          <w:highlight w:val="none"/>
        </w:rPr>
        <w:t>1</w:t>
      </w:r>
      <w:r>
        <w:rPr>
          <w:rFonts w:eastAsia="黑体"/>
          <w:bCs/>
          <w:color w:val="auto"/>
          <w:sz w:val="30"/>
          <w:highlight w:val="none"/>
        </w:rPr>
        <w:t>）</w:t>
      </w:r>
    </w:p>
    <w:p w14:paraId="3C727831">
      <w:pPr>
        <w:widowControl/>
        <w:jc w:val="left"/>
        <w:rPr>
          <w:bCs/>
          <w:color w:val="auto"/>
          <w:szCs w:val="21"/>
          <w:highlight w:val="none"/>
        </w:rPr>
      </w:pPr>
    </w:p>
    <w:p w14:paraId="64A9B103">
      <w:pPr>
        <w:snapToGrid w:val="0"/>
        <w:spacing w:line="400" w:lineRule="exact"/>
        <w:ind w:firstLine="420" w:firstLineChars="200"/>
        <w:rPr>
          <w:color w:val="auto"/>
          <w:szCs w:val="21"/>
          <w:highlight w:val="none"/>
        </w:rPr>
      </w:pPr>
      <w:bookmarkStart w:id="375" w:name="_Toc300678103"/>
      <w:r>
        <w:rPr>
          <w:rFonts w:hint="eastAsia"/>
          <w:color w:val="auto"/>
          <w:szCs w:val="21"/>
          <w:highlight w:val="none"/>
        </w:rPr>
        <w:t xml:space="preserve"> </w:t>
      </w:r>
      <w:r>
        <w:rPr>
          <w:color w:val="auto"/>
          <w:szCs w:val="21"/>
          <w:highlight w:val="none"/>
        </w:rPr>
        <w:t>本次评标采用</w:t>
      </w:r>
      <w:r>
        <w:rPr>
          <w:color w:val="auto"/>
          <w:highlight w:val="none"/>
        </w:rPr>
        <w:t>综合评估法</w:t>
      </w:r>
      <w:r>
        <w:rPr>
          <w:rFonts w:hint="eastAsia"/>
          <w:color w:val="auto"/>
          <w:highlight w:val="none"/>
        </w:rPr>
        <w:t>1，交易系统</w:t>
      </w:r>
      <w:r>
        <w:rPr>
          <w:color w:val="auto"/>
          <w:highlight w:val="none"/>
        </w:rPr>
        <w:t>对</w:t>
      </w:r>
      <w:r>
        <w:rPr>
          <w:rFonts w:hint="eastAsia"/>
          <w:color w:val="auto"/>
          <w:highlight w:val="none"/>
        </w:rPr>
        <w:t>通过初步评审的投标人</w:t>
      </w:r>
      <w:r>
        <w:rPr>
          <w:color w:val="auto"/>
          <w:highlight w:val="none"/>
        </w:rPr>
        <w:t>，</w:t>
      </w:r>
      <w:r>
        <w:rPr>
          <w:rFonts w:hint="eastAsia"/>
          <w:color w:val="auto"/>
          <w:highlight w:val="none"/>
        </w:rPr>
        <w:t>按照明确的评分因素和量化的评分标准对商务、投标报价进行评分，评标委员会对技术进行评审、对交易系统评审内容进行复核，</w:t>
      </w:r>
      <w:r>
        <w:rPr>
          <w:color w:val="auto"/>
          <w:szCs w:val="21"/>
          <w:highlight w:val="none"/>
        </w:rPr>
        <w:t>并按评标总得分由高到低的顺序推荐中标候选人</w:t>
      </w:r>
      <w:r>
        <w:rPr>
          <w:rFonts w:hint="eastAsia"/>
          <w:color w:val="auto"/>
          <w:szCs w:val="21"/>
          <w:highlight w:val="none"/>
        </w:rPr>
        <w:t>。</w:t>
      </w:r>
    </w:p>
    <w:p w14:paraId="06EC976C">
      <w:pPr>
        <w:pStyle w:val="3"/>
        <w:numPr>
          <w:ilvl w:val="0"/>
          <w:numId w:val="2"/>
        </w:numPr>
        <w:spacing w:before="0" w:after="0" w:line="360" w:lineRule="auto"/>
        <w:rPr>
          <w:color w:val="auto"/>
          <w:highlight w:val="none"/>
        </w:rPr>
      </w:pPr>
      <w:bookmarkStart w:id="376" w:name="_Toc211498684"/>
      <w:r>
        <w:rPr>
          <w:rFonts w:ascii="Times New Roman" w:hAnsi="Times New Roman" w:eastAsia="黑体"/>
          <w:b w:val="0"/>
          <w:bCs w:val="0"/>
          <w:color w:val="auto"/>
          <w:sz w:val="30"/>
          <w:highlight w:val="none"/>
        </w:rPr>
        <w:t>评审标准</w:t>
      </w:r>
      <w:bookmarkEnd w:id="376"/>
    </w:p>
    <w:p w14:paraId="0BEE7F6A">
      <w:pPr>
        <w:spacing w:line="348"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 xml:space="preserve"> 形式评审标准：见评标办法前附表。</w:t>
      </w:r>
    </w:p>
    <w:p w14:paraId="600BFC8B">
      <w:pPr>
        <w:spacing w:line="348" w:lineRule="auto"/>
        <w:ind w:firstLine="420" w:firstLineChars="200"/>
        <w:rPr>
          <w:color w:val="auto"/>
          <w:highlight w:val="none"/>
        </w:rPr>
      </w:pPr>
      <w:r>
        <w:rPr>
          <w:rFonts w:hint="eastAsia"/>
          <w:color w:val="auto"/>
          <w:highlight w:val="none"/>
        </w:rPr>
        <w:t>1.</w:t>
      </w:r>
      <w:r>
        <w:rPr>
          <w:color w:val="auto"/>
          <w:highlight w:val="none"/>
        </w:rPr>
        <w:t>2 资格评审标准：见评标办法前附表</w:t>
      </w:r>
    </w:p>
    <w:p w14:paraId="1C65865D">
      <w:pPr>
        <w:spacing w:line="348" w:lineRule="auto"/>
        <w:ind w:firstLine="420" w:firstLineChars="200"/>
        <w:rPr>
          <w:color w:val="auto"/>
          <w:highlight w:val="none"/>
        </w:rPr>
      </w:pPr>
      <w:r>
        <w:rPr>
          <w:color w:val="auto"/>
          <w:highlight w:val="none"/>
        </w:rPr>
        <w:t>已进行资格预审的，见本招标项目资格预审文件第三章“资格审查办法”详细审查标准</w:t>
      </w:r>
      <w:r>
        <w:rPr>
          <w:rFonts w:hint="eastAsia"/>
          <w:color w:val="auto"/>
          <w:highlight w:val="none"/>
        </w:rPr>
        <w:t>。</w:t>
      </w:r>
    </w:p>
    <w:p w14:paraId="2637EC05">
      <w:pPr>
        <w:spacing w:line="348" w:lineRule="auto"/>
        <w:ind w:firstLine="420" w:firstLineChars="200"/>
        <w:rPr>
          <w:color w:val="auto"/>
          <w:highlight w:val="none"/>
        </w:rPr>
      </w:pPr>
      <w:r>
        <w:rPr>
          <w:color w:val="auto"/>
          <w:highlight w:val="none"/>
        </w:rPr>
        <w:t>1</w:t>
      </w:r>
      <w:r>
        <w:rPr>
          <w:rFonts w:hint="eastAsia"/>
          <w:color w:val="auto"/>
          <w:highlight w:val="none"/>
        </w:rPr>
        <w:t>.</w:t>
      </w:r>
      <w:r>
        <w:rPr>
          <w:color w:val="auto"/>
          <w:highlight w:val="none"/>
        </w:rPr>
        <w:t>3 响应性评审标准：见评标办法前附表。</w:t>
      </w:r>
    </w:p>
    <w:p w14:paraId="505CE68E">
      <w:pPr>
        <w:spacing w:line="348" w:lineRule="auto"/>
        <w:ind w:firstLine="420" w:firstLineChars="200"/>
        <w:rPr>
          <w:color w:val="auto"/>
          <w:highlight w:val="none"/>
        </w:rPr>
      </w:pPr>
      <w:r>
        <w:rPr>
          <w:rFonts w:hint="eastAsia"/>
          <w:color w:val="auto"/>
          <w:highlight w:val="none"/>
        </w:rPr>
        <w:t>1.4权值构成：</w:t>
      </w:r>
      <w:r>
        <w:rPr>
          <w:color w:val="auto"/>
          <w:highlight w:val="none"/>
        </w:rPr>
        <w:t>见评标办法前附表。</w:t>
      </w:r>
    </w:p>
    <w:p w14:paraId="2E6641E3">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highlight w:val="none"/>
        </w:rPr>
        <w:t>.</w:t>
      </w:r>
      <w:r>
        <w:rPr>
          <w:rFonts w:hint="eastAsia"/>
          <w:color w:val="auto"/>
          <w:szCs w:val="21"/>
          <w:highlight w:val="none"/>
        </w:rPr>
        <w:t>5</w:t>
      </w:r>
      <w:r>
        <w:rPr>
          <w:rFonts w:hint="eastAsia" w:ascii="宋体" w:hAnsi="宋体"/>
          <w:color w:val="auto"/>
          <w:szCs w:val="21"/>
          <w:highlight w:val="none"/>
        </w:rPr>
        <w:t>商务评审标准</w:t>
      </w:r>
      <w:r>
        <w:rPr>
          <w:color w:val="auto"/>
          <w:szCs w:val="21"/>
          <w:highlight w:val="none"/>
        </w:rPr>
        <w:t>：见评标办法前附表；</w:t>
      </w:r>
    </w:p>
    <w:p w14:paraId="6CB21071">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highlight w:val="none"/>
        </w:rPr>
        <w:t>.</w:t>
      </w:r>
      <w:r>
        <w:rPr>
          <w:rFonts w:hint="eastAsia"/>
          <w:color w:val="auto"/>
          <w:szCs w:val="21"/>
          <w:highlight w:val="none"/>
        </w:rPr>
        <w:t>6技术（施工组织设计）评审标准</w:t>
      </w:r>
      <w:r>
        <w:rPr>
          <w:color w:val="auto"/>
          <w:szCs w:val="21"/>
          <w:highlight w:val="none"/>
        </w:rPr>
        <w:t>：见评标办法前附表；</w:t>
      </w:r>
    </w:p>
    <w:p w14:paraId="4A8EE1BF">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highlight w:val="none"/>
        </w:rPr>
        <w:t>.</w:t>
      </w:r>
      <w:r>
        <w:rPr>
          <w:rFonts w:hint="eastAsia"/>
          <w:color w:val="auto"/>
          <w:szCs w:val="21"/>
          <w:highlight w:val="none"/>
        </w:rPr>
        <w:t>7</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5E60D8F4">
      <w:pPr>
        <w:pStyle w:val="3"/>
        <w:spacing w:before="0" w:after="0" w:line="360" w:lineRule="auto"/>
        <w:rPr>
          <w:rFonts w:ascii="Times New Roman" w:hAnsi="Times New Roman" w:eastAsia="黑体"/>
          <w:b w:val="0"/>
          <w:bCs w:val="0"/>
          <w:color w:val="auto"/>
          <w:sz w:val="30"/>
          <w:highlight w:val="none"/>
        </w:rPr>
      </w:pPr>
      <w:bookmarkStart w:id="377" w:name="_Toc211498685"/>
      <w:r>
        <w:rPr>
          <w:rFonts w:ascii="Times New Roman" w:hAnsi="Times New Roman" w:eastAsia="黑体"/>
          <w:b w:val="0"/>
          <w:bCs w:val="0"/>
          <w:color w:val="auto"/>
          <w:sz w:val="30"/>
          <w:highlight w:val="none"/>
        </w:rPr>
        <w:t>2.评审程序</w:t>
      </w:r>
      <w:bookmarkEnd w:id="377"/>
    </w:p>
    <w:p w14:paraId="19E97C9E">
      <w:pPr>
        <w:spacing w:line="360" w:lineRule="auto"/>
        <w:ind w:firstLine="420" w:firstLineChars="200"/>
        <w:rPr>
          <w:color w:val="auto"/>
          <w:highlight w:val="none"/>
        </w:rPr>
      </w:pPr>
      <w:r>
        <w:rPr>
          <w:rFonts w:hint="eastAsia"/>
          <w:color w:val="auto"/>
          <w:highlight w:val="none"/>
        </w:rPr>
        <w:t>2.1初步评审：形式、资格、响应性</w:t>
      </w:r>
      <w:r>
        <w:rPr>
          <w:color w:val="auto"/>
          <w:highlight w:val="none"/>
        </w:rPr>
        <w:t>评审</w:t>
      </w:r>
      <w:r>
        <w:rPr>
          <w:rFonts w:hint="eastAsia"/>
          <w:color w:val="auto"/>
          <w:highlight w:val="none"/>
        </w:rPr>
        <w:t>；</w:t>
      </w:r>
    </w:p>
    <w:p w14:paraId="69449584">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2</w:t>
      </w:r>
      <w:r>
        <w:rPr>
          <w:rFonts w:hint="eastAsia"/>
          <w:color w:val="auto"/>
          <w:highlight w:val="none"/>
        </w:rPr>
        <w:t>商务评审；</w:t>
      </w:r>
    </w:p>
    <w:p w14:paraId="7EB485EB">
      <w:pPr>
        <w:shd w:val="clear" w:color="auto" w:fill="FFFFFF"/>
        <w:snapToGrid w:val="0"/>
        <w:spacing w:line="400" w:lineRule="exact"/>
        <w:ind w:firstLine="420" w:firstLineChars="200"/>
        <w:rPr>
          <w:color w:val="auto"/>
          <w:kern w:val="0"/>
          <w:szCs w:val="32"/>
          <w:highlight w:val="none"/>
        </w:rPr>
      </w:pPr>
      <w:bookmarkStart w:id="378" w:name="_Hlk210291470"/>
      <w:r>
        <w:rPr>
          <w:rFonts w:hint="eastAsia"/>
          <w:color w:val="auto"/>
          <w:kern w:val="0"/>
          <w:szCs w:val="32"/>
          <w:highlight w:val="none"/>
        </w:rPr>
        <w:t>2.</w:t>
      </w:r>
      <w:r>
        <w:rPr>
          <w:rFonts w:hint="eastAsia"/>
          <w:color w:val="auto"/>
          <w:kern w:val="0"/>
          <w:szCs w:val="32"/>
          <w:highlight w:val="none"/>
          <w:lang w:val="en-US" w:eastAsia="zh-CN"/>
        </w:rPr>
        <w:t>3</w:t>
      </w:r>
      <w:r>
        <w:rPr>
          <w:rFonts w:hint="eastAsia"/>
          <w:color w:val="auto"/>
          <w:kern w:val="0"/>
          <w:szCs w:val="32"/>
          <w:highlight w:val="none"/>
        </w:rPr>
        <w:t>评标委员会复核确认；</w:t>
      </w:r>
    </w:p>
    <w:p w14:paraId="0688B4BE">
      <w:pPr>
        <w:shd w:val="clear" w:color="auto" w:fill="FFFFFF"/>
        <w:snapToGrid w:val="0"/>
        <w:spacing w:line="400" w:lineRule="exact"/>
        <w:ind w:firstLine="420" w:firstLineChars="200"/>
        <w:rPr>
          <w:color w:val="auto"/>
          <w:highlight w:val="none"/>
        </w:rPr>
      </w:pPr>
      <w:r>
        <w:rPr>
          <w:rFonts w:hint="eastAsia"/>
          <w:color w:val="auto"/>
          <w:kern w:val="0"/>
          <w:szCs w:val="32"/>
          <w:highlight w:val="none"/>
        </w:rPr>
        <w:t>2.</w:t>
      </w:r>
      <w:r>
        <w:rPr>
          <w:rFonts w:hint="eastAsia"/>
          <w:color w:val="auto"/>
          <w:kern w:val="0"/>
          <w:szCs w:val="32"/>
          <w:highlight w:val="none"/>
          <w:lang w:val="en-US" w:eastAsia="zh-CN"/>
        </w:rPr>
        <w:t>4</w:t>
      </w:r>
      <w:r>
        <w:rPr>
          <w:rFonts w:hint="eastAsia"/>
          <w:color w:val="auto"/>
          <w:kern w:val="0"/>
          <w:szCs w:val="32"/>
          <w:highlight w:val="none"/>
        </w:rPr>
        <w:t xml:space="preserve"> 评标委员会邀请招标人、招标代理机构进行复核，并提出复核意见，评标委员会对复核意见进行讨论，并记录</w:t>
      </w:r>
      <w:r>
        <w:rPr>
          <w:rFonts w:hint="eastAsia"/>
          <w:color w:val="auto"/>
          <w:szCs w:val="21"/>
          <w:highlight w:val="none"/>
        </w:rPr>
        <w:t>采纳和不采纳情况及不采纳理由</w:t>
      </w:r>
      <w:r>
        <w:rPr>
          <w:rFonts w:hint="eastAsia"/>
          <w:color w:val="auto"/>
          <w:kern w:val="0"/>
          <w:szCs w:val="32"/>
          <w:highlight w:val="none"/>
        </w:rPr>
        <w:t>；</w:t>
      </w:r>
    </w:p>
    <w:bookmarkEnd w:id="378"/>
    <w:p w14:paraId="2B83C615">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5</w:t>
      </w:r>
      <w:r>
        <w:rPr>
          <w:rFonts w:hint="eastAsia"/>
          <w:color w:val="auto"/>
          <w:highlight w:val="none"/>
        </w:rPr>
        <w:t>技术评审（施工组织设计）；</w:t>
      </w:r>
    </w:p>
    <w:p w14:paraId="3B6E03C4">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投标报价</w:t>
      </w:r>
      <w:r>
        <w:rPr>
          <w:color w:val="auto"/>
          <w:highlight w:val="none"/>
        </w:rPr>
        <w:t>评审</w:t>
      </w:r>
      <w:r>
        <w:rPr>
          <w:rFonts w:hint="eastAsia"/>
          <w:color w:val="auto"/>
          <w:highlight w:val="none"/>
        </w:rPr>
        <w:t>；</w:t>
      </w:r>
    </w:p>
    <w:p w14:paraId="2D0A1058">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7</w:t>
      </w:r>
      <w:r>
        <w:rPr>
          <w:color w:val="auto"/>
          <w:highlight w:val="none"/>
        </w:rPr>
        <w:t>推荐中标候选人及提交评标报告。</w:t>
      </w:r>
    </w:p>
    <w:p w14:paraId="3CB94134">
      <w:pPr>
        <w:pStyle w:val="3"/>
        <w:spacing w:before="0" w:after="0" w:line="360" w:lineRule="auto"/>
        <w:rPr>
          <w:rFonts w:ascii="Times New Roman" w:hAnsi="Times New Roman" w:eastAsia="黑体"/>
          <w:b w:val="0"/>
          <w:bCs w:val="0"/>
          <w:color w:val="auto"/>
          <w:sz w:val="30"/>
          <w:highlight w:val="none"/>
        </w:rPr>
      </w:pPr>
      <w:bookmarkStart w:id="379" w:name="_Toc211498686"/>
      <w:r>
        <w:rPr>
          <w:rFonts w:hint="eastAsia" w:ascii="Times New Roman" w:hAnsi="Times New Roman" w:eastAsia="黑体"/>
          <w:b w:val="0"/>
          <w:bCs w:val="0"/>
          <w:color w:val="auto"/>
          <w:sz w:val="30"/>
          <w:highlight w:val="none"/>
        </w:rPr>
        <w:t>3.形式、资格、响应性</w:t>
      </w:r>
      <w:r>
        <w:rPr>
          <w:rFonts w:ascii="Times New Roman" w:hAnsi="Times New Roman" w:eastAsia="黑体"/>
          <w:b w:val="0"/>
          <w:bCs w:val="0"/>
          <w:color w:val="auto"/>
          <w:sz w:val="30"/>
          <w:highlight w:val="none"/>
        </w:rPr>
        <w:t>评审</w:t>
      </w:r>
      <w:bookmarkEnd w:id="379"/>
    </w:p>
    <w:p w14:paraId="7CCAD7A0">
      <w:pPr>
        <w:spacing w:line="360" w:lineRule="auto"/>
        <w:ind w:firstLine="420" w:firstLineChars="200"/>
        <w:rPr>
          <w:color w:val="auto"/>
          <w:szCs w:val="21"/>
          <w:highlight w:val="none"/>
        </w:rPr>
      </w:pPr>
      <w:r>
        <w:rPr>
          <w:rFonts w:hint="eastAsia"/>
          <w:color w:val="auto"/>
          <w:szCs w:val="21"/>
          <w:highlight w:val="none"/>
        </w:rPr>
        <w:t>交易系统依据评标办法的规定对投标文件进行评审。有一项不符合评审标准的，应当予以否决。</w:t>
      </w:r>
    </w:p>
    <w:p w14:paraId="01FFE750">
      <w:pPr>
        <w:spacing w:line="360" w:lineRule="auto"/>
        <w:ind w:firstLine="420" w:firstLineChars="200"/>
        <w:rPr>
          <w:color w:val="auto"/>
          <w:szCs w:val="21"/>
          <w:highlight w:val="none"/>
        </w:rPr>
      </w:pPr>
      <w:r>
        <w:rPr>
          <w:rFonts w:hint="eastAsia"/>
          <w:color w:val="auto"/>
          <w:szCs w:val="21"/>
          <w:highlight w:val="none"/>
        </w:rPr>
        <w:t>3.1 形式评审</w:t>
      </w:r>
    </w:p>
    <w:p w14:paraId="7DF44715">
      <w:pPr>
        <w:spacing w:line="360" w:lineRule="auto"/>
        <w:ind w:firstLine="420" w:firstLineChars="200"/>
        <w:rPr>
          <w:color w:val="auto"/>
          <w:szCs w:val="21"/>
          <w:highlight w:val="none"/>
        </w:rPr>
      </w:pPr>
      <w:r>
        <w:rPr>
          <w:rFonts w:hint="eastAsia"/>
          <w:color w:val="auto"/>
          <w:szCs w:val="21"/>
          <w:highlight w:val="none"/>
        </w:rPr>
        <w:t>交易系统根据评标办法前附表中规定的评审因素和评审标准，对投标人的投标文件进行形式评审。</w:t>
      </w:r>
    </w:p>
    <w:p w14:paraId="62014983">
      <w:pPr>
        <w:spacing w:line="360" w:lineRule="auto"/>
        <w:ind w:firstLine="420" w:firstLineChars="200"/>
        <w:rPr>
          <w:color w:val="auto"/>
          <w:szCs w:val="21"/>
          <w:highlight w:val="none"/>
        </w:rPr>
      </w:pPr>
      <w:r>
        <w:rPr>
          <w:rFonts w:hint="eastAsia"/>
          <w:color w:val="auto"/>
          <w:szCs w:val="21"/>
          <w:highlight w:val="none"/>
        </w:rPr>
        <w:t>3.2 资格评审</w:t>
      </w:r>
    </w:p>
    <w:p w14:paraId="38195C94">
      <w:pPr>
        <w:spacing w:line="360" w:lineRule="auto"/>
        <w:ind w:firstLine="420" w:firstLineChars="200"/>
        <w:rPr>
          <w:color w:val="auto"/>
          <w:szCs w:val="21"/>
          <w:highlight w:val="none"/>
        </w:rPr>
      </w:pPr>
      <w:r>
        <w:rPr>
          <w:rFonts w:hint="eastAsia"/>
          <w:color w:val="auto"/>
          <w:szCs w:val="21"/>
          <w:highlight w:val="none"/>
        </w:rPr>
        <w:t>3.2.1未进行资格预审的，由交易系统根据评标办法前附表规定的评审因素和评审标准，对投标人的投标文件进行资格评审。</w:t>
      </w:r>
    </w:p>
    <w:p w14:paraId="4440B0C5">
      <w:pPr>
        <w:spacing w:line="360" w:lineRule="auto"/>
        <w:ind w:firstLine="420" w:firstLineChars="200"/>
        <w:rPr>
          <w:color w:val="auto"/>
          <w:szCs w:val="21"/>
          <w:highlight w:val="none"/>
        </w:rPr>
      </w:pPr>
      <w:r>
        <w:rPr>
          <w:rFonts w:hint="eastAsia"/>
          <w:color w:val="auto"/>
          <w:szCs w:val="21"/>
          <w:highlight w:val="none"/>
        </w:rPr>
        <w:t>已进行资格预审的，交易系统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739EAE58">
      <w:pPr>
        <w:spacing w:line="360" w:lineRule="auto"/>
        <w:ind w:firstLine="420" w:firstLineChars="200"/>
        <w:rPr>
          <w:color w:val="auto"/>
          <w:szCs w:val="21"/>
          <w:highlight w:val="none"/>
        </w:rPr>
      </w:pPr>
      <w:r>
        <w:rPr>
          <w:rFonts w:hint="eastAsia"/>
          <w:color w:val="auto"/>
          <w:szCs w:val="21"/>
          <w:highlight w:val="none"/>
        </w:rPr>
        <w:t xml:space="preserve">3.2.2 资格评审过程中，评标委员会发现投标人提交的资格审查资料不全时，应当听取该投标人的说明。  </w:t>
      </w:r>
    </w:p>
    <w:p w14:paraId="07E6CACF">
      <w:pPr>
        <w:spacing w:line="360" w:lineRule="auto"/>
        <w:ind w:firstLine="420" w:firstLineChars="200"/>
        <w:rPr>
          <w:color w:val="auto"/>
          <w:szCs w:val="21"/>
          <w:highlight w:val="none"/>
        </w:rPr>
      </w:pPr>
      <w:r>
        <w:rPr>
          <w:rFonts w:hint="eastAsia"/>
          <w:color w:val="auto"/>
          <w:szCs w:val="21"/>
          <w:highlight w:val="none"/>
        </w:rPr>
        <w:t>3.3 响应性评审</w:t>
      </w:r>
    </w:p>
    <w:p w14:paraId="2464922B">
      <w:pPr>
        <w:spacing w:line="360" w:lineRule="auto"/>
        <w:ind w:firstLine="420" w:firstLineChars="200"/>
        <w:rPr>
          <w:color w:val="auto"/>
          <w:szCs w:val="21"/>
          <w:highlight w:val="none"/>
        </w:rPr>
      </w:pPr>
      <w:r>
        <w:rPr>
          <w:rFonts w:hint="eastAsia"/>
          <w:color w:val="auto"/>
          <w:szCs w:val="21"/>
          <w:highlight w:val="none"/>
        </w:rPr>
        <w:t>3.3.1 交易系统根据评标办法前附表中规定的评审因素和评审标准，对投标人的投标文件进行响应性评审。</w:t>
      </w:r>
    </w:p>
    <w:p w14:paraId="7D8E37D2">
      <w:pPr>
        <w:spacing w:line="360" w:lineRule="auto"/>
        <w:ind w:firstLine="420" w:firstLineChars="200"/>
        <w:rPr>
          <w:color w:val="auto"/>
          <w:szCs w:val="21"/>
          <w:highlight w:val="none"/>
        </w:rPr>
      </w:pPr>
      <w:r>
        <w:rPr>
          <w:rFonts w:hint="eastAsia"/>
          <w:color w:val="auto"/>
          <w:szCs w:val="21"/>
          <w:highlight w:val="none"/>
        </w:rPr>
        <w:t>3.3.2 招标文件设定了最高投标限价的，投标人投标价格不得超出（不含等于）“投标人须知”前附表载明的最高投标限价。</w:t>
      </w:r>
    </w:p>
    <w:p w14:paraId="31063ED1">
      <w:pPr>
        <w:spacing w:line="360" w:lineRule="auto"/>
        <w:ind w:firstLine="420" w:firstLineChars="200"/>
        <w:rPr>
          <w:color w:val="auto"/>
          <w:szCs w:val="21"/>
          <w:highlight w:val="none"/>
        </w:rPr>
      </w:pPr>
      <w:r>
        <w:rPr>
          <w:rFonts w:hint="eastAsia"/>
          <w:color w:val="auto"/>
          <w:szCs w:val="21"/>
          <w:highlight w:val="none"/>
        </w:rPr>
        <w:t>3.4  算术错误修正（适用于招标人自主确定清单计量计价的项目）</w:t>
      </w:r>
    </w:p>
    <w:p w14:paraId="7A18CAA4">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交易系统检查投标人投标报价是否有算术错误，算术性错误分析和修正按以下原则进行，修正的价格经投标人通过电子交易平台确认后具有约束力。投标人不接受修正价格的，应当否决其投标。</w:t>
      </w:r>
    </w:p>
    <w:p w14:paraId="7DD0B923">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70BC9C32">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05F6E6E3">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2EA19624">
      <w:pPr>
        <w:spacing w:line="360" w:lineRule="auto"/>
        <w:ind w:firstLine="420" w:firstLineChars="200"/>
        <w:rPr>
          <w:color w:val="auto"/>
          <w:szCs w:val="21"/>
          <w:highlight w:val="none"/>
        </w:rPr>
      </w:pPr>
      <w:r>
        <w:rPr>
          <w:rFonts w:hint="eastAsia"/>
          <w:color w:val="auto"/>
          <w:szCs w:val="21"/>
          <w:highlight w:val="none"/>
        </w:rPr>
        <w:t>3.4  算术误差修正，细微偏差、报价合理性、报价完整性(漏报或未报)分析（适用于采用“24清单标准”的项目）</w:t>
      </w:r>
    </w:p>
    <w:p w14:paraId="76E845F3">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交易系统检查投标人投标报价是否有算术误差、细微偏差、报价合理性、报价完整性(漏报或未报)问题，并按第二章投标人须知前附表第10.18.5款“规定”由招标人委托评标委员会启动投标报价澄清或说明。</w:t>
      </w:r>
    </w:p>
    <w:p w14:paraId="40C0747C">
      <w:pPr>
        <w:spacing w:line="360" w:lineRule="auto"/>
        <w:ind w:firstLine="420" w:firstLineChars="200"/>
        <w:rPr>
          <w:color w:val="auto"/>
          <w:szCs w:val="21"/>
          <w:highlight w:val="none"/>
        </w:rPr>
      </w:pPr>
      <w:r>
        <w:rPr>
          <w:rFonts w:hint="eastAsia"/>
          <w:color w:val="auto"/>
          <w:szCs w:val="21"/>
          <w:highlight w:val="none"/>
        </w:rPr>
        <w:t>按第二章投标人须知前附表第10.18.5款“规定”中第2小点对投标人的投标文件存在算术误差及细微偏差进行修正的，修正报价汇总后的总价应与投标总价扉页内填报的投标总价一致，修正的价格经投标人通过电子交易平台确认后具有约束力。投标人不接受修正价格的，应当否决其投标。投标人对修正结果有不同意见或未通过电子交易平台进行确认的，评标委员会应重新复核修正结果，再次按上述程序分别进行确认、复核。</w:t>
      </w:r>
    </w:p>
    <w:p w14:paraId="60A9EAAE">
      <w:pPr>
        <w:spacing w:line="360" w:lineRule="auto"/>
        <w:ind w:firstLine="420" w:firstLineChars="200"/>
        <w:rPr>
          <w:color w:val="auto"/>
          <w:szCs w:val="21"/>
          <w:highlight w:val="none"/>
        </w:rPr>
      </w:pPr>
      <w:r>
        <w:rPr>
          <w:rFonts w:hint="eastAsia"/>
          <w:color w:val="auto"/>
          <w:szCs w:val="21"/>
          <w:highlight w:val="none"/>
        </w:rPr>
        <w:t>3.5是否予以否决投标</w:t>
      </w:r>
    </w:p>
    <w:p w14:paraId="2518393F">
      <w:pPr>
        <w:spacing w:line="360" w:lineRule="auto"/>
        <w:ind w:firstLine="420" w:firstLineChars="200"/>
        <w:rPr>
          <w:color w:val="auto"/>
          <w:szCs w:val="21"/>
          <w:highlight w:val="none"/>
        </w:rPr>
      </w:pPr>
      <w:r>
        <w:rPr>
          <w:rFonts w:hint="eastAsia"/>
          <w:color w:val="auto"/>
          <w:szCs w:val="21"/>
          <w:highlight w:val="none"/>
        </w:rPr>
        <w:t>交易系统在评标过程中，依据第二章附件2-2中规定的否决投标情形，判断是否对投标人的投标予以否决。</w:t>
      </w:r>
    </w:p>
    <w:p w14:paraId="0185D8CE">
      <w:pPr>
        <w:pStyle w:val="3"/>
        <w:spacing w:before="0" w:after="0" w:line="360" w:lineRule="auto"/>
        <w:rPr>
          <w:rFonts w:ascii="Times New Roman" w:hAnsi="Times New Roman" w:eastAsia="黑体"/>
          <w:b w:val="0"/>
          <w:bCs w:val="0"/>
          <w:color w:val="auto"/>
          <w:sz w:val="30"/>
          <w:highlight w:val="none"/>
        </w:rPr>
      </w:pPr>
      <w:bookmarkStart w:id="380" w:name="_Toc211498687"/>
      <w:r>
        <w:rPr>
          <w:rFonts w:hint="eastAsia" w:ascii="Times New Roman" w:hAnsi="Times New Roman" w:eastAsia="黑体"/>
          <w:b w:val="0"/>
          <w:bCs w:val="0"/>
          <w:color w:val="auto"/>
          <w:sz w:val="30"/>
          <w:highlight w:val="none"/>
        </w:rPr>
        <w:t>4.商务评审</w:t>
      </w:r>
      <w:bookmarkEnd w:id="380"/>
    </w:p>
    <w:p w14:paraId="6660B8D3">
      <w:pPr>
        <w:spacing w:line="360" w:lineRule="auto"/>
        <w:ind w:firstLine="420" w:firstLineChars="200"/>
        <w:rPr>
          <w:color w:val="auto"/>
          <w:szCs w:val="21"/>
          <w:highlight w:val="none"/>
        </w:rPr>
      </w:pPr>
      <w:r>
        <w:rPr>
          <w:rFonts w:hint="eastAsia"/>
          <w:color w:val="auto"/>
          <w:szCs w:val="21"/>
          <w:highlight w:val="none"/>
        </w:rPr>
        <w:t>交易系统按照规定的评审因素和标准对类似工程业绩、信用、项目经理类似工程业绩（如有）进行评审计分。</w:t>
      </w:r>
    </w:p>
    <w:p w14:paraId="6EFF4BED">
      <w:pPr>
        <w:pStyle w:val="3"/>
        <w:spacing w:before="0" w:after="0" w:line="360" w:lineRule="auto"/>
        <w:rPr>
          <w:rFonts w:ascii="Times New Roman" w:hAnsi="Times New Roman" w:eastAsia="黑体"/>
          <w:b w:val="0"/>
          <w:bCs w:val="0"/>
          <w:color w:val="auto"/>
          <w:sz w:val="30"/>
          <w:highlight w:val="none"/>
        </w:rPr>
      </w:pPr>
      <w:bookmarkStart w:id="381" w:name="_Toc211498688"/>
      <w:r>
        <w:rPr>
          <w:rFonts w:hint="eastAsia" w:ascii="Times New Roman" w:hAnsi="Times New Roman" w:eastAsia="黑体"/>
          <w:b w:val="0"/>
          <w:bCs w:val="0"/>
          <w:color w:val="auto"/>
          <w:sz w:val="30"/>
          <w:highlight w:val="none"/>
        </w:rPr>
        <w:t>5.评标专家复核确认</w:t>
      </w:r>
      <w:bookmarkEnd w:id="381"/>
    </w:p>
    <w:p w14:paraId="5C828406">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34EE99A0">
      <w:pPr>
        <w:spacing w:after="0" w:line="360" w:lineRule="auto"/>
        <w:ind w:firstLine="420" w:firstLineChars="200"/>
        <w:rPr>
          <w:rFonts w:eastAsia="黑体"/>
          <w:color w:val="auto"/>
          <w:sz w:val="30"/>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2CCA1B0D">
      <w:pPr>
        <w:pStyle w:val="3"/>
        <w:spacing w:before="0" w:after="0" w:line="360" w:lineRule="auto"/>
        <w:rPr>
          <w:rFonts w:ascii="Times New Roman" w:hAnsi="Times New Roman" w:eastAsia="黑体"/>
          <w:b w:val="0"/>
          <w:bCs w:val="0"/>
          <w:color w:val="auto"/>
          <w:sz w:val="30"/>
          <w:highlight w:val="none"/>
        </w:rPr>
      </w:pPr>
      <w:bookmarkStart w:id="382" w:name="_Toc211498689"/>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技术（施工组织设计）</w:t>
      </w:r>
      <w:r>
        <w:rPr>
          <w:rFonts w:ascii="Times New Roman" w:hAnsi="Times New Roman" w:eastAsia="黑体"/>
          <w:b w:val="0"/>
          <w:bCs w:val="0"/>
          <w:color w:val="auto"/>
          <w:sz w:val="30"/>
          <w:highlight w:val="none"/>
        </w:rPr>
        <w:t>评审</w:t>
      </w:r>
      <w:bookmarkEnd w:id="382"/>
    </w:p>
    <w:p w14:paraId="158DC4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评标委员会对所有通过初步评审的投标人提交的施工组织设计进行评审。技术评审因素细分项实行合格制评审，结果以“不通过不得分、通过得满分”的原则进行计分，评审得分由高到低排序。</w:t>
      </w:r>
    </w:p>
    <w:p w14:paraId="21CB3ACA">
      <w:pPr>
        <w:pStyle w:val="3"/>
        <w:spacing w:before="0" w:after="0" w:line="360" w:lineRule="auto"/>
        <w:rPr>
          <w:rFonts w:ascii="Times New Roman" w:hAnsi="Times New Roman" w:eastAsia="黑体"/>
          <w:b w:val="0"/>
          <w:bCs w:val="0"/>
          <w:color w:val="auto"/>
          <w:sz w:val="30"/>
          <w:szCs w:val="21"/>
          <w:highlight w:val="none"/>
        </w:rPr>
      </w:pPr>
      <w:bookmarkStart w:id="383" w:name="_Toc211498691"/>
      <w:r>
        <w:rPr>
          <w:rFonts w:hint="eastAsia" w:ascii="Times New Roman" w:hAnsi="Times New Roman" w:eastAsia="黑体"/>
          <w:b w:val="0"/>
          <w:bCs w:val="0"/>
          <w:color w:val="auto"/>
          <w:sz w:val="30"/>
          <w:highlight w:val="none"/>
        </w:rPr>
        <w:t>7.投标报价评审（采用六随机五区间报价得分模型）</w:t>
      </w:r>
      <w:bookmarkEnd w:id="383"/>
    </w:p>
    <w:p w14:paraId="79372750">
      <w:pPr>
        <w:spacing w:line="360" w:lineRule="auto"/>
        <w:ind w:firstLine="420" w:firstLineChars="200"/>
        <w:rPr>
          <w:color w:val="auto"/>
          <w:szCs w:val="21"/>
          <w:highlight w:val="none"/>
        </w:rPr>
      </w:pPr>
      <w:r>
        <w:rPr>
          <w:rFonts w:hint="eastAsia"/>
          <w:color w:val="auto"/>
          <w:szCs w:val="21"/>
          <w:highlight w:val="none"/>
        </w:rPr>
        <w:t>交易系统按照招标文件规定的评审因素和标准进行评审计分。</w:t>
      </w:r>
    </w:p>
    <w:p w14:paraId="499A7E63">
      <w:pPr>
        <w:pStyle w:val="3"/>
        <w:spacing w:before="0" w:after="0" w:line="360" w:lineRule="auto"/>
        <w:rPr>
          <w:rFonts w:ascii="Times New Roman" w:hAnsi="Times New Roman" w:eastAsia="黑体"/>
          <w:b w:val="0"/>
          <w:bCs w:val="0"/>
          <w:color w:val="auto"/>
          <w:sz w:val="30"/>
          <w:highlight w:val="none"/>
        </w:rPr>
      </w:pPr>
      <w:bookmarkStart w:id="384" w:name="_Toc211498692"/>
      <w:r>
        <w:rPr>
          <w:rFonts w:hint="eastAsia" w:ascii="Times New Roman" w:hAnsi="Times New Roman" w:eastAsia="黑体"/>
          <w:b w:val="0"/>
          <w:bCs w:val="0"/>
          <w:color w:val="auto"/>
          <w:sz w:val="30"/>
          <w:highlight w:val="none"/>
        </w:rPr>
        <w:t>8.澄清、说明或补正</w:t>
      </w:r>
      <w:bookmarkEnd w:id="384"/>
    </w:p>
    <w:p w14:paraId="4CF057D2">
      <w:pPr>
        <w:snapToGrid w:val="0"/>
        <w:spacing w:line="400" w:lineRule="exact"/>
        <w:ind w:firstLine="420" w:firstLineChars="200"/>
        <w:rPr>
          <w:color w:val="auto"/>
          <w:highlight w:val="none"/>
        </w:rPr>
      </w:pPr>
      <w:r>
        <w:rPr>
          <w:color w:val="auto"/>
          <w:highlight w:val="none"/>
        </w:rPr>
        <w:t xml:space="preserve">8.1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148D69F0">
      <w:pPr>
        <w:snapToGrid w:val="0"/>
        <w:spacing w:line="400" w:lineRule="exact"/>
        <w:ind w:firstLine="420" w:firstLineChars="200"/>
        <w:rPr>
          <w:color w:val="auto"/>
          <w:highlight w:val="none"/>
        </w:rPr>
      </w:pPr>
      <w:r>
        <w:rPr>
          <w:color w:val="auto"/>
          <w:highlight w:val="none"/>
        </w:rPr>
        <w:t xml:space="preserve">8.2 </w:t>
      </w:r>
      <w:r>
        <w:rPr>
          <w:rFonts w:hint="eastAsia"/>
          <w:color w:val="auto"/>
          <w:highlight w:val="none"/>
        </w:rPr>
        <w:t>澄清、说明和补正不得改变投标文件的实质性内容。投标人的书面澄清、说明和补正属于投标文件的组成部分。</w:t>
      </w:r>
    </w:p>
    <w:p w14:paraId="3961B3FE">
      <w:pPr>
        <w:snapToGrid w:val="0"/>
        <w:spacing w:line="400" w:lineRule="exact"/>
        <w:ind w:firstLine="420" w:firstLineChars="200"/>
        <w:rPr>
          <w:color w:val="auto"/>
          <w:highlight w:val="none"/>
        </w:rPr>
      </w:pPr>
      <w:r>
        <w:rPr>
          <w:color w:val="auto"/>
          <w:highlight w:val="none"/>
        </w:rPr>
        <w:t xml:space="preserve">8.3 </w:t>
      </w:r>
      <w:r>
        <w:rPr>
          <w:rFonts w:hint="eastAsia"/>
          <w:color w:val="auto"/>
          <w:highlight w:val="none"/>
        </w:rPr>
        <w:t>评标委员会对投标人提交的澄清、说明或补正有疑问的，可以要求投标人进一步澄清、说明或补正。</w:t>
      </w:r>
    </w:p>
    <w:p w14:paraId="22AD652D">
      <w:pPr>
        <w:snapToGrid w:val="0"/>
        <w:spacing w:line="400" w:lineRule="exact"/>
        <w:ind w:firstLine="420" w:firstLineChars="200"/>
        <w:rPr>
          <w:color w:val="auto"/>
          <w:szCs w:val="21"/>
          <w:highlight w:val="none"/>
        </w:rPr>
      </w:pPr>
      <w:r>
        <w:rPr>
          <w:bCs/>
          <w:color w:val="auto"/>
          <w:szCs w:val="21"/>
          <w:highlight w:val="none"/>
        </w:rPr>
        <w:t xml:space="preserve">8.4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p w14:paraId="68188204">
      <w:pPr>
        <w:pStyle w:val="3"/>
        <w:spacing w:before="0" w:after="0" w:line="360" w:lineRule="auto"/>
        <w:rPr>
          <w:rFonts w:ascii="Times New Roman" w:hAnsi="Times New Roman" w:eastAsia="黑体"/>
          <w:b w:val="0"/>
          <w:bCs w:val="0"/>
          <w:color w:val="auto"/>
          <w:sz w:val="30"/>
          <w:highlight w:val="none"/>
        </w:rPr>
      </w:pPr>
      <w:bookmarkStart w:id="385" w:name="_Toc211498693"/>
      <w:r>
        <w:rPr>
          <w:rFonts w:hint="eastAsia" w:ascii="Times New Roman" w:hAnsi="Times New Roman" w:eastAsia="黑体"/>
          <w:b w:val="0"/>
          <w:bCs w:val="0"/>
          <w:color w:val="auto"/>
          <w:sz w:val="30"/>
          <w:highlight w:val="none"/>
        </w:rPr>
        <w:t>9.汇总评分结果</w:t>
      </w:r>
      <w:bookmarkEnd w:id="385"/>
    </w:p>
    <w:p w14:paraId="28224F9D">
      <w:pPr>
        <w:adjustRightInd w:val="0"/>
        <w:snapToGrid w:val="0"/>
        <w:spacing w:line="440" w:lineRule="exact"/>
        <w:ind w:firstLine="420" w:firstLineChars="200"/>
        <w:rPr>
          <w:color w:val="auto"/>
          <w:szCs w:val="21"/>
          <w:highlight w:val="none"/>
        </w:rPr>
      </w:pPr>
      <w:r>
        <w:rPr>
          <w:bCs/>
          <w:color w:val="auto"/>
          <w:szCs w:val="21"/>
          <w:highlight w:val="none"/>
        </w:rPr>
        <w:t>评审工作全部结束后，汇总评审计分结果，并按照</w:t>
      </w:r>
      <w:r>
        <w:rPr>
          <w:rFonts w:hint="eastAsia"/>
          <w:bCs/>
          <w:color w:val="auto"/>
          <w:szCs w:val="21"/>
          <w:highlight w:val="none"/>
        </w:rPr>
        <w:t>评标总得分</w:t>
      </w:r>
      <w:r>
        <w:rPr>
          <w:bCs/>
          <w:color w:val="auto"/>
          <w:szCs w:val="21"/>
          <w:highlight w:val="none"/>
        </w:rPr>
        <w:t>由高至低的次序对投标人进行排序。</w:t>
      </w:r>
      <w:r>
        <w:rPr>
          <w:color w:val="auto"/>
          <w:szCs w:val="21"/>
          <w:highlight w:val="none"/>
        </w:rPr>
        <w:t>评分分值计算保留小数点后两位，小数点后第三位“四舍五入”。</w:t>
      </w:r>
    </w:p>
    <w:p w14:paraId="55F58DEF">
      <w:pPr>
        <w:pStyle w:val="3"/>
        <w:spacing w:before="0" w:after="0" w:line="360" w:lineRule="auto"/>
        <w:rPr>
          <w:rFonts w:ascii="Times New Roman" w:hAnsi="Times New Roman" w:eastAsia="黑体"/>
          <w:b w:val="0"/>
          <w:bCs w:val="0"/>
          <w:color w:val="auto"/>
          <w:sz w:val="30"/>
          <w:szCs w:val="21"/>
          <w:highlight w:val="none"/>
        </w:rPr>
      </w:pPr>
      <w:bookmarkStart w:id="386" w:name="_Toc211498694"/>
      <w:r>
        <w:rPr>
          <w:rFonts w:hint="eastAsia" w:ascii="Times New Roman" w:hAnsi="Times New Roman" w:eastAsia="黑体"/>
          <w:b w:val="0"/>
          <w:bCs w:val="0"/>
          <w:color w:val="auto"/>
          <w:sz w:val="30"/>
          <w:szCs w:val="21"/>
          <w:highlight w:val="none"/>
        </w:rPr>
        <w:t>10</w:t>
      </w:r>
      <w:r>
        <w:rPr>
          <w:rFonts w:ascii="Times New Roman" w:hAnsi="Times New Roman" w:eastAsia="黑体"/>
          <w:b w:val="0"/>
          <w:bCs w:val="0"/>
          <w:color w:val="auto"/>
          <w:sz w:val="30"/>
          <w:szCs w:val="21"/>
          <w:highlight w:val="none"/>
        </w:rPr>
        <w:t>.中标人</w:t>
      </w:r>
      <w:r>
        <w:rPr>
          <w:rFonts w:hint="eastAsia" w:ascii="Times New Roman" w:hAnsi="Times New Roman" w:eastAsia="黑体"/>
          <w:b w:val="0"/>
          <w:bCs w:val="0"/>
          <w:color w:val="auto"/>
          <w:sz w:val="30"/>
          <w:szCs w:val="21"/>
          <w:highlight w:val="none"/>
        </w:rPr>
        <w:t>的</w:t>
      </w:r>
      <w:r>
        <w:rPr>
          <w:rFonts w:ascii="Times New Roman" w:hAnsi="Times New Roman" w:eastAsia="黑体"/>
          <w:b w:val="0"/>
          <w:bCs w:val="0"/>
          <w:color w:val="auto"/>
          <w:sz w:val="30"/>
          <w:szCs w:val="21"/>
          <w:highlight w:val="none"/>
        </w:rPr>
        <w:t>确定</w:t>
      </w:r>
      <w:bookmarkEnd w:id="386"/>
    </w:p>
    <w:p w14:paraId="03EE6358">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推荐中标候选人</w:t>
      </w:r>
    </w:p>
    <w:p w14:paraId="63EE913F">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14:paraId="0A255C48">
      <w:pPr>
        <w:adjustRightInd w:val="0"/>
        <w:snapToGrid w:val="0"/>
        <w:spacing w:line="440" w:lineRule="exact"/>
        <w:ind w:firstLine="420" w:firstLineChars="200"/>
        <w:rPr>
          <w:color w:val="auto"/>
          <w:szCs w:val="21"/>
          <w:highlight w:val="none"/>
        </w:rPr>
      </w:pPr>
      <w:r>
        <w:rPr>
          <w:rFonts w:hint="eastAsia"/>
          <w:color w:val="auto"/>
          <w:szCs w:val="21"/>
          <w:highlight w:val="none"/>
        </w:rPr>
        <w:t>10.1.2 排序法，即：评标委员会推荐不超过3个有排序的中标候选人，招标人按照中标候选人的排序确定中标人。</w:t>
      </w:r>
    </w:p>
    <w:p w14:paraId="37716789">
      <w:pPr>
        <w:adjustRightInd w:val="0"/>
        <w:snapToGrid w:val="0"/>
        <w:spacing w:line="360" w:lineRule="auto"/>
        <w:ind w:firstLine="420" w:firstLineChars="200"/>
        <w:rPr>
          <w:color w:val="auto"/>
          <w:szCs w:val="21"/>
          <w:highlight w:val="none"/>
        </w:rPr>
      </w:pPr>
      <w:r>
        <w:rPr>
          <w:rFonts w:hint="eastAsia"/>
          <w:color w:val="auto"/>
          <w:szCs w:val="21"/>
          <w:highlight w:val="none"/>
        </w:rPr>
        <w:t>10.1.3评标委员会</w:t>
      </w:r>
      <w:r>
        <w:rPr>
          <w:color w:val="auto"/>
          <w:szCs w:val="21"/>
          <w:highlight w:val="none"/>
        </w:rPr>
        <w:t>推荐中标候选人时，应遵照以下原则:</w:t>
      </w:r>
    </w:p>
    <w:p w14:paraId="68827AD3">
      <w:pPr>
        <w:adjustRightInd w:val="0"/>
        <w:snapToGrid w:val="0"/>
        <w:spacing w:line="360" w:lineRule="auto"/>
        <w:ind w:firstLine="420" w:firstLineChars="200"/>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14:paraId="1C531CB8">
      <w:pPr>
        <w:adjustRightInd w:val="0"/>
        <w:snapToGrid w:val="0"/>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投标人评标总得分相同时，以投标报价低的优先；投标报价也相等的，依次按商务部分评审得分、技术方案评审得分由高到低确定排序；以上得分都相同不能确定中标候选人高低排序的，由交易系统随机确定不能高低排序的中标候选人。</w:t>
      </w:r>
    </w:p>
    <w:p w14:paraId="02489744">
      <w:pPr>
        <w:spacing w:line="360" w:lineRule="auto"/>
        <w:rPr>
          <w:color w:val="auto"/>
          <w:highlight w:val="none"/>
        </w:rPr>
      </w:pPr>
      <w:r>
        <w:rPr>
          <w:color w:val="auto"/>
          <w:szCs w:val="21"/>
          <w:highlight w:val="none"/>
        </w:rPr>
        <w:t>（</w:t>
      </w:r>
      <w:r>
        <w:rPr>
          <w:rFonts w:hint="eastAsia"/>
          <w:color w:val="auto"/>
          <w:szCs w:val="21"/>
          <w:highlight w:val="none"/>
        </w:rPr>
        <w:t>3</w:t>
      </w:r>
      <w:r>
        <w:rPr>
          <w:color w:val="auto"/>
          <w:szCs w:val="21"/>
          <w:highlight w:val="none"/>
        </w:rPr>
        <w:t>）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48F902B2">
      <w:pPr>
        <w:adjustRightInd w:val="0"/>
        <w:snapToGrid w:val="0"/>
        <w:spacing w:line="440" w:lineRule="exact"/>
        <w:ind w:firstLine="420" w:firstLineChars="200"/>
        <w:rPr>
          <w:color w:val="auto"/>
          <w:highlight w:val="none"/>
        </w:rPr>
      </w:pPr>
      <w:r>
        <w:rPr>
          <w:rFonts w:hint="eastAsia"/>
          <w:color w:val="auto"/>
          <w:highlight w:val="none"/>
        </w:rPr>
        <w:t>10.2 中标人的确定</w:t>
      </w:r>
    </w:p>
    <w:p w14:paraId="523F5AC5">
      <w:pPr>
        <w:pStyle w:val="15"/>
        <w:spacing w:line="440" w:lineRule="exact"/>
        <w:ind w:firstLine="420" w:firstLineChars="200"/>
        <w:rPr>
          <w:color w:val="auto"/>
          <w:szCs w:val="21"/>
          <w:highlight w:val="none"/>
        </w:rPr>
      </w:pPr>
      <w:r>
        <w:rPr>
          <w:rFonts w:hint="eastAsia"/>
          <w:color w:val="auto"/>
          <w:highlight w:val="none"/>
        </w:rPr>
        <w:t>10.2.1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14:paraId="560ECCCE">
      <w:pPr>
        <w:spacing w:line="440" w:lineRule="exact"/>
        <w:ind w:firstLine="420" w:firstLineChars="200"/>
        <w:rPr>
          <w:color w:val="auto"/>
          <w:szCs w:val="21"/>
          <w:highlight w:val="none"/>
        </w:rPr>
      </w:pPr>
      <w:r>
        <w:rPr>
          <w:rFonts w:hint="eastAsia"/>
          <w:color w:val="auto"/>
          <w:highlight w:val="none"/>
        </w:rPr>
        <w:t>10.2.2采用排序法确定中标人的，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18414506">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.3 编制评标报告</w:t>
      </w:r>
    </w:p>
    <w:p w14:paraId="00DC1842">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5E08F8D1">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6EBE67DB">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2C69523D">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48BDE031">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1F3A183F">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56A8D2C0">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14:paraId="0E64B1F8">
      <w:pPr>
        <w:adjustRightInd w:val="0"/>
        <w:snapToGrid w:val="0"/>
        <w:spacing w:before="94"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00733FD9">
      <w:pPr>
        <w:adjustRightInd w:val="0"/>
        <w:snapToGrid w:val="0"/>
        <w:spacing w:before="94" w:beforeLines="30" w:line="300" w:lineRule="auto"/>
        <w:ind w:firstLine="420" w:firstLineChars="200"/>
        <w:rPr>
          <w:color w:val="auto"/>
          <w:szCs w:val="21"/>
          <w:highlight w:val="none"/>
        </w:rPr>
      </w:pPr>
      <w:r>
        <w:rPr>
          <w:color w:val="auto"/>
          <w:szCs w:val="21"/>
          <w:highlight w:val="none"/>
        </w:rPr>
        <w:t>（8）经评审的投标人排序；</w:t>
      </w:r>
    </w:p>
    <w:p w14:paraId="697A970A">
      <w:pPr>
        <w:adjustRightInd w:val="0"/>
        <w:snapToGrid w:val="0"/>
        <w:spacing w:before="94"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6AB4B542">
      <w:pPr>
        <w:adjustRightInd w:val="0"/>
        <w:snapToGrid w:val="0"/>
        <w:spacing w:before="94" w:beforeLines="30" w:line="300" w:lineRule="auto"/>
        <w:ind w:firstLine="420" w:firstLineChars="200"/>
        <w:rPr>
          <w:color w:val="auto"/>
          <w:szCs w:val="21"/>
          <w:highlight w:val="none"/>
        </w:rPr>
      </w:pPr>
      <w:r>
        <w:rPr>
          <w:color w:val="auto"/>
          <w:szCs w:val="21"/>
          <w:highlight w:val="none"/>
        </w:rPr>
        <w:t>（10）澄清、说明、补正事项纪要。</w:t>
      </w:r>
    </w:p>
    <w:p w14:paraId="27F042D4">
      <w:pPr>
        <w:pStyle w:val="3"/>
        <w:spacing w:before="0" w:after="0" w:line="360" w:lineRule="auto"/>
        <w:rPr>
          <w:rFonts w:ascii="Times New Roman" w:hAnsi="Times New Roman" w:eastAsia="黑体"/>
          <w:b w:val="0"/>
          <w:bCs w:val="0"/>
          <w:color w:val="auto"/>
          <w:sz w:val="30"/>
          <w:szCs w:val="21"/>
          <w:highlight w:val="none"/>
        </w:rPr>
      </w:pPr>
      <w:bookmarkStart w:id="387" w:name="_Toc211498695"/>
      <w:r>
        <w:rPr>
          <w:rFonts w:hint="eastAsia" w:ascii="Times New Roman" w:hAnsi="Times New Roman" w:eastAsia="黑体"/>
          <w:b w:val="0"/>
          <w:bCs w:val="0"/>
          <w:color w:val="auto"/>
          <w:sz w:val="30"/>
          <w:szCs w:val="21"/>
          <w:highlight w:val="none"/>
        </w:rPr>
        <w:t>11</w:t>
      </w:r>
      <w:r>
        <w:rPr>
          <w:rFonts w:ascii="Times New Roman" w:hAnsi="Times New Roman" w:eastAsia="黑体"/>
          <w:b w:val="0"/>
          <w:bCs w:val="0"/>
          <w:color w:val="auto"/>
          <w:sz w:val="30"/>
          <w:szCs w:val="21"/>
          <w:highlight w:val="none"/>
        </w:rPr>
        <w:t>．特殊情况的处置程序</w:t>
      </w:r>
      <w:bookmarkEnd w:id="387"/>
    </w:p>
    <w:p w14:paraId="489A670D">
      <w:pPr>
        <w:widowControl/>
        <w:spacing w:line="440" w:lineRule="exact"/>
        <w:ind w:left="210" w:leftChars="100" w:firstLine="210" w:firstLineChars="100"/>
        <w:jc w:val="left"/>
        <w:rPr>
          <w:color w:val="auto"/>
          <w:szCs w:val="21"/>
          <w:highlight w:val="none"/>
        </w:rPr>
      </w:pPr>
      <w:r>
        <w:rPr>
          <w:rFonts w:hint="eastAsia"/>
          <w:color w:val="auto"/>
          <w:szCs w:val="21"/>
          <w:highlight w:val="none"/>
        </w:rPr>
        <w:t>11</w:t>
      </w:r>
      <w:r>
        <w:rPr>
          <w:color w:val="auto"/>
          <w:szCs w:val="21"/>
          <w:highlight w:val="none"/>
        </w:rPr>
        <w:t>.1 施工组织设计（暗标）的评审</w:t>
      </w:r>
    </w:p>
    <w:p w14:paraId="291F81EA">
      <w:pPr>
        <w:widowControl/>
        <w:spacing w:line="440" w:lineRule="exact"/>
        <w:ind w:left="210" w:leftChars="100" w:firstLine="420" w:firstLineChars="200"/>
        <w:jc w:val="left"/>
        <w:rPr>
          <w:color w:val="auto"/>
          <w:szCs w:val="21"/>
          <w:highlight w:val="none"/>
        </w:rPr>
      </w:pPr>
      <w:r>
        <w:rPr>
          <w:rFonts w:hint="eastAsia"/>
          <w:color w:val="auto"/>
          <w:szCs w:val="21"/>
          <w:highlight w:val="none"/>
        </w:rPr>
        <w:t>商务及报价评审完成之后</w:t>
      </w:r>
      <w:r>
        <w:rPr>
          <w:color w:val="auto"/>
          <w:szCs w:val="21"/>
          <w:highlight w:val="none"/>
        </w:rPr>
        <w:t>，将</w:t>
      </w:r>
      <w:r>
        <w:rPr>
          <w:rFonts w:hint="eastAsia"/>
          <w:color w:val="auto"/>
          <w:szCs w:val="21"/>
          <w:highlight w:val="none"/>
        </w:rPr>
        <w:t>施工组织设计</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14:paraId="666D8878">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47497572">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3DDD2C80">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5705BBDF">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0F2487CB">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052369D6">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14:paraId="3A1806B8">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5E0E10B4">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25DBB7C1">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3D251BFC">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17C98220">
      <w:pPr>
        <w:pStyle w:val="3"/>
        <w:spacing w:before="0" w:after="0" w:line="360" w:lineRule="auto"/>
        <w:rPr>
          <w:rFonts w:ascii="Times New Roman" w:hAnsi="Times New Roman" w:eastAsia="黑体"/>
          <w:b w:val="0"/>
          <w:bCs w:val="0"/>
          <w:color w:val="auto"/>
          <w:sz w:val="30"/>
          <w:highlight w:val="none"/>
        </w:rPr>
      </w:pPr>
      <w:bookmarkStart w:id="388" w:name="_Toc211498696"/>
      <w:r>
        <w:rPr>
          <w:rFonts w:hint="eastAsia" w:ascii="Times New Roman" w:hAnsi="Times New Roman" w:eastAsia="黑体"/>
          <w:b w:val="0"/>
          <w:bCs w:val="0"/>
          <w:color w:val="auto"/>
          <w:sz w:val="30"/>
          <w:highlight w:val="none"/>
        </w:rPr>
        <w:t>12</w:t>
      </w:r>
      <w:r>
        <w:rPr>
          <w:rFonts w:ascii="Times New Roman" w:hAnsi="Times New Roman" w:eastAsia="黑体"/>
          <w:b w:val="0"/>
          <w:bCs w:val="0"/>
          <w:color w:val="auto"/>
          <w:sz w:val="30"/>
          <w:highlight w:val="none"/>
        </w:rPr>
        <w:t>.补充条款</w:t>
      </w:r>
      <w:bookmarkEnd w:id="388"/>
    </w:p>
    <w:bookmarkEnd w:id="375"/>
    <w:p w14:paraId="49E86DF0">
      <w:pPr>
        <w:adjustRightInd w:val="0"/>
        <w:snapToGrid w:val="0"/>
        <w:spacing w:line="360" w:lineRule="auto"/>
        <w:ind w:firstLine="420" w:firstLineChars="200"/>
        <w:rPr>
          <w:color w:val="auto"/>
          <w:szCs w:val="21"/>
          <w:highlight w:val="none"/>
        </w:rPr>
      </w:pPr>
      <w:bookmarkStart w:id="389" w:name="_Toc300678220"/>
      <w:r>
        <w:rPr>
          <w:rFonts w:hint="eastAsia"/>
          <w:color w:val="auto"/>
          <w:szCs w:val="21"/>
          <w:highlight w:val="none"/>
        </w:rPr>
        <w:t>12</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481C2085">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3681C7FC">
      <w:pPr>
        <w:adjustRightInd w:val="0"/>
        <w:snapToGrid w:val="0"/>
        <w:spacing w:line="360" w:lineRule="auto"/>
        <w:ind w:firstLine="420" w:firstLineChars="200"/>
        <w:rPr>
          <w:color w:val="auto"/>
          <w:szCs w:val="21"/>
          <w:highlight w:val="none"/>
        </w:rPr>
      </w:pPr>
      <w:bookmarkStart w:id="390" w:name="_Hlk210291727"/>
      <w:r>
        <w:rPr>
          <w:rFonts w:hint="eastAsia"/>
          <w:color w:val="auto"/>
          <w:szCs w:val="21"/>
          <w:highlight w:val="none"/>
        </w:rPr>
        <w:t>12</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bookmarkEnd w:id="390"/>
    <w:p w14:paraId="6CDC8092">
      <w:pPr>
        <w:adjustRightInd w:val="0"/>
        <w:snapToGrid w:val="0"/>
        <w:spacing w:line="360" w:lineRule="auto"/>
        <w:ind w:firstLine="420" w:firstLineChars="200"/>
        <w:rPr>
          <w:bCs/>
          <w:color w:val="auto"/>
          <w:kern w:val="0"/>
          <w:highlight w:val="none"/>
        </w:rPr>
      </w:pPr>
      <w:r>
        <w:rPr>
          <w:color w:val="auto"/>
          <w:highlight w:val="none"/>
        </w:rPr>
        <w:br w:type="page"/>
      </w:r>
    </w:p>
    <w:bookmarkEnd w:id="389"/>
    <w:p w14:paraId="78E680D0">
      <w:pPr>
        <w:spacing w:line="360" w:lineRule="auto"/>
        <w:rPr>
          <w:color w:val="auto"/>
          <w:szCs w:val="21"/>
          <w:highlight w:val="none"/>
        </w:rPr>
        <w:sectPr>
          <w:footerReference r:id="rId12" w:type="first"/>
          <w:footerReference r:id="rId11" w:type="default"/>
          <w:pgSz w:w="11906" w:h="16838"/>
          <w:pgMar w:top="1417" w:right="1440" w:bottom="1417" w:left="1440" w:header="850" w:footer="850" w:gutter="0"/>
          <w:cols w:space="720" w:num="1"/>
          <w:titlePg/>
          <w:docGrid w:type="lines" w:linePitch="315" w:charSpace="0"/>
        </w:sectPr>
      </w:pPr>
    </w:p>
    <w:p w14:paraId="3EEC7EA5">
      <w:pPr>
        <w:pStyle w:val="2"/>
        <w:spacing w:before="0" w:after="0"/>
        <w:jc w:val="center"/>
        <w:rPr>
          <w:rFonts w:ascii="Times New Roman" w:hAnsi="Times New Roman" w:eastAsia="黑体"/>
          <w:b w:val="0"/>
          <w:bCs w:val="0"/>
          <w:color w:val="auto"/>
          <w:highlight w:val="none"/>
        </w:rPr>
      </w:pPr>
      <w:bookmarkStart w:id="391" w:name="_Toc211498697"/>
      <w:bookmarkStart w:id="392" w:name="_Toc80006109"/>
      <w:r>
        <w:rPr>
          <w:rFonts w:ascii="Times New Roman" w:hAnsi="Times New Roman" w:eastAsia="黑体"/>
          <w:b w:val="0"/>
          <w:bCs w:val="0"/>
          <w:color w:val="auto"/>
          <w:highlight w:val="none"/>
        </w:rPr>
        <w:t>第三章  评标办法（综合评估法</w:t>
      </w:r>
      <w:r>
        <w:rPr>
          <w:rFonts w:hint="eastAsia" w:ascii="Times New Roman" w:hAnsi="Times New Roman" w:eastAsia="黑体"/>
          <w:b w:val="0"/>
          <w:bCs w:val="0"/>
          <w:color w:val="auto"/>
          <w:highlight w:val="none"/>
        </w:rPr>
        <w:t>2</w:t>
      </w:r>
      <w:r>
        <w:rPr>
          <w:rFonts w:ascii="Times New Roman" w:hAnsi="Times New Roman" w:eastAsia="黑体"/>
          <w:b w:val="0"/>
          <w:bCs w:val="0"/>
          <w:color w:val="auto"/>
          <w:highlight w:val="none"/>
        </w:rPr>
        <w:t>）</w:t>
      </w:r>
      <w:bookmarkEnd w:id="391"/>
    </w:p>
    <w:p w14:paraId="13CC1CB3">
      <w:pPr>
        <w:pStyle w:val="2"/>
        <w:spacing w:before="0" w:after="0"/>
        <w:jc w:val="center"/>
        <w:rPr>
          <w:rFonts w:ascii="Times New Roman" w:hAnsi="Times New Roman" w:eastAsia="黑体"/>
          <w:b w:val="0"/>
          <w:bCs w:val="0"/>
          <w:color w:val="auto"/>
          <w:sz w:val="30"/>
          <w:highlight w:val="none"/>
        </w:rPr>
      </w:pPr>
      <w:bookmarkStart w:id="393" w:name="_Toc211498698"/>
      <w:r>
        <w:rPr>
          <w:rFonts w:ascii="Times New Roman" w:hAnsi="Times New Roman" w:eastAsia="黑体"/>
          <w:b w:val="0"/>
          <w:bCs w:val="0"/>
          <w:color w:val="auto"/>
          <w:sz w:val="30"/>
          <w:highlight w:val="none"/>
        </w:rPr>
        <w:t>评标办法前附表</w:t>
      </w:r>
      <w:bookmarkEnd w:id="393"/>
    </w:p>
    <w:tbl>
      <w:tblPr>
        <w:tblStyle w:val="41"/>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85"/>
        <w:gridCol w:w="1239"/>
        <w:gridCol w:w="760"/>
        <w:gridCol w:w="3864"/>
        <w:gridCol w:w="342"/>
        <w:gridCol w:w="605"/>
        <w:gridCol w:w="840"/>
      </w:tblGrid>
      <w:tr w14:paraId="59B4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26" w:type="dxa"/>
            <w:vAlign w:val="center"/>
          </w:tcPr>
          <w:p w14:paraId="5F3D21C4">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3184" w:type="dxa"/>
            <w:gridSpan w:val="3"/>
            <w:vAlign w:val="center"/>
          </w:tcPr>
          <w:p w14:paraId="3C33B112">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651" w:type="dxa"/>
            <w:gridSpan w:val="4"/>
            <w:vAlign w:val="center"/>
          </w:tcPr>
          <w:p w14:paraId="4AF9382C">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704F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26" w:type="dxa"/>
            <w:vMerge w:val="restart"/>
            <w:vAlign w:val="center"/>
          </w:tcPr>
          <w:p w14:paraId="78449177">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835" w:type="dxa"/>
            <w:gridSpan w:val="7"/>
            <w:vAlign w:val="center"/>
          </w:tcPr>
          <w:p w14:paraId="175CC9A1">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0548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74C9BA89">
            <w:pPr>
              <w:jc w:val="center"/>
              <w:rPr>
                <w:rFonts w:hint="eastAsia" w:ascii="宋体" w:hAnsi="宋体" w:cs="宋体"/>
                <w:color w:val="auto"/>
                <w:szCs w:val="21"/>
                <w:highlight w:val="none"/>
              </w:rPr>
            </w:pPr>
          </w:p>
        </w:tc>
        <w:tc>
          <w:tcPr>
            <w:tcW w:w="3184" w:type="dxa"/>
            <w:gridSpan w:val="3"/>
            <w:vAlign w:val="center"/>
          </w:tcPr>
          <w:p w14:paraId="055D0ADA">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651" w:type="dxa"/>
            <w:gridSpan w:val="4"/>
            <w:vAlign w:val="center"/>
          </w:tcPr>
          <w:p w14:paraId="3C198867">
            <w:pPr>
              <w:jc w:val="left"/>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与营业执照、资质证书、安全生产许可证上的名称一致；省外企业名称与在“湖南省建筑市场监管公共服务平台”报送的一致，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4D59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34462775">
            <w:pPr>
              <w:jc w:val="center"/>
              <w:rPr>
                <w:rFonts w:hint="eastAsia" w:ascii="宋体" w:hAnsi="宋体" w:cs="宋体"/>
                <w:color w:val="auto"/>
                <w:szCs w:val="21"/>
                <w:highlight w:val="none"/>
              </w:rPr>
            </w:pPr>
          </w:p>
        </w:tc>
        <w:tc>
          <w:tcPr>
            <w:tcW w:w="3184" w:type="dxa"/>
            <w:gridSpan w:val="3"/>
            <w:vAlign w:val="center"/>
          </w:tcPr>
          <w:p w14:paraId="61BE90BE">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5651" w:type="dxa"/>
            <w:gridSpan w:val="4"/>
            <w:vAlign w:val="center"/>
          </w:tcPr>
          <w:p w14:paraId="1C4CBA68">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1A97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42A23647">
            <w:pPr>
              <w:jc w:val="center"/>
              <w:rPr>
                <w:rFonts w:hint="eastAsia" w:ascii="宋体" w:hAnsi="宋体" w:cs="宋体"/>
                <w:color w:val="auto"/>
                <w:szCs w:val="21"/>
                <w:highlight w:val="none"/>
              </w:rPr>
            </w:pPr>
          </w:p>
        </w:tc>
        <w:tc>
          <w:tcPr>
            <w:tcW w:w="3184" w:type="dxa"/>
            <w:gridSpan w:val="3"/>
            <w:vAlign w:val="center"/>
          </w:tcPr>
          <w:p w14:paraId="14193C17">
            <w:pPr>
              <w:jc w:val="center"/>
              <w:rPr>
                <w:rFonts w:hint="eastAsia" w:ascii="宋体" w:hAnsi="宋体" w:cs="宋体"/>
                <w:color w:val="auto"/>
                <w:szCs w:val="21"/>
                <w:highlight w:val="none"/>
              </w:rPr>
            </w:pPr>
            <w:r>
              <w:rPr>
                <w:rFonts w:hint="eastAsia" w:ascii="宋体" w:hAnsi="宋体" w:cs="宋体"/>
                <w:bCs/>
                <w:color w:val="auto"/>
                <w:szCs w:val="21"/>
                <w:highlight w:val="none"/>
              </w:rPr>
              <w:t>授权委托书（如有）</w:t>
            </w:r>
          </w:p>
        </w:tc>
        <w:tc>
          <w:tcPr>
            <w:tcW w:w="5651" w:type="dxa"/>
            <w:gridSpan w:val="4"/>
            <w:vAlign w:val="center"/>
          </w:tcPr>
          <w:p w14:paraId="43A9CC9A">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提交授权委托书</w:t>
            </w:r>
          </w:p>
        </w:tc>
      </w:tr>
      <w:tr w14:paraId="2EFA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74CE3400">
            <w:pPr>
              <w:jc w:val="center"/>
              <w:rPr>
                <w:rFonts w:hint="eastAsia" w:ascii="宋体" w:hAnsi="宋体" w:cs="宋体"/>
                <w:color w:val="auto"/>
                <w:szCs w:val="21"/>
                <w:highlight w:val="none"/>
              </w:rPr>
            </w:pPr>
          </w:p>
        </w:tc>
        <w:tc>
          <w:tcPr>
            <w:tcW w:w="3184" w:type="dxa"/>
            <w:gridSpan w:val="3"/>
            <w:vAlign w:val="center"/>
          </w:tcPr>
          <w:p w14:paraId="2F9BF995">
            <w:pPr>
              <w:jc w:val="center"/>
              <w:rPr>
                <w:rFonts w:ascii="Calibri" w:hAnsi="Calibri" w:cs="Calibri"/>
                <w:color w:val="auto"/>
                <w:szCs w:val="21"/>
                <w:highlight w:val="none"/>
              </w:rPr>
            </w:pPr>
            <w:r>
              <w:rPr>
                <w:rFonts w:ascii="宋体" w:hAnsi="宋体" w:cs="宋体"/>
                <w:bCs/>
                <w:color w:val="auto"/>
                <w:szCs w:val="21"/>
                <w:highlight w:val="none"/>
              </w:rPr>
              <w:t>投标文件签字盖章</w:t>
            </w:r>
          </w:p>
        </w:tc>
        <w:tc>
          <w:tcPr>
            <w:tcW w:w="5651" w:type="dxa"/>
            <w:gridSpan w:val="4"/>
            <w:vAlign w:val="center"/>
          </w:tcPr>
          <w:p w14:paraId="3A8FA262">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符合第二章“投标人须知”第3.7.3项规定</w:t>
            </w:r>
          </w:p>
        </w:tc>
      </w:tr>
      <w:tr w14:paraId="7ED6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353F432B">
            <w:pPr>
              <w:jc w:val="center"/>
              <w:rPr>
                <w:rFonts w:hint="eastAsia" w:ascii="宋体" w:hAnsi="宋体" w:cs="宋体"/>
                <w:color w:val="auto"/>
                <w:szCs w:val="21"/>
                <w:highlight w:val="none"/>
              </w:rPr>
            </w:pPr>
          </w:p>
        </w:tc>
        <w:tc>
          <w:tcPr>
            <w:tcW w:w="3184" w:type="dxa"/>
            <w:gridSpan w:val="3"/>
            <w:vAlign w:val="center"/>
          </w:tcPr>
          <w:p w14:paraId="6C504FE9">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5651" w:type="dxa"/>
            <w:gridSpan w:val="4"/>
            <w:vAlign w:val="center"/>
          </w:tcPr>
          <w:p w14:paraId="010223BD">
            <w:pPr>
              <w:jc w:val="left"/>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2EB0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130B8FD2">
            <w:pPr>
              <w:jc w:val="center"/>
              <w:rPr>
                <w:rFonts w:hint="eastAsia" w:ascii="宋体" w:hAnsi="宋体" w:cs="宋体"/>
                <w:color w:val="auto"/>
                <w:szCs w:val="21"/>
                <w:highlight w:val="none"/>
              </w:rPr>
            </w:pPr>
          </w:p>
        </w:tc>
        <w:tc>
          <w:tcPr>
            <w:tcW w:w="3184" w:type="dxa"/>
            <w:gridSpan w:val="3"/>
            <w:vAlign w:val="center"/>
          </w:tcPr>
          <w:p w14:paraId="47A4C3AB">
            <w:pPr>
              <w:jc w:val="center"/>
              <w:rPr>
                <w:rFonts w:hint="eastAsia" w:ascii="宋体" w:hAnsi="宋体" w:cs="宋体"/>
                <w:color w:val="auto"/>
                <w:szCs w:val="21"/>
                <w:highlight w:val="none"/>
              </w:rPr>
            </w:pPr>
            <w:r>
              <w:rPr>
                <w:rFonts w:hint="eastAsia" w:ascii="宋体" w:hAnsi="宋体" w:cs="宋体"/>
                <w:bCs/>
                <w:color w:val="auto"/>
                <w:szCs w:val="21"/>
                <w:highlight w:val="none"/>
              </w:rPr>
              <w:t>联合体协议书（如有）</w:t>
            </w:r>
          </w:p>
        </w:tc>
        <w:tc>
          <w:tcPr>
            <w:tcW w:w="5651" w:type="dxa"/>
            <w:gridSpan w:val="4"/>
            <w:vAlign w:val="center"/>
          </w:tcPr>
          <w:p w14:paraId="10EAD8FE">
            <w:pPr>
              <w:jc w:val="left"/>
              <w:rPr>
                <w:rFonts w:hint="eastAsia" w:ascii="宋体" w:hAnsi="宋体" w:cs="宋体"/>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3BE3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71ACB783">
            <w:pPr>
              <w:jc w:val="center"/>
              <w:rPr>
                <w:rFonts w:hint="eastAsia" w:ascii="宋体" w:hAnsi="宋体" w:cs="宋体"/>
                <w:color w:val="auto"/>
                <w:szCs w:val="21"/>
                <w:highlight w:val="none"/>
              </w:rPr>
            </w:pPr>
          </w:p>
        </w:tc>
        <w:tc>
          <w:tcPr>
            <w:tcW w:w="3184" w:type="dxa"/>
            <w:gridSpan w:val="3"/>
            <w:vAlign w:val="center"/>
          </w:tcPr>
          <w:p w14:paraId="1D2EF8B3">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w:t>
            </w:r>
          </w:p>
        </w:tc>
        <w:tc>
          <w:tcPr>
            <w:tcW w:w="5651" w:type="dxa"/>
            <w:gridSpan w:val="4"/>
            <w:vAlign w:val="center"/>
          </w:tcPr>
          <w:p w14:paraId="55D15D0F">
            <w:pPr>
              <w:jc w:val="left"/>
              <w:rPr>
                <w:rFonts w:hint="eastAsia" w:ascii="宋体" w:hAnsi="宋体" w:cs="宋体"/>
                <w:bCs/>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6101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26" w:type="dxa"/>
            <w:vMerge w:val="restart"/>
            <w:vAlign w:val="center"/>
          </w:tcPr>
          <w:p w14:paraId="521E0490">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1.2 </w:t>
            </w:r>
          </w:p>
        </w:tc>
        <w:tc>
          <w:tcPr>
            <w:tcW w:w="8835" w:type="dxa"/>
            <w:gridSpan w:val="7"/>
            <w:vAlign w:val="center"/>
          </w:tcPr>
          <w:p w14:paraId="2C704FFB">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03B2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vAlign w:val="center"/>
          </w:tcPr>
          <w:p w14:paraId="6F05F9A7">
            <w:pPr>
              <w:jc w:val="center"/>
              <w:rPr>
                <w:rFonts w:hint="eastAsia" w:ascii="宋体" w:hAnsi="宋体" w:cs="宋体"/>
                <w:color w:val="auto"/>
                <w:szCs w:val="21"/>
                <w:highlight w:val="none"/>
              </w:rPr>
            </w:pPr>
          </w:p>
        </w:tc>
        <w:tc>
          <w:tcPr>
            <w:tcW w:w="3184" w:type="dxa"/>
            <w:gridSpan w:val="3"/>
            <w:vAlign w:val="center"/>
          </w:tcPr>
          <w:p w14:paraId="6A0E9220">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5651" w:type="dxa"/>
            <w:gridSpan w:val="4"/>
            <w:vAlign w:val="center"/>
          </w:tcPr>
          <w:p w14:paraId="6954E76D">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63D9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vAlign w:val="center"/>
          </w:tcPr>
          <w:p w14:paraId="30F0DC8F">
            <w:pPr>
              <w:jc w:val="center"/>
              <w:rPr>
                <w:rFonts w:hint="eastAsia" w:ascii="宋体" w:hAnsi="宋体" w:cs="宋体"/>
                <w:color w:val="auto"/>
                <w:szCs w:val="21"/>
                <w:highlight w:val="none"/>
              </w:rPr>
            </w:pPr>
          </w:p>
        </w:tc>
        <w:tc>
          <w:tcPr>
            <w:tcW w:w="3184" w:type="dxa"/>
            <w:gridSpan w:val="3"/>
            <w:vAlign w:val="center"/>
          </w:tcPr>
          <w:p w14:paraId="58B48CAA">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5651" w:type="dxa"/>
            <w:gridSpan w:val="4"/>
            <w:vAlign w:val="center"/>
          </w:tcPr>
          <w:p w14:paraId="11FAA273">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19A1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vAlign w:val="center"/>
          </w:tcPr>
          <w:p w14:paraId="6B4615FF">
            <w:pPr>
              <w:jc w:val="center"/>
              <w:rPr>
                <w:rFonts w:hint="eastAsia" w:ascii="宋体" w:hAnsi="宋体" w:cs="宋体"/>
                <w:color w:val="auto"/>
                <w:szCs w:val="21"/>
                <w:highlight w:val="none"/>
              </w:rPr>
            </w:pPr>
          </w:p>
        </w:tc>
        <w:tc>
          <w:tcPr>
            <w:tcW w:w="3184" w:type="dxa"/>
            <w:gridSpan w:val="3"/>
            <w:vAlign w:val="center"/>
          </w:tcPr>
          <w:p w14:paraId="680C587F">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5651" w:type="dxa"/>
            <w:gridSpan w:val="4"/>
            <w:vAlign w:val="center"/>
          </w:tcPr>
          <w:p w14:paraId="2AF1DB18">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7CDE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07FAED16">
            <w:pPr>
              <w:jc w:val="center"/>
              <w:rPr>
                <w:rFonts w:hint="eastAsia" w:ascii="宋体" w:hAnsi="宋体" w:cs="宋体"/>
                <w:color w:val="auto"/>
                <w:szCs w:val="21"/>
                <w:highlight w:val="none"/>
              </w:rPr>
            </w:pPr>
          </w:p>
        </w:tc>
        <w:tc>
          <w:tcPr>
            <w:tcW w:w="3184" w:type="dxa"/>
            <w:gridSpan w:val="3"/>
            <w:vAlign w:val="center"/>
          </w:tcPr>
          <w:p w14:paraId="66DF0EB3">
            <w:pPr>
              <w:pStyle w:val="229"/>
              <w:spacing w:line="240" w:lineRule="exact"/>
              <w:ind w:firstLine="0" w:firstLineChars="0"/>
              <w:jc w:val="center"/>
              <w:rPr>
                <w:rFonts w:hint="eastAsia" w:ascii="宋体" w:hAnsi="宋体" w:cs="宋体"/>
                <w:color w:val="auto"/>
                <w:szCs w:val="21"/>
                <w:highlight w:val="none"/>
              </w:rPr>
            </w:pPr>
            <w:bookmarkStart w:id="394" w:name="_Toc211498699"/>
            <w:bookmarkStart w:id="395" w:name="_Toc193802754"/>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394"/>
            <w:bookmarkEnd w:id="395"/>
          </w:p>
        </w:tc>
        <w:tc>
          <w:tcPr>
            <w:tcW w:w="5651" w:type="dxa"/>
            <w:gridSpan w:val="4"/>
            <w:vAlign w:val="center"/>
          </w:tcPr>
          <w:p w14:paraId="7A259DFC">
            <w:pPr>
              <w:pStyle w:val="229"/>
              <w:spacing w:line="240" w:lineRule="exact"/>
              <w:ind w:firstLine="0" w:firstLineChars="0"/>
              <w:jc w:val="left"/>
              <w:rPr>
                <w:rFonts w:hint="eastAsia" w:ascii="宋体" w:hAnsi="宋体" w:cs="宋体"/>
                <w:color w:val="auto"/>
                <w:szCs w:val="21"/>
                <w:highlight w:val="none"/>
              </w:rPr>
            </w:pPr>
            <w:bookmarkStart w:id="396" w:name="_Toc193802755"/>
            <w:bookmarkStart w:id="397" w:name="_Toc211498700"/>
            <w:r>
              <w:rPr>
                <w:rFonts w:hint="eastAsia" w:ascii="宋体" w:hAnsi="宋体" w:eastAsia="宋体" w:cs="宋体"/>
                <w:bCs/>
                <w:color w:val="auto"/>
                <w:sz w:val="21"/>
                <w:szCs w:val="21"/>
                <w:highlight w:val="none"/>
                <w:u w:val="none"/>
              </w:rPr>
              <w:t>符合第二章投标人须知第1.4.1项规定</w:t>
            </w:r>
            <w:bookmarkEnd w:id="396"/>
            <w:bookmarkEnd w:id="397"/>
          </w:p>
        </w:tc>
      </w:tr>
      <w:tr w14:paraId="399B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4807C242">
            <w:pPr>
              <w:jc w:val="center"/>
              <w:rPr>
                <w:rFonts w:hint="eastAsia" w:ascii="宋体" w:hAnsi="宋体" w:cs="宋体"/>
                <w:color w:val="auto"/>
                <w:szCs w:val="21"/>
                <w:highlight w:val="none"/>
              </w:rPr>
            </w:pPr>
          </w:p>
        </w:tc>
        <w:tc>
          <w:tcPr>
            <w:tcW w:w="3184" w:type="dxa"/>
            <w:gridSpan w:val="3"/>
            <w:vAlign w:val="center"/>
          </w:tcPr>
          <w:p w14:paraId="564DB24D">
            <w:pPr>
              <w:pStyle w:val="229"/>
              <w:spacing w:line="240" w:lineRule="exact"/>
              <w:ind w:firstLine="0" w:firstLineChars="0"/>
              <w:jc w:val="center"/>
              <w:rPr>
                <w:rFonts w:hint="eastAsia" w:ascii="宋体" w:hAnsi="宋体" w:cs="宋体"/>
                <w:color w:val="auto"/>
                <w:szCs w:val="21"/>
                <w:highlight w:val="none"/>
              </w:rPr>
            </w:pPr>
            <w:bookmarkStart w:id="398" w:name="_Toc193802756"/>
            <w:bookmarkStart w:id="399" w:name="_Toc211498701"/>
            <w:r>
              <w:rPr>
                <w:rFonts w:hint="eastAsia" w:ascii="宋体" w:hAnsi="宋体" w:eastAsia="宋体" w:cs="宋体"/>
                <w:bCs/>
                <w:color w:val="auto"/>
                <w:sz w:val="21"/>
                <w:szCs w:val="21"/>
                <w:highlight w:val="none"/>
                <w:u w:val="none"/>
              </w:rPr>
              <w:t>法定代表人资格（不适用）</w:t>
            </w:r>
            <w:bookmarkEnd w:id="398"/>
            <w:bookmarkEnd w:id="399"/>
          </w:p>
        </w:tc>
        <w:tc>
          <w:tcPr>
            <w:tcW w:w="5651" w:type="dxa"/>
            <w:gridSpan w:val="4"/>
            <w:vAlign w:val="center"/>
          </w:tcPr>
          <w:p w14:paraId="14FFB769">
            <w:pPr>
              <w:pStyle w:val="229"/>
              <w:spacing w:line="240" w:lineRule="exact"/>
              <w:ind w:firstLine="0" w:firstLineChars="0"/>
              <w:jc w:val="left"/>
              <w:rPr>
                <w:rFonts w:hint="eastAsia" w:ascii="宋体" w:hAnsi="宋体" w:cs="宋体"/>
                <w:color w:val="auto"/>
                <w:szCs w:val="21"/>
                <w:highlight w:val="none"/>
              </w:rPr>
            </w:pPr>
            <w:bookmarkStart w:id="400" w:name="_Toc211498702"/>
            <w:bookmarkStart w:id="401" w:name="_Toc193802757"/>
            <w:r>
              <w:rPr>
                <w:rFonts w:hint="eastAsia" w:ascii="宋体" w:hAnsi="宋体" w:eastAsia="宋体" w:cs="宋体"/>
                <w:bCs/>
                <w:color w:val="auto"/>
                <w:sz w:val="21"/>
                <w:szCs w:val="21"/>
                <w:highlight w:val="none"/>
                <w:u w:val="none"/>
              </w:rPr>
              <w:t>符合第二章投标人须知第1.4.1项规定</w:t>
            </w:r>
            <w:bookmarkEnd w:id="400"/>
            <w:bookmarkEnd w:id="401"/>
          </w:p>
        </w:tc>
      </w:tr>
      <w:tr w14:paraId="6032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70F882D9">
            <w:pPr>
              <w:jc w:val="center"/>
              <w:rPr>
                <w:rFonts w:hint="eastAsia" w:ascii="宋体" w:hAnsi="宋体" w:cs="宋体"/>
                <w:color w:val="auto"/>
                <w:szCs w:val="21"/>
                <w:highlight w:val="none"/>
              </w:rPr>
            </w:pPr>
          </w:p>
        </w:tc>
        <w:tc>
          <w:tcPr>
            <w:tcW w:w="3184" w:type="dxa"/>
            <w:gridSpan w:val="3"/>
            <w:vAlign w:val="center"/>
          </w:tcPr>
          <w:p w14:paraId="64D79069">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5651" w:type="dxa"/>
            <w:gridSpan w:val="4"/>
            <w:vAlign w:val="center"/>
          </w:tcPr>
          <w:p w14:paraId="4030DD02">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7428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6BB6E92D">
            <w:pPr>
              <w:jc w:val="center"/>
              <w:rPr>
                <w:rFonts w:hint="eastAsia" w:ascii="宋体" w:hAnsi="宋体" w:cs="宋体"/>
                <w:color w:val="auto"/>
                <w:szCs w:val="21"/>
                <w:highlight w:val="none"/>
              </w:rPr>
            </w:pPr>
          </w:p>
        </w:tc>
        <w:tc>
          <w:tcPr>
            <w:tcW w:w="3184" w:type="dxa"/>
            <w:gridSpan w:val="3"/>
            <w:vAlign w:val="center"/>
          </w:tcPr>
          <w:p w14:paraId="7BC070BE">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5651" w:type="dxa"/>
            <w:gridSpan w:val="4"/>
            <w:vAlign w:val="center"/>
          </w:tcPr>
          <w:p w14:paraId="643F0427">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145C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0C427091">
            <w:pPr>
              <w:jc w:val="center"/>
              <w:rPr>
                <w:rFonts w:hint="eastAsia" w:ascii="宋体" w:hAnsi="宋体" w:cs="宋体"/>
                <w:color w:val="auto"/>
                <w:szCs w:val="21"/>
                <w:highlight w:val="none"/>
              </w:rPr>
            </w:pPr>
          </w:p>
        </w:tc>
        <w:tc>
          <w:tcPr>
            <w:tcW w:w="3184" w:type="dxa"/>
            <w:gridSpan w:val="3"/>
            <w:vAlign w:val="center"/>
          </w:tcPr>
          <w:p w14:paraId="7EDE43EE">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5651" w:type="dxa"/>
            <w:gridSpan w:val="4"/>
            <w:vAlign w:val="center"/>
          </w:tcPr>
          <w:p w14:paraId="40A61CB3">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7CC0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26" w:type="dxa"/>
            <w:vMerge w:val="continue"/>
            <w:vAlign w:val="center"/>
          </w:tcPr>
          <w:p w14:paraId="50F2FA85">
            <w:pPr>
              <w:jc w:val="center"/>
              <w:rPr>
                <w:rFonts w:hint="eastAsia" w:ascii="宋体" w:hAnsi="宋体" w:cs="宋体"/>
                <w:color w:val="auto"/>
                <w:szCs w:val="21"/>
                <w:highlight w:val="none"/>
              </w:rPr>
            </w:pPr>
          </w:p>
        </w:tc>
        <w:tc>
          <w:tcPr>
            <w:tcW w:w="3184" w:type="dxa"/>
            <w:gridSpan w:val="3"/>
            <w:vAlign w:val="center"/>
          </w:tcPr>
          <w:p w14:paraId="40366FA5">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651" w:type="dxa"/>
            <w:gridSpan w:val="4"/>
            <w:vAlign w:val="center"/>
          </w:tcPr>
          <w:p w14:paraId="3D103A84">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1D91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026" w:type="dxa"/>
            <w:vMerge w:val="continue"/>
            <w:vAlign w:val="center"/>
          </w:tcPr>
          <w:p w14:paraId="1A0044F9">
            <w:pPr>
              <w:jc w:val="center"/>
              <w:rPr>
                <w:rFonts w:hint="eastAsia" w:ascii="宋体" w:hAnsi="宋体" w:cs="宋体"/>
                <w:color w:val="auto"/>
                <w:szCs w:val="21"/>
                <w:highlight w:val="none"/>
              </w:rPr>
            </w:pPr>
          </w:p>
        </w:tc>
        <w:tc>
          <w:tcPr>
            <w:tcW w:w="8835" w:type="dxa"/>
            <w:gridSpan w:val="7"/>
            <w:vAlign w:val="center"/>
          </w:tcPr>
          <w:p w14:paraId="6BFA1FBD">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重大变化的，由交易系统依据资格预审文件中规定的标准和方法，对照投标人资格预审申请文件中的资料以及开标前更新的资料，对其更新的资料进行评审，其变化后的资格条件不得低于原有资格条件要求。</w:t>
            </w:r>
          </w:p>
          <w:p w14:paraId="3B9B0631">
            <w:pPr>
              <w:rPr>
                <w:rFonts w:hint="eastAsia" w:ascii="宋体" w:hAnsi="宋体" w:cs="宋体"/>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tc>
      </w:tr>
      <w:tr w14:paraId="4FA0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vMerge w:val="restart"/>
            <w:vAlign w:val="center"/>
          </w:tcPr>
          <w:p w14:paraId="06223EE7">
            <w:pPr>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835" w:type="dxa"/>
            <w:gridSpan w:val="7"/>
            <w:vAlign w:val="center"/>
          </w:tcPr>
          <w:p w14:paraId="14F7DA48">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665B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26" w:type="dxa"/>
            <w:vMerge w:val="continue"/>
            <w:vAlign w:val="center"/>
          </w:tcPr>
          <w:p w14:paraId="0C9820D7">
            <w:pPr>
              <w:jc w:val="center"/>
              <w:rPr>
                <w:rFonts w:hint="eastAsia" w:ascii="宋体" w:hAnsi="宋体" w:cs="宋体"/>
                <w:color w:val="auto"/>
                <w:szCs w:val="21"/>
                <w:highlight w:val="none"/>
              </w:rPr>
            </w:pPr>
          </w:p>
        </w:tc>
        <w:tc>
          <w:tcPr>
            <w:tcW w:w="3184" w:type="dxa"/>
            <w:gridSpan w:val="3"/>
            <w:vAlign w:val="center"/>
          </w:tcPr>
          <w:p w14:paraId="3A25454D">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651" w:type="dxa"/>
            <w:gridSpan w:val="4"/>
            <w:vAlign w:val="center"/>
          </w:tcPr>
          <w:p w14:paraId="468EBE32">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1045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1026" w:type="dxa"/>
            <w:vMerge w:val="continue"/>
            <w:vAlign w:val="center"/>
          </w:tcPr>
          <w:p w14:paraId="09246AB0">
            <w:pPr>
              <w:jc w:val="center"/>
              <w:rPr>
                <w:rFonts w:hint="eastAsia" w:ascii="宋体" w:hAnsi="宋体" w:cs="宋体"/>
                <w:color w:val="auto"/>
                <w:szCs w:val="21"/>
                <w:highlight w:val="none"/>
              </w:rPr>
            </w:pPr>
          </w:p>
        </w:tc>
        <w:tc>
          <w:tcPr>
            <w:tcW w:w="3184" w:type="dxa"/>
            <w:gridSpan w:val="3"/>
            <w:vAlign w:val="center"/>
          </w:tcPr>
          <w:p w14:paraId="25019899">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651" w:type="dxa"/>
            <w:gridSpan w:val="4"/>
            <w:vAlign w:val="center"/>
          </w:tcPr>
          <w:p w14:paraId="6A055FFD">
            <w:pPr>
              <w:rPr>
                <w:rFonts w:ascii="Calibri" w:hAnsi="Calibri" w:cs="Calibri"/>
                <w:color w:val="auto"/>
                <w:szCs w:val="21"/>
                <w:highlight w:val="none"/>
              </w:rPr>
            </w:pPr>
            <w:r>
              <w:rPr>
                <w:rFonts w:hint="eastAsia" w:ascii="Calibri" w:hAnsi="Calibri" w:cs="Calibri"/>
                <w:color w:val="auto"/>
                <w:szCs w:val="21"/>
                <w:highlight w:val="none"/>
              </w:rPr>
              <w:t>投标报价未超过招标文件规定的最高投标限价；</w:t>
            </w:r>
          </w:p>
          <w:p w14:paraId="416C4078">
            <w:pPr>
              <w:rPr>
                <w:rFonts w:ascii="Calibri" w:hAnsi="Calibri" w:cs="Calibri"/>
                <w:color w:val="auto"/>
                <w:szCs w:val="21"/>
                <w:highlight w:val="none"/>
              </w:rPr>
            </w:pPr>
            <w:r>
              <w:rPr>
                <w:rFonts w:hint="eastAsia" w:ascii="Calibri" w:hAnsi="Calibri" w:cs="Calibri"/>
                <w:color w:val="auto"/>
                <w:szCs w:val="21"/>
                <w:highlight w:val="none"/>
              </w:rPr>
              <w:t>投标报价中的安全生产措施费费率未低于省住房城乡建设主管部门公布的费率；</w:t>
            </w:r>
          </w:p>
          <w:p w14:paraId="1C9BE364">
            <w:pPr>
              <w:rPr>
                <w:rFonts w:ascii="Calibri" w:hAnsi="Calibri" w:cs="Calibri"/>
                <w:color w:val="auto"/>
                <w:szCs w:val="21"/>
                <w:highlight w:val="none"/>
              </w:rPr>
            </w:pPr>
            <w:r>
              <w:rPr>
                <w:rFonts w:hint="eastAsia" w:ascii="Calibri" w:hAnsi="Calibri" w:cs="Calibri"/>
                <w:color w:val="auto"/>
                <w:szCs w:val="21"/>
                <w:highlight w:val="none"/>
              </w:rPr>
              <w:t>投标报价中的增值税按照政府有关主管部门的规定计算费用；</w:t>
            </w:r>
          </w:p>
          <w:p w14:paraId="3BE6C5D1">
            <w:pPr>
              <w:rPr>
                <w:rFonts w:ascii="Calibri" w:hAnsi="Calibri" w:cs="Calibri"/>
                <w:color w:val="auto"/>
                <w:szCs w:val="21"/>
                <w:highlight w:val="none"/>
              </w:rPr>
            </w:pPr>
            <w:r>
              <w:rPr>
                <w:rFonts w:hint="eastAsia" w:ascii="Calibri" w:hAnsi="Calibri" w:cs="Calibri"/>
                <w:color w:val="auto"/>
                <w:szCs w:val="21"/>
                <w:highlight w:val="none"/>
              </w:rPr>
              <w:t>投标报价中的暂列金额和专业工程暂估价金额和材料暂估单价与招标人公布的暂列金额和专业工程暂估价金额和材料暂估单价保持一致的；</w:t>
            </w:r>
          </w:p>
          <w:p w14:paraId="60A17AA8">
            <w:pPr>
              <w:rPr>
                <w:rFonts w:hint="eastAsia" w:ascii="宋体" w:hAnsi="宋体" w:cs="宋体"/>
                <w:bCs/>
                <w:color w:val="auto"/>
                <w:szCs w:val="21"/>
                <w:highlight w:val="none"/>
              </w:rPr>
            </w:pPr>
            <w:r>
              <w:rPr>
                <w:rFonts w:hint="eastAsia" w:ascii="Calibri" w:hAnsi="Calibri" w:cs="Calibri"/>
                <w:color w:val="auto"/>
                <w:szCs w:val="21"/>
                <w:highlight w:val="none"/>
              </w:rPr>
              <w:t>投标报价中的分部分项工程项目清单（不含在分部分项工程项目清单中列项的措施项目费）项目编码、项目名称、项目特征、计量单位和工程数量与招标</w:t>
            </w:r>
            <w:r>
              <w:rPr>
                <w:rFonts w:hint="eastAsia" w:ascii="Calibri" w:hAnsi="Calibri" w:cs="Calibri"/>
                <w:color w:val="auto"/>
                <w:szCs w:val="21"/>
                <w:highlight w:val="none"/>
                <w:lang w:eastAsia="zh"/>
              </w:rPr>
              <w:t>人公布的</w:t>
            </w:r>
            <w:r>
              <w:rPr>
                <w:rFonts w:hint="eastAsia" w:ascii="Calibri" w:hAnsi="Calibri" w:cs="Calibri"/>
                <w:color w:val="auto"/>
                <w:szCs w:val="21"/>
                <w:highlight w:val="none"/>
              </w:rPr>
              <w:t>分部分项工程项目清单（不含在分部分项工程项目清单中列项的措施项目费）项目编码、项目名称、项目特征、计量单位和工程数量保持一致的（适用于采用单价合同的工程）。</w:t>
            </w:r>
          </w:p>
        </w:tc>
      </w:tr>
      <w:tr w14:paraId="4335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vAlign w:val="center"/>
          </w:tcPr>
          <w:p w14:paraId="21ACE47B">
            <w:pPr>
              <w:jc w:val="center"/>
              <w:rPr>
                <w:rFonts w:hint="eastAsia" w:ascii="宋体" w:hAnsi="宋体" w:cs="宋体"/>
                <w:color w:val="auto"/>
                <w:szCs w:val="21"/>
                <w:highlight w:val="none"/>
              </w:rPr>
            </w:pPr>
          </w:p>
        </w:tc>
        <w:tc>
          <w:tcPr>
            <w:tcW w:w="3184" w:type="dxa"/>
            <w:gridSpan w:val="3"/>
            <w:vAlign w:val="center"/>
          </w:tcPr>
          <w:p w14:paraId="32A95A08">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651" w:type="dxa"/>
            <w:gridSpan w:val="4"/>
            <w:vAlign w:val="center"/>
          </w:tcPr>
          <w:p w14:paraId="07188D10">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5D92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vAlign w:val="center"/>
          </w:tcPr>
          <w:p w14:paraId="3E30F896">
            <w:pPr>
              <w:jc w:val="center"/>
              <w:rPr>
                <w:rFonts w:hint="eastAsia" w:ascii="宋体" w:hAnsi="宋体" w:cs="宋体"/>
                <w:color w:val="auto"/>
                <w:szCs w:val="21"/>
                <w:highlight w:val="none"/>
              </w:rPr>
            </w:pPr>
          </w:p>
        </w:tc>
        <w:tc>
          <w:tcPr>
            <w:tcW w:w="3184" w:type="dxa"/>
            <w:gridSpan w:val="3"/>
            <w:vAlign w:val="center"/>
          </w:tcPr>
          <w:p w14:paraId="3AA8DF1C">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5651" w:type="dxa"/>
            <w:gridSpan w:val="4"/>
            <w:vAlign w:val="center"/>
          </w:tcPr>
          <w:p w14:paraId="160ADB05">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3F38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vAlign w:val="center"/>
          </w:tcPr>
          <w:p w14:paraId="0CF3F392">
            <w:pPr>
              <w:jc w:val="center"/>
              <w:rPr>
                <w:rFonts w:hint="eastAsia" w:ascii="宋体" w:hAnsi="宋体" w:cs="宋体"/>
                <w:color w:val="auto"/>
                <w:szCs w:val="21"/>
                <w:highlight w:val="none"/>
              </w:rPr>
            </w:pPr>
          </w:p>
        </w:tc>
        <w:tc>
          <w:tcPr>
            <w:tcW w:w="3184" w:type="dxa"/>
            <w:gridSpan w:val="3"/>
            <w:vAlign w:val="center"/>
          </w:tcPr>
          <w:p w14:paraId="5DDB7531">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w:t>
            </w:r>
            <w:r>
              <w:rPr>
                <w:rFonts w:hint="eastAsia" w:ascii="宋体" w:hAnsi="宋体" w:cs="宋体"/>
                <w:color w:val="auto"/>
                <w:szCs w:val="21"/>
                <w:highlight w:val="none"/>
              </w:rPr>
              <w:t>报送</w:t>
            </w:r>
          </w:p>
        </w:tc>
        <w:tc>
          <w:tcPr>
            <w:tcW w:w="5651" w:type="dxa"/>
            <w:gridSpan w:val="4"/>
            <w:vAlign w:val="center"/>
          </w:tcPr>
          <w:p w14:paraId="44BFE0AD">
            <w:pPr>
              <w:rPr>
                <w:rFonts w:hint="eastAsia" w:ascii="宋体" w:hAnsi="宋体" w:cs="宋体"/>
                <w:color w:val="auto"/>
                <w:szCs w:val="21"/>
                <w:highlight w:val="none"/>
              </w:rPr>
            </w:pPr>
            <w:r>
              <w:rPr>
                <w:rFonts w:hint="eastAsia" w:ascii="Calibri" w:hAnsi="Calibri" w:cs="Calibri"/>
                <w:color w:val="auto"/>
                <w:szCs w:val="21"/>
                <w:highlight w:val="none"/>
              </w:rPr>
              <w:t xml:space="preserve">符合第二章“投标人须知”的规定   </w:t>
            </w:r>
          </w:p>
        </w:tc>
      </w:tr>
      <w:tr w14:paraId="1368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vAlign w:val="center"/>
          </w:tcPr>
          <w:p w14:paraId="590AE00F">
            <w:pPr>
              <w:jc w:val="center"/>
              <w:rPr>
                <w:rFonts w:hint="eastAsia" w:ascii="宋体" w:hAnsi="宋体" w:cs="宋体"/>
                <w:color w:val="auto"/>
                <w:szCs w:val="21"/>
                <w:highlight w:val="none"/>
              </w:rPr>
            </w:pPr>
          </w:p>
        </w:tc>
        <w:tc>
          <w:tcPr>
            <w:tcW w:w="3184" w:type="dxa"/>
            <w:gridSpan w:val="3"/>
            <w:vAlign w:val="center"/>
          </w:tcPr>
          <w:p w14:paraId="59FA99E3">
            <w:pPr>
              <w:jc w:val="center"/>
              <w:rPr>
                <w:rFonts w:hint="eastAsia" w:ascii="宋体" w:hAnsi="宋体" w:cs="宋体"/>
                <w:color w:val="auto"/>
                <w:szCs w:val="21"/>
                <w:highlight w:val="none"/>
              </w:rPr>
            </w:pPr>
            <w:r>
              <w:rPr>
                <w:rFonts w:hint="eastAsia" w:ascii="宋体" w:hAnsi="宋体" w:cs="宋体"/>
                <w:bCs/>
                <w:color w:val="auto"/>
                <w:szCs w:val="21"/>
                <w:highlight w:val="none"/>
              </w:rPr>
              <w:t>拟任项目经理在建情况</w:t>
            </w:r>
          </w:p>
        </w:tc>
        <w:tc>
          <w:tcPr>
            <w:tcW w:w="5651" w:type="dxa"/>
            <w:gridSpan w:val="4"/>
            <w:vAlign w:val="center"/>
          </w:tcPr>
          <w:p w14:paraId="25F884EA">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符合第二章投标人须知规定</w:t>
            </w:r>
          </w:p>
        </w:tc>
      </w:tr>
      <w:tr w14:paraId="5FD4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2AA50CE1">
            <w:pPr>
              <w:jc w:val="center"/>
              <w:rPr>
                <w:rFonts w:hint="eastAsia" w:ascii="宋体" w:hAnsi="宋体" w:cs="宋体"/>
                <w:color w:val="auto"/>
                <w:szCs w:val="21"/>
                <w:highlight w:val="none"/>
              </w:rPr>
            </w:pPr>
          </w:p>
        </w:tc>
        <w:tc>
          <w:tcPr>
            <w:tcW w:w="3184" w:type="dxa"/>
            <w:gridSpan w:val="3"/>
            <w:vAlign w:val="center"/>
          </w:tcPr>
          <w:p w14:paraId="57F808B9">
            <w:pPr>
              <w:jc w:val="center"/>
              <w:rPr>
                <w:rFonts w:hint="eastAsia" w:ascii="宋体" w:hAnsi="宋体" w:cs="宋体"/>
                <w:color w:val="auto"/>
                <w:szCs w:val="21"/>
                <w:highlight w:val="none"/>
              </w:rPr>
            </w:pPr>
            <w:r>
              <w:rPr>
                <w:rFonts w:hint="eastAsia" w:ascii="宋体" w:hAnsi="宋体" w:cs="宋体"/>
                <w:bCs/>
                <w:color w:val="auto"/>
                <w:szCs w:val="21"/>
                <w:highlight w:val="none"/>
              </w:rPr>
              <w:t>投标保证金</w:t>
            </w:r>
          </w:p>
        </w:tc>
        <w:tc>
          <w:tcPr>
            <w:tcW w:w="5651" w:type="dxa"/>
            <w:gridSpan w:val="4"/>
            <w:vAlign w:val="center"/>
          </w:tcPr>
          <w:p w14:paraId="60A3D6E8">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5EE3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26BB7E46">
            <w:pPr>
              <w:jc w:val="center"/>
              <w:rPr>
                <w:rFonts w:hint="eastAsia" w:ascii="宋体" w:hAnsi="宋体" w:cs="宋体"/>
                <w:color w:val="auto"/>
                <w:szCs w:val="21"/>
                <w:highlight w:val="none"/>
              </w:rPr>
            </w:pPr>
          </w:p>
        </w:tc>
        <w:tc>
          <w:tcPr>
            <w:tcW w:w="3184" w:type="dxa"/>
            <w:gridSpan w:val="3"/>
            <w:vAlign w:val="center"/>
          </w:tcPr>
          <w:p w14:paraId="25EF090E">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651" w:type="dxa"/>
            <w:gridSpan w:val="4"/>
            <w:vAlign w:val="center"/>
          </w:tcPr>
          <w:p w14:paraId="7F95E070">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2EAF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4DFE15DA">
            <w:pPr>
              <w:jc w:val="center"/>
              <w:rPr>
                <w:rFonts w:hint="eastAsia" w:ascii="宋体" w:hAnsi="宋体" w:cs="宋体"/>
                <w:color w:val="auto"/>
                <w:szCs w:val="21"/>
                <w:highlight w:val="none"/>
              </w:rPr>
            </w:pPr>
          </w:p>
        </w:tc>
        <w:tc>
          <w:tcPr>
            <w:tcW w:w="3184" w:type="dxa"/>
            <w:gridSpan w:val="3"/>
            <w:vAlign w:val="center"/>
          </w:tcPr>
          <w:p w14:paraId="68EB0F03">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5651" w:type="dxa"/>
            <w:gridSpan w:val="4"/>
            <w:vAlign w:val="center"/>
          </w:tcPr>
          <w:p w14:paraId="6DE96AE5">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3B3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1608E40B">
            <w:pPr>
              <w:jc w:val="center"/>
              <w:rPr>
                <w:rFonts w:hint="eastAsia" w:ascii="宋体" w:hAnsi="宋体" w:cs="宋体"/>
                <w:color w:val="auto"/>
                <w:szCs w:val="21"/>
                <w:highlight w:val="none"/>
              </w:rPr>
            </w:pPr>
          </w:p>
        </w:tc>
        <w:tc>
          <w:tcPr>
            <w:tcW w:w="3184" w:type="dxa"/>
            <w:gridSpan w:val="3"/>
            <w:vAlign w:val="center"/>
          </w:tcPr>
          <w:p w14:paraId="37747840">
            <w:pPr>
              <w:jc w:val="center"/>
              <w:rPr>
                <w:rFonts w:hint="eastAsia" w:ascii="宋体" w:hAnsi="宋体" w:cs="宋体"/>
                <w:color w:val="auto"/>
                <w:szCs w:val="21"/>
                <w:highlight w:val="none"/>
              </w:rPr>
            </w:pPr>
            <w:r>
              <w:rPr>
                <w:rFonts w:hint="eastAsia"/>
                <w:color w:val="auto"/>
                <w:highlight w:val="none"/>
              </w:rPr>
              <w:t>党建工作要求</w:t>
            </w:r>
          </w:p>
        </w:tc>
        <w:tc>
          <w:tcPr>
            <w:tcW w:w="5651" w:type="dxa"/>
            <w:gridSpan w:val="4"/>
            <w:vAlign w:val="center"/>
          </w:tcPr>
          <w:p w14:paraId="1010C207">
            <w:pPr>
              <w:rPr>
                <w:rFonts w:hint="eastAsia" w:ascii="宋体" w:hAnsi="宋体" w:cs="宋体"/>
                <w:color w:val="auto"/>
                <w:szCs w:val="21"/>
                <w:highlight w:val="none"/>
              </w:rPr>
            </w:pPr>
            <w:r>
              <w:rPr>
                <w:rFonts w:hint="eastAsia"/>
                <w:color w:val="auto"/>
                <w:highlight w:val="none"/>
              </w:rPr>
              <w:t>符合第二章投标人须知前附表第10.19.5款规定</w:t>
            </w:r>
          </w:p>
        </w:tc>
      </w:tr>
      <w:tr w14:paraId="52B1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224AD52C">
            <w:pPr>
              <w:jc w:val="center"/>
              <w:rPr>
                <w:rFonts w:hint="eastAsia" w:ascii="宋体" w:hAnsi="宋体" w:cs="宋体"/>
                <w:color w:val="auto"/>
                <w:szCs w:val="21"/>
                <w:highlight w:val="none"/>
              </w:rPr>
            </w:pPr>
          </w:p>
        </w:tc>
        <w:tc>
          <w:tcPr>
            <w:tcW w:w="3184" w:type="dxa"/>
            <w:gridSpan w:val="3"/>
            <w:vAlign w:val="center"/>
          </w:tcPr>
          <w:p w14:paraId="3B4724B7">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5651" w:type="dxa"/>
            <w:gridSpan w:val="4"/>
            <w:vAlign w:val="center"/>
          </w:tcPr>
          <w:p w14:paraId="471FCCAC">
            <w:pPr>
              <w:pStyle w:val="224"/>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rPr>
              <w:t>符合第七章技术标准和要求（合同技术条款）的规定</w:t>
            </w:r>
          </w:p>
        </w:tc>
      </w:tr>
      <w:tr w14:paraId="74BE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104C5018">
            <w:pPr>
              <w:jc w:val="center"/>
              <w:rPr>
                <w:rFonts w:hint="eastAsia" w:ascii="宋体" w:hAnsi="宋体" w:cs="宋体"/>
                <w:color w:val="auto"/>
                <w:szCs w:val="21"/>
                <w:highlight w:val="none"/>
              </w:rPr>
            </w:pPr>
          </w:p>
        </w:tc>
        <w:tc>
          <w:tcPr>
            <w:tcW w:w="3184" w:type="dxa"/>
            <w:gridSpan w:val="3"/>
            <w:vAlign w:val="center"/>
          </w:tcPr>
          <w:p w14:paraId="2EC0B12E">
            <w:pPr>
              <w:jc w:val="center"/>
              <w:rPr>
                <w:rFonts w:hint="eastAsia" w:ascii="宋体" w:hAnsi="宋体" w:cs="宋体"/>
                <w:color w:val="auto"/>
                <w:szCs w:val="21"/>
                <w:highlight w:val="none"/>
              </w:rPr>
            </w:pPr>
            <w:r>
              <w:rPr>
                <w:rFonts w:hint="eastAsia" w:ascii="宋体" w:hAnsi="宋体" w:cs="宋体"/>
                <w:bCs/>
                <w:color w:val="auto"/>
                <w:szCs w:val="21"/>
                <w:highlight w:val="none"/>
              </w:rPr>
              <w:t>工程结算款支付账户（不适用）</w:t>
            </w:r>
          </w:p>
        </w:tc>
        <w:tc>
          <w:tcPr>
            <w:tcW w:w="5651" w:type="dxa"/>
            <w:gridSpan w:val="4"/>
            <w:vAlign w:val="center"/>
          </w:tcPr>
          <w:p w14:paraId="268C3DF1">
            <w:pPr>
              <w:pStyle w:val="224"/>
              <w:rPr>
                <w:rFonts w:hint="eastAsia" w:ascii="宋体" w:hAnsi="宋体" w:eastAsia="宋体" w:cs="宋体"/>
                <w:color w:val="auto"/>
                <w:szCs w:val="21"/>
                <w:highlight w:val="none"/>
              </w:rPr>
            </w:pPr>
            <w:r>
              <w:rPr>
                <w:rFonts w:hint="eastAsia" w:ascii="宋体" w:hAnsi="宋体" w:eastAsia="宋体" w:cs="宋体"/>
                <w:bCs/>
                <w:color w:val="auto"/>
                <w:kern w:val="2"/>
                <w:sz w:val="21"/>
                <w:szCs w:val="21"/>
                <w:highlight w:val="none"/>
              </w:rPr>
              <w:t>符合第二章投标人须知第10条的规定</w:t>
            </w:r>
          </w:p>
        </w:tc>
      </w:tr>
      <w:tr w14:paraId="64DE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26" w:type="dxa"/>
            <w:vAlign w:val="center"/>
          </w:tcPr>
          <w:p w14:paraId="01E39116">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184" w:type="dxa"/>
            <w:gridSpan w:val="3"/>
            <w:vAlign w:val="center"/>
          </w:tcPr>
          <w:p w14:paraId="1FF4264B">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5651" w:type="dxa"/>
            <w:gridSpan w:val="4"/>
            <w:vAlign w:val="center"/>
          </w:tcPr>
          <w:p w14:paraId="070FC167">
            <w:pPr>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6671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center"/>
          </w:tcPr>
          <w:p w14:paraId="4E69329D">
            <w:pPr>
              <w:jc w:val="center"/>
              <w:rPr>
                <w:rFonts w:hint="eastAsia" w:ascii="宋体" w:hAnsi="宋体" w:cs="宋体"/>
                <w:strike/>
                <w:color w:val="auto"/>
                <w:szCs w:val="21"/>
                <w:highlight w:val="none"/>
              </w:rPr>
            </w:pPr>
          </w:p>
          <w:p w14:paraId="09ADFBB1">
            <w:pPr>
              <w:jc w:val="center"/>
              <w:rPr>
                <w:rFonts w:hint="eastAsia" w:ascii="宋体" w:hAnsi="宋体" w:cs="宋体"/>
                <w:bCs/>
                <w:color w:val="auto"/>
                <w:szCs w:val="21"/>
                <w:highlight w:val="none"/>
              </w:rPr>
            </w:pPr>
            <w:r>
              <w:rPr>
                <w:rFonts w:hint="eastAsia" w:ascii="宋体" w:hAnsi="宋体" w:cs="宋体"/>
                <w:color w:val="auto"/>
                <w:szCs w:val="21"/>
                <w:highlight w:val="none"/>
              </w:rPr>
              <w:t>1.4</w:t>
            </w:r>
          </w:p>
        </w:tc>
        <w:tc>
          <w:tcPr>
            <w:tcW w:w="3184" w:type="dxa"/>
            <w:gridSpan w:val="3"/>
            <w:vAlign w:val="center"/>
          </w:tcPr>
          <w:p w14:paraId="3CC69CA6">
            <w:pPr>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14:paraId="7ECAD1AB">
            <w:pPr>
              <w:jc w:val="center"/>
              <w:rPr>
                <w:rFonts w:hint="eastAsia" w:ascii="宋体" w:hAnsi="宋体" w:cs="宋体"/>
                <w:bCs/>
                <w:color w:val="auto"/>
                <w:szCs w:val="21"/>
                <w:highlight w:val="none"/>
              </w:rPr>
            </w:pPr>
            <w:r>
              <w:rPr>
                <w:rFonts w:hint="eastAsia" w:ascii="宋体" w:hAnsi="宋体" w:cs="宋体"/>
                <w:color w:val="auto"/>
                <w:szCs w:val="21"/>
                <w:highlight w:val="none"/>
              </w:rPr>
              <w:t>（总权值为1）</w:t>
            </w:r>
          </w:p>
        </w:tc>
        <w:tc>
          <w:tcPr>
            <w:tcW w:w="5651" w:type="dxa"/>
            <w:gridSpan w:val="4"/>
            <w:vAlign w:val="center"/>
          </w:tcPr>
          <w:p w14:paraId="5FDB0ECD">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报价权重范围：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（45%-50% ） ；</w:t>
            </w:r>
          </w:p>
          <w:p w14:paraId="1DAC3B54">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技术权重范围：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（20%-25%）；</w:t>
            </w:r>
          </w:p>
          <w:p w14:paraId="228472E1">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商务权重范围：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（25%-35% ）。</w:t>
            </w:r>
          </w:p>
          <w:p w14:paraId="5E5AEAF0">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其中商务评审包括：</w:t>
            </w:r>
          </w:p>
          <w:p w14:paraId="5C702D1D">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类似工程业绩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（50%-70%）；</w:t>
            </w:r>
          </w:p>
          <w:p w14:paraId="1D81406C">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信用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（20%-30%） ；</w:t>
            </w:r>
          </w:p>
          <w:p w14:paraId="225B8342">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奖项和发明专利：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5-10%） ；</w:t>
            </w:r>
          </w:p>
          <w:p w14:paraId="0CBB41AF">
            <w:pPr>
              <w:ind w:left="1050" w:hanging="1050" w:hangingChars="500"/>
              <w:rPr>
                <w:rFonts w:hint="eastAsia" w:ascii="宋体" w:hAnsi="宋体" w:cs="宋体"/>
                <w:bCs/>
                <w:color w:val="auto"/>
                <w:szCs w:val="21"/>
                <w:highlight w:val="none"/>
              </w:rPr>
            </w:pPr>
            <w:r>
              <w:rPr>
                <w:rFonts w:hint="eastAsia" w:ascii="宋体" w:hAnsi="宋体" w:cs="宋体"/>
                <w:color w:val="auto"/>
                <w:szCs w:val="21"/>
                <w:highlight w:val="none"/>
              </w:rPr>
              <w:t>项目经理业绩：权重</w:t>
            </w:r>
            <w:r>
              <w:rPr>
                <w:rFonts w:hint="eastAsia" w:ascii="宋体" w:hAnsi="宋体" w:cs="宋体"/>
                <w:color w:val="auto"/>
                <w:szCs w:val="21"/>
                <w:highlight w:val="none"/>
                <w:u w:val="single"/>
              </w:rPr>
              <w:t xml:space="preserve"> 10% </w:t>
            </w:r>
            <w:r>
              <w:rPr>
                <w:rFonts w:hint="eastAsia" w:ascii="宋体" w:hAnsi="宋体" w:cs="宋体"/>
                <w:color w:val="auto"/>
                <w:szCs w:val="21"/>
                <w:highlight w:val="none"/>
              </w:rPr>
              <w:t>。（如不选择项目经理业绩，此部分权重由系统自动平移至报价权重分值中。）</w:t>
            </w:r>
          </w:p>
        </w:tc>
      </w:tr>
      <w:tr w14:paraId="4846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026" w:type="dxa"/>
            <w:vAlign w:val="center"/>
          </w:tcPr>
          <w:p w14:paraId="0FFC813C">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3184" w:type="dxa"/>
            <w:gridSpan w:val="3"/>
            <w:vAlign w:val="center"/>
          </w:tcPr>
          <w:p w14:paraId="6FCA07C7">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3864" w:type="dxa"/>
            <w:vMerge w:val="restart"/>
            <w:vAlign w:val="center"/>
          </w:tcPr>
          <w:p w14:paraId="31BDC2D7">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787" w:type="dxa"/>
            <w:gridSpan w:val="3"/>
            <w:vAlign w:val="center"/>
          </w:tcPr>
          <w:p w14:paraId="63D3B5F7">
            <w:pPr>
              <w:jc w:val="center"/>
              <w:rPr>
                <w:rFonts w:hint="eastAsia" w:ascii="宋体" w:hAnsi="宋体" w:cs="宋体"/>
                <w:bCs/>
                <w:color w:val="auto"/>
                <w:szCs w:val="21"/>
                <w:highlight w:val="none"/>
              </w:rPr>
            </w:pPr>
            <w:r>
              <w:rPr>
                <w:rFonts w:hint="eastAsia" w:ascii="宋体" w:hAnsi="宋体" w:cs="宋体"/>
                <w:bCs/>
                <w:color w:val="auto"/>
                <w:szCs w:val="21"/>
                <w:highlight w:val="none"/>
              </w:rPr>
              <w:t>计分方式</w:t>
            </w:r>
          </w:p>
        </w:tc>
      </w:tr>
      <w:tr w14:paraId="0AF1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26" w:type="dxa"/>
            <w:vMerge w:val="restart"/>
            <w:vAlign w:val="center"/>
          </w:tcPr>
          <w:p w14:paraId="23A06EC2">
            <w:pPr>
              <w:jc w:val="center"/>
              <w:rPr>
                <w:rFonts w:hint="eastAsia" w:ascii="宋体" w:hAnsi="宋体" w:cs="宋体"/>
                <w:strike/>
                <w:color w:val="auto"/>
                <w:szCs w:val="21"/>
                <w:highlight w:val="none"/>
              </w:rPr>
            </w:pPr>
            <w:r>
              <w:rPr>
                <w:rFonts w:hint="eastAsia" w:ascii="宋体" w:hAnsi="宋体" w:cs="宋体"/>
                <w:color w:val="auto"/>
                <w:szCs w:val="21"/>
                <w:highlight w:val="none"/>
              </w:rPr>
              <w:t>1.5</w:t>
            </w:r>
          </w:p>
        </w:tc>
        <w:tc>
          <w:tcPr>
            <w:tcW w:w="1185" w:type="dxa"/>
            <w:vAlign w:val="center"/>
          </w:tcPr>
          <w:p w14:paraId="016C63AC">
            <w:pPr>
              <w:jc w:val="center"/>
              <w:rPr>
                <w:rFonts w:hint="eastAsia" w:ascii="宋体" w:hAnsi="宋体" w:cs="宋体"/>
                <w:bCs/>
                <w:color w:val="auto"/>
                <w:szCs w:val="21"/>
                <w:highlight w:val="none"/>
              </w:rPr>
            </w:pPr>
            <w:r>
              <w:rPr>
                <w:rFonts w:hint="eastAsia" w:ascii="宋体" w:hAnsi="宋体" w:cs="宋体"/>
                <w:color w:val="auto"/>
                <w:szCs w:val="21"/>
                <w:highlight w:val="none"/>
              </w:rPr>
              <w:t>内容</w:t>
            </w:r>
          </w:p>
        </w:tc>
        <w:tc>
          <w:tcPr>
            <w:tcW w:w="1999" w:type="dxa"/>
            <w:gridSpan w:val="2"/>
            <w:vAlign w:val="center"/>
          </w:tcPr>
          <w:p w14:paraId="6DEF6B79">
            <w:pPr>
              <w:jc w:val="center"/>
              <w:rPr>
                <w:rFonts w:hint="eastAsia" w:ascii="宋体" w:hAnsi="宋体" w:cs="宋体"/>
                <w:color w:val="auto"/>
                <w:szCs w:val="21"/>
                <w:highlight w:val="none"/>
              </w:rPr>
            </w:pPr>
            <w:r>
              <w:rPr>
                <w:rFonts w:hint="eastAsia" w:ascii="宋体" w:hAnsi="宋体" w:cs="宋体"/>
                <w:bCs/>
                <w:color w:val="auto"/>
                <w:szCs w:val="21"/>
                <w:highlight w:val="none"/>
              </w:rPr>
              <w:t>细分项</w:t>
            </w:r>
          </w:p>
        </w:tc>
        <w:tc>
          <w:tcPr>
            <w:tcW w:w="3864" w:type="dxa"/>
            <w:vMerge w:val="continue"/>
            <w:vAlign w:val="center"/>
          </w:tcPr>
          <w:p w14:paraId="6134FDDC">
            <w:pPr>
              <w:jc w:val="center"/>
              <w:rPr>
                <w:rFonts w:hint="eastAsia" w:ascii="宋体" w:hAnsi="宋体" w:cs="宋体"/>
                <w:color w:val="auto"/>
                <w:szCs w:val="21"/>
                <w:highlight w:val="none"/>
              </w:rPr>
            </w:pPr>
          </w:p>
        </w:tc>
        <w:tc>
          <w:tcPr>
            <w:tcW w:w="947" w:type="dxa"/>
            <w:gridSpan w:val="2"/>
            <w:vAlign w:val="center"/>
          </w:tcPr>
          <w:p w14:paraId="3ABDF8C6">
            <w:pPr>
              <w:jc w:val="center"/>
              <w:rPr>
                <w:rFonts w:hint="eastAsia" w:ascii="宋体" w:hAnsi="宋体" w:cs="宋体"/>
                <w:color w:val="auto"/>
                <w:szCs w:val="21"/>
                <w:highlight w:val="none"/>
              </w:rPr>
            </w:pPr>
            <w:r>
              <w:rPr>
                <w:rFonts w:hint="eastAsia" w:ascii="宋体" w:hAnsi="宋体" w:cs="宋体"/>
                <w:color w:val="auto"/>
                <w:szCs w:val="21"/>
                <w:highlight w:val="none"/>
              </w:rPr>
              <w:t>分数</w:t>
            </w:r>
          </w:p>
        </w:tc>
        <w:tc>
          <w:tcPr>
            <w:tcW w:w="840" w:type="dxa"/>
            <w:vAlign w:val="center"/>
          </w:tcPr>
          <w:p w14:paraId="44D7C9F3">
            <w:pPr>
              <w:jc w:val="center"/>
              <w:rPr>
                <w:rFonts w:hint="eastAsia" w:ascii="宋体" w:hAnsi="宋体" w:cs="宋体"/>
                <w:color w:val="auto"/>
                <w:szCs w:val="21"/>
                <w:highlight w:val="none"/>
              </w:rPr>
            </w:pPr>
            <w:r>
              <w:rPr>
                <w:rFonts w:hint="eastAsia" w:ascii="宋体" w:hAnsi="宋体" w:cs="宋体"/>
                <w:color w:val="auto"/>
                <w:szCs w:val="21"/>
                <w:highlight w:val="none"/>
              </w:rPr>
              <w:t>得分</w:t>
            </w:r>
          </w:p>
        </w:tc>
      </w:tr>
      <w:tr w14:paraId="5FFA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26" w:type="dxa"/>
            <w:vMerge w:val="continue"/>
            <w:vAlign w:val="center"/>
          </w:tcPr>
          <w:p w14:paraId="09064776">
            <w:pPr>
              <w:jc w:val="center"/>
              <w:rPr>
                <w:rFonts w:hint="eastAsia" w:ascii="宋体" w:hAnsi="宋体" w:cs="宋体"/>
                <w:color w:val="auto"/>
                <w:szCs w:val="21"/>
                <w:highlight w:val="none"/>
              </w:rPr>
            </w:pPr>
          </w:p>
        </w:tc>
        <w:tc>
          <w:tcPr>
            <w:tcW w:w="1185" w:type="dxa"/>
            <w:vMerge w:val="restart"/>
            <w:vAlign w:val="center"/>
          </w:tcPr>
          <w:p w14:paraId="1F6EC1DC">
            <w:pPr>
              <w:jc w:val="center"/>
              <w:rPr>
                <w:rFonts w:hint="eastAsia" w:ascii="宋体" w:hAnsi="宋体" w:cs="宋体"/>
                <w:color w:val="auto"/>
                <w:szCs w:val="21"/>
                <w:highlight w:val="none"/>
              </w:rPr>
            </w:pPr>
            <w:r>
              <w:rPr>
                <w:rFonts w:hint="eastAsia" w:ascii="宋体" w:hAnsi="宋体" w:cs="宋体"/>
                <w:color w:val="auto"/>
                <w:szCs w:val="21"/>
                <w:highlight w:val="none"/>
              </w:rPr>
              <w:t>技术评审（施工组织设计）</w:t>
            </w:r>
          </w:p>
        </w:tc>
        <w:tc>
          <w:tcPr>
            <w:tcW w:w="1999" w:type="dxa"/>
            <w:gridSpan w:val="2"/>
            <w:vAlign w:val="center"/>
          </w:tcPr>
          <w:p w14:paraId="7645C04A">
            <w:pPr>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3864" w:type="dxa"/>
            <w:vAlign w:val="center"/>
          </w:tcPr>
          <w:p w14:paraId="39013604">
            <w:pPr>
              <w:jc w:val="left"/>
              <w:rPr>
                <w:rFonts w:hint="eastAsia" w:ascii="宋体" w:hAnsi="宋体" w:cs="宋体"/>
                <w:color w:val="auto"/>
                <w:szCs w:val="21"/>
                <w:highlight w:val="none"/>
              </w:rPr>
            </w:pPr>
            <w:r>
              <w:rPr>
                <w:rFonts w:hint="eastAsia" w:ascii="宋体" w:hAnsi="宋体" w:cs="宋体"/>
                <w:color w:val="auto"/>
                <w:szCs w:val="21"/>
                <w:highlight w:val="none"/>
              </w:rPr>
              <w:t>对项目总体概况表述是否清晰、完整；部署及措施是否先进、可靠；针对项目的重点、难点分析是否透彻，解决方案是否切实可行；施工平面布置是否有针对性、合理，较好满足施工需要，是否符合安全、文明生产要求。市政基础设施项目，交通组织规划是否合理、可行，交通组织措施是否得力。</w:t>
            </w:r>
          </w:p>
        </w:tc>
        <w:tc>
          <w:tcPr>
            <w:tcW w:w="947" w:type="dxa"/>
            <w:gridSpan w:val="2"/>
            <w:vAlign w:val="center"/>
          </w:tcPr>
          <w:p w14:paraId="4287D439">
            <w:pPr>
              <w:jc w:val="center"/>
              <w:rPr>
                <w:rFonts w:hint="eastAsia" w:ascii="宋体" w:hAnsi="宋体" w:cs="宋体"/>
                <w:color w:val="auto"/>
                <w:szCs w:val="21"/>
                <w:highlight w:val="none"/>
              </w:rPr>
            </w:pPr>
            <w:r>
              <w:rPr>
                <w:rFonts w:hint="eastAsia" w:ascii="宋体" w:hAnsi="宋体" w:cs="宋体"/>
                <w:color w:val="auto"/>
                <w:szCs w:val="21"/>
                <w:highlight w:val="none"/>
              </w:rPr>
              <w:t>25分</w:t>
            </w:r>
          </w:p>
        </w:tc>
        <w:tc>
          <w:tcPr>
            <w:tcW w:w="840" w:type="dxa"/>
            <w:vAlign w:val="center"/>
          </w:tcPr>
          <w:p w14:paraId="24D90F35">
            <w:pPr>
              <w:jc w:val="center"/>
              <w:rPr>
                <w:color w:val="auto"/>
                <w:highlight w:val="none"/>
              </w:rPr>
            </w:pPr>
          </w:p>
        </w:tc>
      </w:tr>
      <w:tr w14:paraId="04B8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26" w:type="dxa"/>
            <w:vMerge w:val="continue"/>
            <w:vAlign w:val="center"/>
          </w:tcPr>
          <w:p w14:paraId="5B2F999A">
            <w:pPr>
              <w:jc w:val="center"/>
              <w:rPr>
                <w:rFonts w:hint="eastAsia" w:ascii="宋体" w:hAnsi="宋体" w:cs="宋体"/>
                <w:color w:val="auto"/>
                <w:szCs w:val="21"/>
                <w:highlight w:val="none"/>
              </w:rPr>
            </w:pPr>
          </w:p>
        </w:tc>
        <w:tc>
          <w:tcPr>
            <w:tcW w:w="1185" w:type="dxa"/>
            <w:vMerge w:val="continue"/>
            <w:vAlign w:val="center"/>
          </w:tcPr>
          <w:p w14:paraId="692D4448">
            <w:pPr>
              <w:jc w:val="center"/>
              <w:rPr>
                <w:rFonts w:hint="eastAsia" w:ascii="宋体" w:hAnsi="宋体" w:cs="宋体"/>
                <w:color w:val="auto"/>
                <w:szCs w:val="21"/>
                <w:highlight w:val="none"/>
              </w:rPr>
            </w:pPr>
          </w:p>
        </w:tc>
        <w:tc>
          <w:tcPr>
            <w:tcW w:w="1999" w:type="dxa"/>
            <w:gridSpan w:val="2"/>
            <w:vAlign w:val="center"/>
          </w:tcPr>
          <w:p w14:paraId="001517C3">
            <w:pPr>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3864" w:type="dxa"/>
            <w:vAlign w:val="center"/>
          </w:tcPr>
          <w:p w14:paraId="55390F73">
            <w:pPr>
              <w:jc w:val="left"/>
              <w:rPr>
                <w:rFonts w:hint="eastAsia" w:ascii="宋体" w:hAnsi="宋体" w:cs="宋体"/>
                <w:color w:val="auto"/>
                <w:szCs w:val="21"/>
                <w:highlight w:val="none"/>
              </w:rPr>
            </w:pPr>
            <w:r>
              <w:rPr>
                <w:rFonts w:hint="eastAsia" w:ascii="宋体" w:hAnsi="宋体" w:cs="宋体"/>
                <w:color w:val="auto"/>
                <w:szCs w:val="21"/>
                <w:highlight w:val="none"/>
              </w:rPr>
              <w:t>质量目标是否明确，是否优于招标文件的要求；管理机构是否健全，职责分工是否明确；管理制度是否齐全；实施与监控措施是否全面、有效。</w:t>
            </w:r>
          </w:p>
        </w:tc>
        <w:tc>
          <w:tcPr>
            <w:tcW w:w="947" w:type="dxa"/>
            <w:gridSpan w:val="2"/>
            <w:vAlign w:val="center"/>
          </w:tcPr>
          <w:p w14:paraId="7615A5F3">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840" w:type="dxa"/>
            <w:vAlign w:val="center"/>
          </w:tcPr>
          <w:p w14:paraId="4FB943F4">
            <w:pPr>
              <w:jc w:val="center"/>
              <w:rPr>
                <w:color w:val="auto"/>
                <w:highlight w:val="none"/>
              </w:rPr>
            </w:pPr>
          </w:p>
        </w:tc>
      </w:tr>
      <w:tr w14:paraId="41B6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26" w:type="dxa"/>
            <w:vMerge w:val="continue"/>
            <w:vAlign w:val="center"/>
          </w:tcPr>
          <w:p w14:paraId="2EB5CC55">
            <w:pPr>
              <w:jc w:val="center"/>
              <w:rPr>
                <w:rFonts w:hint="eastAsia" w:ascii="宋体" w:hAnsi="宋体" w:cs="宋体"/>
                <w:color w:val="auto"/>
                <w:szCs w:val="21"/>
                <w:highlight w:val="none"/>
              </w:rPr>
            </w:pPr>
          </w:p>
        </w:tc>
        <w:tc>
          <w:tcPr>
            <w:tcW w:w="1185" w:type="dxa"/>
            <w:vMerge w:val="continue"/>
            <w:vAlign w:val="center"/>
          </w:tcPr>
          <w:p w14:paraId="060E891F">
            <w:pPr>
              <w:jc w:val="center"/>
              <w:rPr>
                <w:rFonts w:hint="eastAsia" w:ascii="宋体" w:hAnsi="宋体" w:cs="宋体"/>
                <w:color w:val="auto"/>
                <w:szCs w:val="21"/>
                <w:highlight w:val="none"/>
              </w:rPr>
            </w:pPr>
          </w:p>
        </w:tc>
        <w:tc>
          <w:tcPr>
            <w:tcW w:w="1999" w:type="dxa"/>
            <w:gridSpan w:val="2"/>
            <w:vAlign w:val="center"/>
          </w:tcPr>
          <w:p w14:paraId="13A1EB43">
            <w:pPr>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3864" w:type="dxa"/>
            <w:vAlign w:val="center"/>
          </w:tcPr>
          <w:p w14:paraId="34874992">
            <w:pPr>
              <w:jc w:val="left"/>
              <w:rPr>
                <w:rFonts w:hint="eastAsia" w:ascii="宋体" w:hAnsi="宋体" w:cs="宋体"/>
                <w:color w:val="auto"/>
                <w:szCs w:val="21"/>
                <w:highlight w:val="none"/>
              </w:rPr>
            </w:pPr>
            <w:r>
              <w:rPr>
                <w:rFonts w:hint="eastAsia" w:ascii="宋体" w:hAnsi="宋体" w:cs="宋体"/>
                <w:color w:val="auto"/>
                <w:szCs w:val="21"/>
                <w:highlight w:val="none"/>
              </w:rPr>
              <w:t>安全目标是否明确，是否优于招标文件的要求；管理机构是否健全，职责分工是否明确；管理制度是否齐全；实施与监控措施是否全面、有效。</w:t>
            </w:r>
          </w:p>
        </w:tc>
        <w:tc>
          <w:tcPr>
            <w:tcW w:w="947" w:type="dxa"/>
            <w:gridSpan w:val="2"/>
            <w:vAlign w:val="center"/>
          </w:tcPr>
          <w:p w14:paraId="3234BA27">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20分 </w:t>
            </w:r>
          </w:p>
        </w:tc>
        <w:tc>
          <w:tcPr>
            <w:tcW w:w="840" w:type="dxa"/>
            <w:vAlign w:val="center"/>
          </w:tcPr>
          <w:p w14:paraId="18855A06">
            <w:pPr>
              <w:jc w:val="center"/>
              <w:rPr>
                <w:color w:val="auto"/>
                <w:highlight w:val="none"/>
              </w:rPr>
            </w:pPr>
          </w:p>
        </w:tc>
      </w:tr>
      <w:tr w14:paraId="3F13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6" w:type="dxa"/>
            <w:vMerge w:val="continue"/>
            <w:vAlign w:val="center"/>
          </w:tcPr>
          <w:p w14:paraId="689F976B">
            <w:pPr>
              <w:jc w:val="center"/>
              <w:rPr>
                <w:rFonts w:hint="eastAsia" w:ascii="宋体" w:hAnsi="宋体" w:cs="宋体"/>
                <w:color w:val="auto"/>
                <w:szCs w:val="21"/>
                <w:highlight w:val="none"/>
              </w:rPr>
            </w:pPr>
          </w:p>
        </w:tc>
        <w:tc>
          <w:tcPr>
            <w:tcW w:w="1185" w:type="dxa"/>
            <w:vMerge w:val="continue"/>
            <w:vAlign w:val="center"/>
          </w:tcPr>
          <w:p w14:paraId="5EE03B60">
            <w:pPr>
              <w:jc w:val="center"/>
              <w:rPr>
                <w:rFonts w:hint="eastAsia" w:ascii="宋体" w:hAnsi="宋体" w:cs="宋体"/>
                <w:color w:val="auto"/>
                <w:szCs w:val="21"/>
                <w:highlight w:val="none"/>
              </w:rPr>
            </w:pPr>
          </w:p>
        </w:tc>
        <w:tc>
          <w:tcPr>
            <w:tcW w:w="1999" w:type="dxa"/>
            <w:gridSpan w:val="2"/>
            <w:vAlign w:val="center"/>
          </w:tcPr>
          <w:p w14:paraId="22FA4C62">
            <w:pPr>
              <w:jc w:val="center"/>
              <w:rPr>
                <w:rFonts w:hint="eastAsia" w:ascii="宋体" w:hAnsi="宋体" w:cs="宋体"/>
                <w:color w:val="auto"/>
                <w:szCs w:val="21"/>
                <w:highlight w:val="none"/>
              </w:rPr>
            </w:pPr>
            <w:r>
              <w:rPr>
                <w:rFonts w:hint="eastAsia" w:ascii="宋体" w:hAnsi="宋体" w:cs="宋体"/>
                <w:color w:val="auto"/>
                <w:szCs w:val="21"/>
                <w:highlight w:val="none"/>
              </w:rPr>
              <w:t>环境保护管理体系与措施</w:t>
            </w:r>
          </w:p>
        </w:tc>
        <w:tc>
          <w:tcPr>
            <w:tcW w:w="3864" w:type="dxa"/>
            <w:vAlign w:val="center"/>
          </w:tcPr>
          <w:p w14:paraId="37DC6081">
            <w:pPr>
              <w:jc w:val="left"/>
              <w:rPr>
                <w:rFonts w:hint="eastAsia" w:ascii="宋体" w:hAnsi="宋体" w:cs="宋体"/>
                <w:color w:val="auto"/>
                <w:szCs w:val="21"/>
                <w:highlight w:val="none"/>
              </w:rPr>
            </w:pPr>
            <w:r>
              <w:rPr>
                <w:rFonts w:hint="eastAsia" w:ascii="宋体" w:hAnsi="宋体" w:cs="宋体"/>
                <w:color w:val="auto"/>
                <w:szCs w:val="21"/>
                <w:highlight w:val="none"/>
              </w:rPr>
              <w:t>环境管理目标是否明确，是否优于招标文件的要求；是否管理机构健全，职责分工是否明确；管理制度是否齐全（是否包含建筑垃圾源头减量、分类处置及扬尘污染防治等相关内容）；实施与监控措施是否全面、有效</w:t>
            </w:r>
          </w:p>
        </w:tc>
        <w:tc>
          <w:tcPr>
            <w:tcW w:w="947" w:type="dxa"/>
            <w:gridSpan w:val="2"/>
            <w:vAlign w:val="center"/>
          </w:tcPr>
          <w:p w14:paraId="1C9BE1B2">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15分</w:t>
            </w:r>
          </w:p>
        </w:tc>
        <w:tc>
          <w:tcPr>
            <w:tcW w:w="840" w:type="dxa"/>
            <w:vAlign w:val="center"/>
          </w:tcPr>
          <w:p w14:paraId="17579ED7">
            <w:pPr>
              <w:jc w:val="center"/>
              <w:rPr>
                <w:color w:val="auto"/>
                <w:highlight w:val="none"/>
              </w:rPr>
            </w:pPr>
          </w:p>
        </w:tc>
      </w:tr>
      <w:tr w14:paraId="42EA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6" w:type="dxa"/>
            <w:vMerge w:val="continue"/>
            <w:vAlign w:val="center"/>
          </w:tcPr>
          <w:p w14:paraId="4585FD7C">
            <w:pPr>
              <w:jc w:val="center"/>
              <w:rPr>
                <w:rFonts w:hint="eastAsia" w:ascii="宋体" w:hAnsi="宋体" w:cs="宋体"/>
                <w:color w:val="auto"/>
                <w:szCs w:val="21"/>
                <w:highlight w:val="none"/>
              </w:rPr>
            </w:pPr>
          </w:p>
        </w:tc>
        <w:tc>
          <w:tcPr>
            <w:tcW w:w="1185" w:type="dxa"/>
            <w:vMerge w:val="continue"/>
            <w:vAlign w:val="center"/>
          </w:tcPr>
          <w:p w14:paraId="73DC5C23">
            <w:pPr>
              <w:jc w:val="center"/>
              <w:rPr>
                <w:rFonts w:hint="eastAsia" w:ascii="宋体" w:hAnsi="宋体" w:cs="宋体"/>
                <w:color w:val="auto"/>
                <w:szCs w:val="21"/>
                <w:highlight w:val="none"/>
              </w:rPr>
            </w:pPr>
          </w:p>
        </w:tc>
        <w:tc>
          <w:tcPr>
            <w:tcW w:w="1999" w:type="dxa"/>
            <w:gridSpan w:val="2"/>
            <w:vAlign w:val="center"/>
          </w:tcPr>
          <w:p w14:paraId="43AE5680">
            <w:pPr>
              <w:jc w:val="center"/>
              <w:rPr>
                <w:rFonts w:hint="eastAsia" w:ascii="宋体" w:hAnsi="宋体" w:cs="宋体"/>
                <w:color w:val="auto"/>
                <w:szCs w:val="21"/>
                <w:highlight w:val="none"/>
              </w:rPr>
            </w:pPr>
            <w:r>
              <w:rPr>
                <w:rFonts w:hint="eastAsia" w:ascii="宋体" w:hAnsi="宋体" w:cs="宋体"/>
                <w:color w:val="auto"/>
                <w:szCs w:val="21"/>
                <w:highlight w:val="none"/>
              </w:rPr>
              <w:t>工程进度计划与保证措施</w:t>
            </w:r>
          </w:p>
        </w:tc>
        <w:tc>
          <w:tcPr>
            <w:tcW w:w="3864" w:type="dxa"/>
            <w:vAlign w:val="center"/>
          </w:tcPr>
          <w:p w14:paraId="4D8A8D54">
            <w:pPr>
              <w:jc w:val="left"/>
              <w:rPr>
                <w:rFonts w:hint="eastAsia" w:ascii="宋体" w:hAnsi="宋体" w:cs="宋体"/>
                <w:color w:val="auto"/>
                <w:szCs w:val="21"/>
                <w:highlight w:val="none"/>
              </w:rPr>
            </w:pPr>
            <w:r>
              <w:rPr>
                <w:rFonts w:hint="eastAsia" w:ascii="宋体" w:hAnsi="宋体" w:cs="宋体"/>
                <w:color w:val="auto"/>
                <w:szCs w:val="21"/>
                <w:highlight w:val="none"/>
              </w:rPr>
              <w:t>总工期及节点工期是否满足招标文件要求；施工进度计划内容是否全面，线路是否清晰、准确、完整，计划编制是否合理、可行；措施是否有力、合理、可行。</w:t>
            </w:r>
          </w:p>
        </w:tc>
        <w:tc>
          <w:tcPr>
            <w:tcW w:w="947" w:type="dxa"/>
            <w:gridSpan w:val="2"/>
            <w:vAlign w:val="center"/>
          </w:tcPr>
          <w:p w14:paraId="496E5161">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840" w:type="dxa"/>
            <w:vAlign w:val="center"/>
          </w:tcPr>
          <w:p w14:paraId="52C53594">
            <w:pPr>
              <w:jc w:val="center"/>
              <w:rPr>
                <w:color w:val="auto"/>
                <w:highlight w:val="none"/>
              </w:rPr>
            </w:pPr>
          </w:p>
        </w:tc>
      </w:tr>
      <w:tr w14:paraId="5DE3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026" w:type="dxa"/>
            <w:vMerge w:val="continue"/>
            <w:vAlign w:val="center"/>
          </w:tcPr>
          <w:p w14:paraId="6ADA1B1C">
            <w:pPr>
              <w:jc w:val="center"/>
              <w:rPr>
                <w:rFonts w:hint="eastAsia" w:ascii="宋体" w:hAnsi="宋体" w:cs="宋体"/>
                <w:color w:val="auto"/>
                <w:szCs w:val="21"/>
                <w:highlight w:val="none"/>
              </w:rPr>
            </w:pPr>
          </w:p>
        </w:tc>
        <w:tc>
          <w:tcPr>
            <w:tcW w:w="1185" w:type="dxa"/>
            <w:vMerge w:val="continue"/>
            <w:vAlign w:val="center"/>
          </w:tcPr>
          <w:p w14:paraId="22FD73EF">
            <w:pPr>
              <w:jc w:val="center"/>
              <w:rPr>
                <w:rFonts w:hint="eastAsia" w:ascii="宋体" w:hAnsi="宋体" w:cs="宋体"/>
                <w:color w:val="auto"/>
                <w:szCs w:val="21"/>
                <w:highlight w:val="none"/>
              </w:rPr>
            </w:pPr>
          </w:p>
        </w:tc>
        <w:tc>
          <w:tcPr>
            <w:tcW w:w="1999" w:type="dxa"/>
            <w:gridSpan w:val="2"/>
            <w:vAlign w:val="center"/>
          </w:tcPr>
          <w:p w14:paraId="649316E6">
            <w:pPr>
              <w:jc w:val="center"/>
              <w:rPr>
                <w:rFonts w:hint="eastAsia" w:ascii="宋体" w:hAnsi="宋体" w:cs="宋体"/>
                <w:color w:val="auto"/>
                <w:szCs w:val="21"/>
                <w:highlight w:val="none"/>
              </w:rPr>
            </w:pPr>
            <w:r>
              <w:rPr>
                <w:rFonts w:hint="eastAsia" w:ascii="宋体" w:hAnsi="宋体" w:cs="宋体"/>
                <w:color w:val="auto"/>
                <w:szCs w:val="21"/>
                <w:highlight w:val="none"/>
              </w:rPr>
              <w:t>资源配备计划</w:t>
            </w:r>
          </w:p>
        </w:tc>
        <w:tc>
          <w:tcPr>
            <w:tcW w:w="3864" w:type="dxa"/>
            <w:vAlign w:val="center"/>
          </w:tcPr>
          <w:p w14:paraId="56546439">
            <w:pPr>
              <w:jc w:val="left"/>
              <w:rPr>
                <w:rFonts w:hint="eastAsia" w:ascii="宋体" w:hAnsi="宋体" w:cs="宋体"/>
                <w:color w:val="auto"/>
                <w:szCs w:val="21"/>
                <w:highlight w:val="none"/>
              </w:rPr>
            </w:pPr>
            <w:r>
              <w:rPr>
                <w:rFonts w:hint="eastAsia" w:ascii="宋体" w:hAnsi="宋体" w:cs="宋体"/>
                <w:color w:val="auto"/>
                <w:szCs w:val="21"/>
                <w:highlight w:val="none"/>
              </w:rPr>
              <w:t>资源投入计划与施工部署、施工方法及进度计划是否能够相互呼应并较好满足施工需要，调配投入计划是否合理、准确。</w:t>
            </w:r>
          </w:p>
        </w:tc>
        <w:tc>
          <w:tcPr>
            <w:tcW w:w="947" w:type="dxa"/>
            <w:gridSpan w:val="2"/>
            <w:vAlign w:val="center"/>
          </w:tcPr>
          <w:p w14:paraId="32E68371">
            <w:pPr>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840" w:type="dxa"/>
            <w:vAlign w:val="center"/>
          </w:tcPr>
          <w:p w14:paraId="7C53299F">
            <w:pPr>
              <w:jc w:val="center"/>
              <w:rPr>
                <w:color w:val="auto"/>
                <w:highlight w:val="none"/>
              </w:rPr>
            </w:pPr>
          </w:p>
        </w:tc>
      </w:tr>
      <w:tr w14:paraId="1A84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26" w:type="dxa"/>
            <w:vMerge w:val="continue"/>
            <w:vAlign w:val="center"/>
          </w:tcPr>
          <w:p w14:paraId="26D3CE4E">
            <w:pPr>
              <w:jc w:val="center"/>
              <w:rPr>
                <w:rFonts w:hint="eastAsia" w:ascii="宋体" w:hAnsi="宋体" w:cs="宋体"/>
                <w:color w:val="auto"/>
                <w:szCs w:val="21"/>
                <w:highlight w:val="none"/>
              </w:rPr>
            </w:pPr>
          </w:p>
        </w:tc>
        <w:tc>
          <w:tcPr>
            <w:tcW w:w="8835" w:type="dxa"/>
            <w:gridSpan w:val="7"/>
            <w:vAlign w:val="center"/>
          </w:tcPr>
          <w:p w14:paraId="0C7D7D6C">
            <w:pPr>
              <w:pStyle w:val="15"/>
              <w:rPr>
                <w:color w:val="auto"/>
                <w:highlight w:val="none"/>
              </w:rPr>
            </w:pPr>
            <w:r>
              <w:rPr>
                <w:rFonts w:hint="eastAsia"/>
                <w:color w:val="auto"/>
                <w:highlight w:val="none"/>
              </w:rPr>
              <w:t>1.施工组织设计采用暗标形式，投标文件施工组织设计内出现投标人名称或者出现任何能直接判断出投标人名称的内容，评标委员会应当否决其投标。</w:t>
            </w:r>
          </w:p>
          <w:p w14:paraId="23C15899">
            <w:pPr>
              <w:pStyle w:val="15"/>
              <w:rPr>
                <w:color w:val="auto"/>
                <w:highlight w:val="none"/>
              </w:rPr>
            </w:pPr>
            <w:r>
              <w:rPr>
                <w:rFonts w:hint="eastAsia"/>
                <w:color w:val="auto"/>
                <w:highlight w:val="none"/>
              </w:rPr>
              <w:t>2.评审因素细分项缺项或者同一评审因素细分项被超过一半评标委员会成员判定为不合格的，该细分项计零分，评标委员会应当根据评审标准内容注明详细理由和依据。</w:t>
            </w:r>
          </w:p>
          <w:p w14:paraId="2A2D9D26">
            <w:pPr>
              <w:pStyle w:val="15"/>
              <w:rPr>
                <w:color w:val="auto"/>
                <w:highlight w:val="none"/>
              </w:rPr>
            </w:pPr>
            <w:r>
              <w:rPr>
                <w:rFonts w:hint="eastAsia"/>
                <w:color w:val="auto"/>
                <w:highlight w:val="none"/>
              </w:rPr>
              <w:t>3.评标委员会对施工组织设计评审因素进行评审，在各评审因素细分项均能满足响应的情况下，其得分不应低于招标文件规定该评审因素满分值的85%，评分分值低于满分值85%的，评标委员会成员应当在评标报告中做出说明并注明详细理由和依据，不得采用笼统或简单的“一般、差”等表述。</w:t>
            </w:r>
          </w:p>
          <w:p w14:paraId="1E75853D">
            <w:pPr>
              <w:pStyle w:val="15"/>
              <w:rPr>
                <w:rFonts w:hint="eastAsia" w:ascii="宋体" w:hAnsi="宋体" w:cs="宋体"/>
                <w:color w:val="auto"/>
                <w:szCs w:val="21"/>
                <w:highlight w:val="none"/>
              </w:rPr>
            </w:pPr>
            <w:r>
              <w:rPr>
                <w:rFonts w:hint="eastAsia"/>
                <w:color w:val="auto"/>
                <w:highlight w:val="none"/>
              </w:rPr>
              <w:t xml:space="preserve">4.专家成员总数为 7 人及以上时，投标人施工组织设计得分应以分别去掉一个最高分和一个最低分后计算的平均值确定。 </w:t>
            </w:r>
          </w:p>
        </w:tc>
      </w:tr>
      <w:tr w14:paraId="0A40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Align w:val="center"/>
          </w:tcPr>
          <w:p w14:paraId="4328FEE6">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424" w:type="dxa"/>
            <w:gridSpan w:val="2"/>
            <w:vAlign w:val="center"/>
          </w:tcPr>
          <w:p w14:paraId="5929B4C0">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46104918">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4966" w:type="dxa"/>
            <w:gridSpan w:val="3"/>
            <w:vAlign w:val="center"/>
          </w:tcPr>
          <w:p w14:paraId="6F3FCB99">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445" w:type="dxa"/>
            <w:gridSpan w:val="2"/>
            <w:vAlign w:val="center"/>
          </w:tcPr>
          <w:p w14:paraId="1CFE1BC4">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5DB9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restart"/>
            <w:vAlign w:val="center"/>
          </w:tcPr>
          <w:p w14:paraId="75DDF1D4">
            <w:pPr>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835" w:type="dxa"/>
            <w:gridSpan w:val="7"/>
            <w:vAlign w:val="center"/>
          </w:tcPr>
          <w:p w14:paraId="11E5BF09">
            <w:pPr>
              <w:jc w:val="center"/>
              <w:rPr>
                <w:rFonts w:hint="eastAsia" w:ascii="宋体" w:hAnsi="宋体" w:cs="宋体"/>
                <w:bCs/>
                <w:color w:val="auto"/>
                <w:szCs w:val="21"/>
                <w:highlight w:val="none"/>
              </w:rPr>
            </w:pPr>
            <w:r>
              <w:rPr>
                <w:rFonts w:hint="eastAsia" w:ascii="宋体" w:hAnsi="宋体" w:cs="宋体"/>
                <w:color w:val="auto"/>
                <w:szCs w:val="21"/>
                <w:highlight w:val="none"/>
              </w:rPr>
              <w:t>商务部分评审</w:t>
            </w:r>
          </w:p>
        </w:tc>
      </w:tr>
      <w:tr w14:paraId="196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6" w:type="dxa"/>
            <w:vMerge w:val="continue"/>
            <w:vAlign w:val="center"/>
          </w:tcPr>
          <w:p w14:paraId="200C2695">
            <w:pPr>
              <w:jc w:val="center"/>
              <w:rPr>
                <w:rFonts w:hint="eastAsia" w:ascii="宋体" w:hAnsi="宋体" w:cs="宋体"/>
                <w:color w:val="auto"/>
                <w:szCs w:val="21"/>
                <w:highlight w:val="none"/>
              </w:rPr>
            </w:pPr>
          </w:p>
        </w:tc>
        <w:tc>
          <w:tcPr>
            <w:tcW w:w="2424" w:type="dxa"/>
            <w:gridSpan w:val="2"/>
            <w:vAlign w:val="center"/>
          </w:tcPr>
          <w:p w14:paraId="305A7411">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      类似业绩</w:t>
            </w:r>
          </w:p>
        </w:tc>
        <w:tc>
          <w:tcPr>
            <w:tcW w:w="4966" w:type="dxa"/>
            <w:gridSpan w:val="3"/>
            <w:vAlign w:val="center"/>
          </w:tcPr>
          <w:p w14:paraId="12901400">
            <w:pPr>
              <w:jc w:val="left"/>
              <w:rPr>
                <w:rFonts w:hint="eastAsia" w:ascii="宋体" w:hAnsi="宋体" w:cs="宋体"/>
                <w:color w:val="auto"/>
                <w:szCs w:val="21"/>
                <w:highlight w:val="none"/>
              </w:rPr>
            </w:pPr>
            <w:r>
              <w:rPr>
                <w:rFonts w:hint="eastAsia" w:ascii="Calibri" w:hAnsi="Calibri" w:cs="Calibri"/>
                <w:color w:val="auto"/>
                <w:szCs w:val="21"/>
                <w:highlight w:val="none"/>
              </w:rPr>
              <w:t>详见投标须知前附表6.4中“评审加分的投标人类似工程业绩”要求。</w:t>
            </w:r>
          </w:p>
        </w:tc>
        <w:tc>
          <w:tcPr>
            <w:tcW w:w="1445" w:type="dxa"/>
            <w:gridSpan w:val="2"/>
            <w:vAlign w:val="center"/>
          </w:tcPr>
          <w:p w14:paraId="773AC5A7">
            <w:pPr>
              <w:jc w:val="center"/>
              <w:rPr>
                <w:rFonts w:hint="eastAsia" w:ascii="宋体" w:hAnsi="宋体" w:cs="宋体"/>
                <w:color w:val="auto"/>
                <w:szCs w:val="21"/>
                <w:highlight w:val="none"/>
              </w:rPr>
            </w:pPr>
          </w:p>
        </w:tc>
      </w:tr>
      <w:tr w14:paraId="342E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26" w:type="dxa"/>
            <w:vMerge w:val="continue"/>
            <w:vAlign w:val="center"/>
          </w:tcPr>
          <w:p w14:paraId="29C0CBBA">
            <w:pPr>
              <w:jc w:val="center"/>
              <w:rPr>
                <w:rFonts w:hint="eastAsia" w:ascii="宋体" w:hAnsi="宋体" w:cs="宋体"/>
                <w:color w:val="auto"/>
                <w:szCs w:val="21"/>
                <w:highlight w:val="none"/>
              </w:rPr>
            </w:pPr>
          </w:p>
        </w:tc>
        <w:tc>
          <w:tcPr>
            <w:tcW w:w="2424" w:type="dxa"/>
            <w:gridSpan w:val="2"/>
            <w:vAlign w:val="center"/>
          </w:tcPr>
          <w:p w14:paraId="491DEB7C">
            <w:pPr>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4966" w:type="dxa"/>
            <w:gridSpan w:val="3"/>
            <w:vAlign w:val="center"/>
          </w:tcPr>
          <w:p w14:paraId="2388098C">
            <w:pPr>
              <w:jc w:val="left"/>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详见投标须知前附表10.9信用评价要求</w:t>
            </w:r>
          </w:p>
        </w:tc>
        <w:tc>
          <w:tcPr>
            <w:tcW w:w="1445" w:type="dxa"/>
            <w:gridSpan w:val="2"/>
            <w:vAlign w:val="center"/>
          </w:tcPr>
          <w:p w14:paraId="6CF12C74">
            <w:pPr>
              <w:jc w:val="center"/>
              <w:rPr>
                <w:rFonts w:hint="eastAsia" w:ascii="宋体" w:hAnsi="宋体" w:cs="宋体"/>
                <w:color w:val="auto"/>
                <w:szCs w:val="21"/>
                <w:highlight w:val="none"/>
              </w:rPr>
            </w:pPr>
          </w:p>
        </w:tc>
      </w:tr>
      <w:tr w14:paraId="429C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026" w:type="dxa"/>
            <w:vMerge w:val="continue"/>
            <w:vAlign w:val="center"/>
          </w:tcPr>
          <w:p w14:paraId="423558D8">
            <w:pPr>
              <w:jc w:val="center"/>
              <w:rPr>
                <w:rFonts w:hint="eastAsia" w:ascii="宋体" w:hAnsi="宋体" w:cs="宋体"/>
                <w:color w:val="auto"/>
                <w:szCs w:val="21"/>
                <w:highlight w:val="none"/>
              </w:rPr>
            </w:pPr>
          </w:p>
        </w:tc>
        <w:tc>
          <w:tcPr>
            <w:tcW w:w="2424" w:type="dxa"/>
            <w:gridSpan w:val="2"/>
            <w:vAlign w:val="center"/>
          </w:tcPr>
          <w:p w14:paraId="0D709BA8">
            <w:pPr>
              <w:jc w:val="left"/>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项目经理类似工程业绩：如不选择项目经理业绩，此部分权重由系统自动平移至报价权重分值中。</w:t>
            </w:r>
          </w:p>
        </w:tc>
        <w:tc>
          <w:tcPr>
            <w:tcW w:w="4966" w:type="dxa"/>
            <w:gridSpan w:val="3"/>
            <w:vAlign w:val="center"/>
          </w:tcPr>
          <w:p w14:paraId="119BD4C2">
            <w:pPr>
              <w:snapToGrid w:val="0"/>
              <w:jc w:val="left"/>
              <w:rPr>
                <w:rFonts w:hint="eastAsia" w:ascii="仿宋_GB2312" w:hAnsi="仿宋_GB2312" w:cs="仿宋_GB2312"/>
                <w:color w:val="auto"/>
                <w:highlight w:val="none"/>
              </w:rPr>
            </w:pPr>
            <w:r>
              <w:rPr>
                <w:rFonts w:hint="eastAsia" w:ascii="Calibri" w:hAnsi="Calibri" w:cs="Calibri"/>
                <w:color w:val="auto"/>
                <w:szCs w:val="21"/>
                <w:highlight w:val="none"/>
              </w:rPr>
              <w:t>详见投标须知 前附表6.4中“评审加分的项目经理类似工程业绩”要求。</w:t>
            </w:r>
          </w:p>
        </w:tc>
        <w:tc>
          <w:tcPr>
            <w:tcW w:w="1445" w:type="dxa"/>
            <w:gridSpan w:val="2"/>
            <w:vAlign w:val="center"/>
          </w:tcPr>
          <w:p w14:paraId="1EF002BE">
            <w:pPr>
              <w:jc w:val="center"/>
              <w:rPr>
                <w:rFonts w:hint="eastAsia" w:ascii="宋体" w:hAnsi="宋体" w:cs="宋体"/>
                <w:color w:val="auto"/>
                <w:szCs w:val="21"/>
                <w:highlight w:val="none"/>
              </w:rPr>
            </w:pPr>
          </w:p>
        </w:tc>
      </w:tr>
      <w:tr w14:paraId="7270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26" w:type="dxa"/>
            <w:vAlign w:val="center"/>
          </w:tcPr>
          <w:p w14:paraId="36112A45">
            <w:pPr>
              <w:jc w:val="center"/>
              <w:rPr>
                <w:rFonts w:hint="eastAsia" w:ascii="宋体" w:hAnsi="宋体" w:cs="宋体"/>
                <w:color w:val="auto"/>
                <w:szCs w:val="21"/>
                <w:highlight w:val="none"/>
              </w:rPr>
            </w:pPr>
          </w:p>
        </w:tc>
        <w:tc>
          <w:tcPr>
            <w:tcW w:w="2424" w:type="dxa"/>
            <w:gridSpan w:val="2"/>
            <w:vAlign w:val="center"/>
          </w:tcPr>
          <w:p w14:paraId="322A4570">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奖项和发明专利</w:t>
            </w:r>
          </w:p>
        </w:tc>
        <w:tc>
          <w:tcPr>
            <w:tcW w:w="4966" w:type="dxa"/>
            <w:gridSpan w:val="3"/>
            <w:vAlign w:val="center"/>
          </w:tcPr>
          <w:p w14:paraId="05B4FA79">
            <w:pPr>
              <w:jc w:val="left"/>
              <w:rPr>
                <w:rFonts w:hint="eastAsia" w:ascii="仿宋_GB2312" w:hAnsi="仿宋_GB2312" w:cs="仿宋_GB2312"/>
                <w:color w:val="auto"/>
                <w:highlight w:val="none"/>
              </w:rPr>
            </w:pPr>
            <w:r>
              <w:rPr>
                <w:rFonts w:hint="eastAsia" w:ascii="Calibri" w:hAnsi="Calibri" w:cs="Calibri"/>
                <w:color w:val="auto"/>
                <w:szCs w:val="21"/>
                <w:highlight w:val="none"/>
              </w:rPr>
              <w:t>详见投标须知前附表6.4中“奖项和发明专利要求”。</w:t>
            </w:r>
            <w:r>
              <w:rPr>
                <w:color w:val="auto"/>
                <w:szCs w:val="21"/>
                <w:highlight w:val="none"/>
              </w:rPr>
              <w:t xml:space="preserve">    </w:t>
            </w:r>
          </w:p>
        </w:tc>
        <w:tc>
          <w:tcPr>
            <w:tcW w:w="1445" w:type="dxa"/>
            <w:gridSpan w:val="2"/>
            <w:vAlign w:val="center"/>
          </w:tcPr>
          <w:p w14:paraId="16EAFF5F">
            <w:pPr>
              <w:jc w:val="center"/>
              <w:rPr>
                <w:rFonts w:hint="eastAsia" w:ascii="宋体" w:hAnsi="宋体" w:cs="宋体"/>
                <w:color w:val="auto"/>
                <w:szCs w:val="21"/>
                <w:highlight w:val="none"/>
              </w:rPr>
            </w:pPr>
          </w:p>
        </w:tc>
      </w:tr>
    </w:tbl>
    <w:tbl>
      <w:tblPr>
        <w:tblStyle w:val="41"/>
        <w:tblpPr w:leftFromText="180" w:rightFromText="180" w:vertAnchor="text" w:horzAnchor="page" w:tblpX="1109" w:tblpY="168"/>
        <w:tblOverlap w:val="never"/>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820"/>
      </w:tblGrid>
      <w:tr w14:paraId="512A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050" w:type="dxa"/>
            <w:vAlign w:val="center"/>
          </w:tcPr>
          <w:p w14:paraId="64AABF4F">
            <w:pPr>
              <w:spacing w:line="360" w:lineRule="auto"/>
              <w:jc w:val="center"/>
              <w:rPr>
                <w:rFonts w:hint="eastAsia" w:ascii="宋体" w:hAnsi="宋体" w:cs="宋体"/>
                <w:bCs/>
                <w:color w:val="auto"/>
                <w:szCs w:val="21"/>
                <w:highlight w:val="none"/>
              </w:rPr>
            </w:pPr>
          </w:p>
        </w:tc>
        <w:tc>
          <w:tcPr>
            <w:tcW w:w="8820" w:type="dxa"/>
            <w:vAlign w:val="center"/>
          </w:tcPr>
          <w:p w14:paraId="291DE0AA">
            <w:pPr>
              <w:rPr>
                <w:rFonts w:hint="eastAsia" w:ascii="宋体" w:hAnsi="宋体" w:cs="宋体"/>
                <w:color w:val="auto"/>
                <w:szCs w:val="21"/>
                <w:highlight w:val="none"/>
              </w:rPr>
            </w:pPr>
            <w:r>
              <w:rPr>
                <w:rFonts w:hint="eastAsia" w:ascii="宋体" w:hAnsi="宋体" w:cs="宋体"/>
                <w:bCs/>
                <w:color w:val="auto"/>
                <w:szCs w:val="21"/>
                <w:highlight w:val="none"/>
              </w:rPr>
              <w:t>评审</w:t>
            </w:r>
            <w:r>
              <w:rPr>
                <w:rFonts w:hint="eastAsia" w:ascii="宋体" w:hAnsi="宋体" w:cs="宋体"/>
                <w:color w:val="auto"/>
                <w:szCs w:val="21"/>
                <w:highlight w:val="none"/>
              </w:rPr>
              <w:t>期限和依据</w:t>
            </w:r>
          </w:p>
          <w:tbl>
            <w:tblPr>
              <w:tblStyle w:val="4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2237"/>
              <w:gridCol w:w="3078"/>
              <w:gridCol w:w="1604"/>
            </w:tblGrid>
            <w:tr w14:paraId="7E13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2651" w:type="dxa"/>
                  <w:vAlign w:val="center"/>
                </w:tcPr>
                <w:p w14:paraId="3C368C0D">
                  <w:pPr>
                    <w:jc w:val="center"/>
                    <w:rPr>
                      <w:rFonts w:hint="eastAsia" w:ascii="宋体" w:hAnsi="宋体" w:cs="宋体"/>
                      <w:color w:val="auto"/>
                      <w:szCs w:val="21"/>
                      <w:highlight w:val="none"/>
                    </w:rPr>
                  </w:pPr>
                  <w:r>
                    <w:rPr>
                      <w:rFonts w:hint="eastAsia" w:ascii="宋体" w:hAnsi="宋体" w:cs="宋体"/>
                      <w:color w:val="auto"/>
                      <w:szCs w:val="21"/>
                      <w:highlight w:val="none"/>
                    </w:rPr>
                    <w:t>奖项名称</w:t>
                  </w:r>
                </w:p>
              </w:tc>
              <w:tc>
                <w:tcPr>
                  <w:tcW w:w="2237" w:type="dxa"/>
                  <w:vAlign w:val="center"/>
                </w:tcPr>
                <w:p w14:paraId="1BD55A52">
                  <w:pPr>
                    <w:jc w:val="left"/>
                    <w:rPr>
                      <w:rFonts w:hint="eastAsia" w:ascii="宋体" w:hAnsi="宋体" w:cs="宋体"/>
                      <w:color w:val="auto"/>
                      <w:szCs w:val="21"/>
                      <w:highlight w:val="none"/>
                    </w:rPr>
                  </w:pPr>
                  <w:r>
                    <w:rPr>
                      <w:rFonts w:hint="eastAsia" w:ascii="宋体" w:hAnsi="宋体" w:cs="宋体"/>
                      <w:color w:val="auto"/>
                      <w:szCs w:val="21"/>
                      <w:highlight w:val="none"/>
                    </w:rPr>
                    <w:t>颁奖单位</w:t>
                  </w:r>
                </w:p>
              </w:tc>
              <w:tc>
                <w:tcPr>
                  <w:tcW w:w="3078" w:type="dxa"/>
                  <w:vAlign w:val="center"/>
                </w:tcPr>
                <w:p w14:paraId="552D4969">
                  <w:pPr>
                    <w:jc w:val="left"/>
                    <w:rPr>
                      <w:rFonts w:hint="eastAsia" w:ascii="宋体" w:hAnsi="宋体" w:cs="宋体"/>
                      <w:color w:val="auto"/>
                      <w:szCs w:val="21"/>
                      <w:highlight w:val="none"/>
                    </w:rPr>
                  </w:pPr>
                  <w:r>
                    <w:rPr>
                      <w:rFonts w:hint="eastAsia" w:ascii="宋体" w:hAnsi="宋体" w:cs="宋体"/>
                      <w:color w:val="auto"/>
                      <w:szCs w:val="21"/>
                      <w:highlight w:val="none"/>
                    </w:rPr>
                    <w:t>考核依据</w:t>
                  </w:r>
                </w:p>
              </w:tc>
              <w:tc>
                <w:tcPr>
                  <w:tcW w:w="1604" w:type="dxa"/>
                  <w:vAlign w:val="center"/>
                </w:tcPr>
                <w:p w14:paraId="45466BA7">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考核期限 </w:t>
                  </w:r>
                </w:p>
              </w:tc>
            </w:tr>
            <w:tr w14:paraId="4CA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651" w:type="dxa"/>
                  <w:vAlign w:val="center"/>
                </w:tcPr>
                <w:p w14:paraId="52EB4D7F">
                  <w:pPr>
                    <w:jc w:val="center"/>
                    <w:rPr>
                      <w:rFonts w:hint="eastAsia" w:ascii="宋体" w:hAnsi="宋体" w:cs="宋体"/>
                      <w:color w:val="auto"/>
                      <w:szCs w:val="21"/>
                      <w:highlight w:val="none"/>
                    </w:rPr>
                  </w:pPr>
                  <w:r>
                    <w:rPr>
                      <w:rFonts w:hint="eastAsia" w:ascii="宋体" w:hAnsi="宋体" w:cs="宋体"/>
                      <w:color w:val="auto"/>
                      <w:szCs w:val="21"/>
                      <w:highlight w:val="none"/>
                    </w:rPr>
                    <w:t>国家级科学技术奖</w:t>
                  </w:r>
                </w:p>
              </w:tc>
              <w:tc>
                <w:tcPr>
                  <w:tcW w:w="2237" w:type="dxa"/>
                  <w:vAlign w:val="center"/>
                </w:tcPr>
                <w:p w14:paraId="0438164F">
                  <w:pPr>
                    <w:rPr>
                      <w:rFonts w:hint="eastAsia" w:ascii="宋体" w:hAnsi="宋体" w:cs="宋体"/>
                      <w:color w:val="auto"/>
                      <w:szCs w:val="21"/>
                      <w:highlight w:val="none"/>
                    </w:rPr>
                  </w:pPr>
                  <w:r>
                    <w:rPr>
                      <w:rFonts w:hint="eastAsia" w:ascii="宋体" w:hAnsi="宋体" w:cs="宋体"/>
                      <w:color w:val="auto"/>
                      <w:szCs w:val="21"/>
                      <w:highlight w:val="none"/>
                    </w:rPr>
                    <w:t>《导则》发文部门统一规定</w:t>
                  </w:r>
                </w:p>
              </w:tc>
              <w:tc>
                <w:tcPr>
                  <w:tcW w:w="3078" w:type="dxa"/>
                  <w:vAlign w:val="center"/>
                </w:tcPr>
                <w:p w14:paraId="7C2A025C">
                  <w:pPr>
                    <w:rPr>
                      <w:rFonts w:hint="eastAsia" w:ascii="宋体" w:hAnsi="宋体" w:cs="宋体"/>
                      <w:color w:val="auto"/>
                      <w:szCs w:val="21"/>
                      <w:highlight w:val="none"/>
                    </w:rPr>
                  </w:pPr>
                  <w:r>
                    <w:rPr>
                      <w:rFonts w:hint="eastAsia" w:ascii="宋体" w:hAnsi="宋体" w:cs="宋体"/>
                      <w:color w:val="auto"/>
                      <w:szCs w:val="21"/>
                      <w:highlight w:val="none"/>
                    </w:rPr>
                    <w:t>《导则》发文部门统一规定</w:t>
                  </w:r>
                </w:p>
              </w:tc>
              <w:tc>
                <w:tcPr>
                  <w:tcW w:w="1604" w:type="dxa"/>
                  <w:vAlign w:val="center"/>
                </w:tcPr>
                <w:p w14:paraId="37F58BD0">
                  <w:pPr>
                    <w:jc w:val="left"/>
                    <w:rPr>
                      <w:rFonts w:hint="eastAsia" w:ascii="宋体" w:hAnsi="宋体" w:cs="宋体"/>
                      <w:color w:val="auto"/>
                      <w:szCs w:val="21"/>
                      <w:highlight w:val="none"/>
                    </w:rPr>
                  </w:pPr>
                  <w:r>
                    <w:rPr>
                      <w:rFonts w:hint="eastAsia" w:ascii="宋体" w:hAnsi="宋体" w:cs="宋体"/>
                      <w:color w:val="auto"/>
                      <w:szCs w:val="21"/>
                      <w:highlight w:val="none"/>
                    </w:rPr>
                    <w:t>3年</w:t>
                  </w:r>
                </w:p>
              </w:tc>
            </w:tr>
            <w:tr w14:paraId="7964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651" w:type="dxa"/>
                  <w:vAlign w:val="center"/>
                </w:tcPr>
                <w:p w14:paraId="54000EA2">
                  <w:pPr>
                    <w:jc w:val="center"/>
                    <w:rPr>
                      <w:rFonts w:hint="eastAsia" w:ascii="宋体" w:hAnsi="宋体" w:cs="宋体"/>
                      <w:color w:val="auto"/>
                      <w:szCs w:val="21"/>
                      <w:highlight w:val="none"/>
                    </w:rPr>
                  </w:pPr>
                  <w:r>
                    <w:rPr>
                      <w:rFonts w:hint="eastAsia" w:ascii="宋体" w:hAnsi="宋体" w:cs="宋体"/>
                      <w:color w:val="auto"/>
                      <w:szCs w:val="21"/>
                      <w:highlight w:val="none"/>
                    </w:rPr>
                    <w:t>省级科学技术奖</w:t>
                  </w:r>
                </w:p>
              </w:tc>
              <w:tc>
                <w:tcPr>
                  <w:tcW w:w="2237" w:type="dxa"/>
                  <w:vAlign w:val="center"/>
                </w:tcPr>
                <w:p w14:paraId="142B29E3">
                  <w:pPr>
                    <w:rPr>
                      <w:rFonts w:hint="eastAsia" w:ascii="宋体" w:hAnsi="宋体" w:cs="宋体"/>
                      <w:color w:val="auto"/>
                      <w:szCs w:val="21"/>
                      <w:highlight w:val="none"/>
                    </w:rPr>
                  </w:pPr>
                  <w:r>
                    <w:rPr>
                      <w:rFonts w:hint="eastAsia" w:ascii="宋体" w:hAnsi="宋体" w:cs="宋体"/>
                      <w:color w:val="auto"/>
                      <w:szCs w:val="21"/>
                      <w:highlight w:val="none"/>
                    </w:rPr>
                    <w:t>《导则》发文部门统一规定</w:t>
                  </w:r>
                </w:p>
              </w:tc>
              <w:tc>
                <w:tcPr>
                  <w:tcW w:w="3078" w:type="dxa"/>
                  <w:vAlign w:val="center"/>
                </w:tcPr>
                <w:p w14:paraId="1AC7BCF6">
                  <w:pPr>
                    <w:rPr>
                      <w:rFonts w:hint="eastAsia" w:ascii="宋体" w:hAnsi="宋体" w:cs="宋体"/>
                      <w:color w:val="auto"/>
                      <w:szCs w:val="21"/>
                      <w:highlight w:val="none"/>
                    </w:rPr>
                  </w:pPr>
                  <w:r>
                    <w:rPr>
                      <w:rFonts w:hint="eastAsia" w:ascii="宋体" w:hAnsi="宋体" w:cs="宋体"/>
                      <w:color w:val="auto"/>
                      <w:szCs w:val="21"/>
                      <w:highlight w:val="none"/>
                    </w:rPr>
                    <w:t>《导则》发文部门统一规定</w:t>
                  </w:r>
                </w:p>
              </w:tc>
              <w:tc>
                <w:tcPr>
                  <w:tcW w:w="1604" w:type="dxa"/>
                  <w:vAlign w:val="center"/>
                </w:tcPr>
                <w:p w14:paraId="0D2B47A7">
                  <w:pPr>
                    <w:jc w:val="left"/>
                    <w:rPr>
                      <w:rFonts w:hint="eastAsia" w:ascii="宋体" w:hAnsi="宋体" w:cs="宋体"/>
                      <w:color w:val="auto"/>
                      <w:szCs w:val="21"/>
                      <w:highlight w:val="none"/>
                    </w:rPr>
                  </w:pPr>
                  <w:r>
                    <w:rPr>
                      <w:rFonts w:hint="eastAsia" w:ascii="宋体" w:hAnsi="宋体" w:cs="宋体"/>
                      <w:color w:val="auto"/>
                      <w:szCs w:val="21"/>
                      <w:highlight w:val="none"/>
                    </w:rPr>
                    <w:t>3年</w:t>
                  </w:r>
                </w:p>
              </w:tc>
            </w:tr>
            <w:tr w14:paraId="2647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51" w:type="dxa"/>
                  <w:vAlign w:val="center"/>
                </w:tcPr>
                <w:p w14:paraId="451F07CD">
                  <w:pPr>
                    <w:jc w:val="center"/>
                    <w:rPr>
                      <w:rFonts w:hint="eastAsia" w:ascii="宋体" w:hAnsi="宋体" w:cs="宋体"/>
                      <w:color w:val="auto"/>
                      <w:szCs w:val="21"/>
                      <w:highlight w:val="none"/>
                    </w:rPr>
                  </w:pPr>
                  <w:r>
                    <w:rPr>
                      <w:rFonts w:hint="eastAsia" w:ascii="宋体" w:hAnsi="宋体" w:cs="宋体"/>
                      <w:color w:val="auto"/>
                      <w:szCs w:val="21"/>
                      <w:highlight w:val="none"/>
                    </w:rPr>
                    <w:t>鲁班奖</w:t>
                  </w:r>
                </w:p>
              </w:tc>
              <w:tc>
                <w:tcPr>
                  <w:tcW w:w="2237" w:type="dxa"/>
                  <w:vAlign w:val="center"/>
                </w:tcPr>
                <w:p w14:paraId="42FB66B9">
                  <w:pPr>
                    <w:jc w:val="left"/>
                    <w:rPr>
                      <w:rFonts w:hint="eastAsia" w:ascii="宋体" w:hAnsi="宋体" w:cs="宋体"/>
                      <w:color w:val="auto"/>
                      <w:szCs w:val="21"/>
                      <w:highlight w:val="none"/>
                    </w:rPr>
                  </w:pPr>
                  <w:r>
                    <w:rPr>
                      <w:rFonts w:hint="eastAsia" w:ascii="宋体" w:hAnsi="宋体" w:cs="宋体"/>
                      <w:color w:val="auto"/>
                      <w:szCs w:val="21"/>
                      <w:highlight w:val="none"/>
                    </w:rPr>
                    <w:t>中国建筑业协会</w:t>
                  </w:r>
                </w:p>
              </w:tc>
              <w:tc>
                <w:tcPr>
                  <w:tcW w:w="3078" w:type="dxa"/>
                  <w:vAlign w:val="center"/>
                </w:tcPr>
                <w:p w14:paraId="5E5FBE75">
                  <w:pPr>
                    <w:jc w:val="left"/>
                    <w:rPr>
                      <w:rFonts w:hint="eastAsia" w:ascii="宋体" w:hAnsi="宋体" w:cs="宋体"/>
                      <w:color w:val="auto"/>
                      <w:szCs w:val="21"/>
                      <w:highlight w:val="none"/>
                    </w:rPr>
                  </w:pPr>
                  <w:r>
                    <w:rPr>
                      <w:rFonts w:hint="eastAsia" w:ascii="宋体" w:hAnsi="宋体" w:cs="宋体"/>
                      <w:color w:val="auto"/>
                      <w:szCs w:val="21"/>
                      <w:highlight w:val="none"/>
                    </w:rPr>
                    <w:t>（1）《关于公布〈20XX～20XX年度第X批中国建设工程鲁班奖（国家优质工程）入选名单〉的通知》</w:t>
                  </w:r>
                </w:p>
                <w:p w14:paraId="0FCD3E95">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（2）《关于颁发〈20XX～20XX年度中国建设工程鲁班奖（国家优质工程）〉的决定》   </w:t>
                  </w:r>
                </w:p>
              </w:tc>
              <w:tc>
                <w:tcPr>
                  <w:tcW w:w="1604" w:type="dxa"/>
                  <w:vAlign w:val="center"/>
                </w:tcPr>
                <w:p w14:paraId="2C826E77">
                  <w:pPr>
                    <w:jc w:val="left"/>
                    <w:rPr>
                      <w:rFonts w:hint="eastAsia" w:ascii="宋体" w:hAnsi="宋体" w:cs="宋体"/>
                      <w:color w:val="auto"/>
                      <w:szCs w:val="21"/>
                      <w:highlight w:val="none"/>
                    </w:rPr>
                  </w:pPr>
                  <w:r>
                    <w:rPr>
                      <w:rFonts w:hint="eastAsia" w:ascii="宋体" w:hAnsi="宋体" w:cs="宋体"/>
                      <w:color w:val="auto"/>
                      <w:szCs w:val="21"/>
                      <w:highlight w:val="none"/>
                    </w:rPr>
                    <w:t>3年</w:t>
                  </w:r>
                </w:p>
              </w:tc>
            </w:tr>
            <w:tr w14:paraId="7962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51" w:type="dxa"/>
                  <w:vAlign w:val="center"/>
                </w:tcPr>
                <w:p w14:paraId="15E20B9A">
                  <w:pPr>
                    <w:jc w:val="center"/>
                    <w:rPr>
                      <w:rFonts w:hint="eastAsia" w:ascii="宋体" w:hAnsi="宋体" w:cs="宋体"/>
                      <w:color w:val="auto"/>
                      <w:szCs w:val="21"/>
                      <w:highlight w:val="none"/>
                    </w:rPr>
                  </w:pPr>
                  <w:r>
                    <w:rPr>
                      <w:rFonts w:hint="eastAsia" w:ascii="宋体" w:hAnsi="宋体" w:cs="宋体"/>
                      <w:color w:val="auto"/>
                      <w:szCs w:val="21"/>
                      <w:highlight w:val="none"/>
                    </w:rPr>
                    <w:t>国家优质工程奖</w:t>
                  </w:r>
                </w:p>
              </w:tc>
              <w:tc>
                <w:tcPr>
                  <w:tcW w:w="2237" w:type="dxa"/>
                  <w:vAlign w:val="center"/>
                </w:tcPr>
                <w:p w14:paraId="4F2611C3">
                  <w:pPr>
                    <w:jc w:val="left"/>
                    <w:rPr>
                      <w:rFonts w:hint="eastAsia" w:ascii="宋体" w:hAnsi="宋体" w:cs="宋体"/>
                      <w:color w:val="auto"/>
                      <w:szCs w:val="21"/>
                      <w:highlight w:val="none"/>
                    </w:rPr>
                  </w:pPr>
                  <w:r>
                    <w:rPr>
                      <w:rFonts w:hint="eastAsia" w:ascii="宋体" w:hAnsi="宋体" w:cs="宋体"/>
                      <w:color w:val="auto"/>
                      <w:szCs w:val="21"/>
                      <w:highlight w:val="none"/>
                    </w:rPr>
                    <w:t>中国施工企业管理协会</w:t>
                  </w:r>
                </w:p>
              </w:tc>
              <w:tc>
                <w:tcPr>
                  <w:tcW w:w="3078" w:type="dxa"/>
                  <w:vAlign w:val="center"/>
                </w:tcPr>
                <w:p w14:paraId="3585D108">
                  <w:pPr>
                    <w:jc w:val="left"/>
                    <w:rPr>
                      <w:rFonts w:hint="eastAsia" w:ascii="宋体" w:hAnsi="宋体" w:cs="宋体"/>
                      <w:color w:val="auto"/>
                      <w:szCs w:val="21"/>
                      <w:highlight w:val="none"/>
                    </w:rPr>
                  </w:pPr>
                  <w:r>
                    <w:rPr>
                      <w:rFonts w:hint="eastAsia" w:ascii="宋体" w:hAnsi="宋体" w:cs="宋体"/>
                      <w:color w:val="auto"/>
                      <w:szCs w:val="21"/>
                      <w:highlight w:val="none"/>
                    </w:rPr>
                    <w:t>（1）《20XX-20XX年度第X批国家优质工程奖入选工程名单公告》</w:t>
                  </w:r>
                </w:p>
                <w:p w14:paraId="0D7048E6">
                  <w:pPr>
                    <w:jc w:val="left"/>
                    <w:rPr>
                      <w:rFonts w:hint="eastAsia" w:ascii="宋体" w:hAnsi="宋体" w:cs="宋体"/>
                      <w:color w:val="auto"/>
                      <w:szCs w:val="21"/>
                      <w:highlight w:val="none"/>
                    </w:rPr>
                  </w:pPr>
                  <w:r>
                    <w:rPr>
                      <w:rFonts w:hint="eastAsia" w:ascii="宋体" w:hAnsi="宋体" w:cs="宋体"/>
                      <w:color w:val="auto"/>
                      <w:szCs w:val="21"/>
                      <w:highlight w:val="none"/>
                    </w:rPr>
                    <w:t>（2）《关于表彰20XX-20XX年度国家优质工程奖的决定》</w:t>
                  </w:r>
                </w:p>
              </w:tc>
              <w:tc>
                <w:tcPr>
                  <w:tcW w:w="1604" w:type="dxa"/>
                  <w:vAlign w:val="center"/>
                </w:tcPr>
                <w:p w14:paraId="197F3752">
                  <w:pPr>
                    <w:jc w:val="left"/>
                    <w:rPr>
                      <w:rFonts w:hint="eastAsia" w:ascii="宋体" w:hAnsi="宋体" w:cs="宋体"/>
                      <w:color w:val="auto"/>
                      <w:szCs w:val="21"/>
                      <w:highlight w:val="none"/>
                    </w:rPr>
                  </w:pPr>
                  <w:r>
                    <w:rPr>
                      <w:rFonts w:hint="eastAsia" w:ascii="宋体" w:hAnsi="宋体" w:cs="宋体"/>
                      <w:color w:val="auto"/>
                      <w:szCs w:val="21"/>
                      <w:highlight w:val="none"/>
                    </w:rPr>
                    <w:t>3年</w:t>
                  </w:r>
                </w:p>
              </w:tc>
            </w:tr>
            <w:tr w14:paraId="4EED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51" w:type="dxa"/>
                  <w:vAlign w:val="center"/>
                </w:tcPr>
                <w:p w14:paraId="5D9C5CE2">
                  <w:pPr>
                    <w:jc w:val="center"/>
                    <w:rPr>
                      <w:rFonts w:hint="eastAsia" w:ascii="宋体" w:hAnsi="宋体" w:cs="宋体"/>
                      <w:color w:val="auto"/>
                      <w:szCs w:val="21"/>
                      <w:highlight w:val="none"/>
                    </w:rPr>
                  </w:pPr>
                  <w:r>
                    <w:rPr>
                      <w:rFonts w:hint="eastAsia" w:ascii="宋体" w:hAnsi="宋体" w:cs="宋体"/>
                      <w:color w:val="auto"/>
                      <w:szCs w:val="21"/>
                      <w:highlight w:val="none"/>
                    </w:rPr>
                    <w:t>省级综合工程</w:t>
                  </w:r>
                </w:p>
                <w:p w14:paraId="4FDE914F">
                  <w:pPr>
                    <w:jc w:val="center"/>
                    <w:rPr>
                      <w:rFonts w:hint="eastAsia" w:ascii="宋体" w:hAnsi="宋体" w:cs="宋体"/>
                      <w:color w:val="auto"/>
                      <w:szCs w:val="21"/>
                      <w:highlight w:val="none"/>
                    </w:rPr>
                  </w:pPr>
                  <w:r>
                    <w:rPr>
                      <w:rFonts w:hint="eastAsia" w:ascii="宋体" w:hAnsi="宋体" w:cs="宋体"/>
                      <w:color w:val="auto"/>
                      <w:szCs w:val="21"/>
                      <w:highlight w:val="none"/>
                    </w:rPr>
                    <w:t>质量奖</w:t>
                  </w:r>
                </w:p>
              </w:tc>
              <w:tc>
                <w:tcPr>
                  <w:tcW w:w="2237" w:type="dxa"/>
                  <w:vAlign w:val="center"/>
                </w:tcPr>
                <w:p w14:paraId="4D52B60F">
                  <w:pPr>
                    <w:jc w:val="left"/>
                    <w:rPr>
                      <w:rFonts w:hint="eastAsia" w:ascii="宋体" w:hAnsi="宋体" w:cs="宋体"/>
                      <w:color w:val="auto"/>
                      <w:szCs w:val="21"/>
                      <w:highlight w:val="none"/>
                    </w:rPr>
                  </w:pPr>
                  <w:r>
                    <w:rPr>
                      <w:rFonts w:hint="eastAsia" w:ascii="宋体" w:hAnsi="宋体" w:cs="宋体"/>
                      <w:color w:val="auto"/>
                      <w:szCs w:val="21"/>
                      <w:highlight w:val="none"/>
                    </w:rPr>
                    <w:t>省级建设行政主管部门或省级建筑业协会</w:t>
                  </w:r>
                </w:p>
              </w:tc>
              <w:tc>
                <w:tcPr>
                  <w:tcW w:w="3078" w:type="dxa"/>
                  <w:vAlign w:val="center"/>
                </w:tcPr>
                <w:p w14:paraId="2BAC04F0">
                  <w:pPr>
                    <w:jc w:val="left"/>
                    <w:rPr>
                      <w:rFonts w:hint="eastAsia" w:ascii="宋体" w:hAnsi="宋体" w:cs="宋体"/>
                      <w:color w:val="auto"/>
                      <w:szCs w:val="21"/>
                      <w:highlight w:val="none"/>
                    </w:rPr>
                  </w:pPr>
                  <w:r>
                    <w:rPr>
                      <w:rFonts w:hint="eastAsia" w:ascii="宋体" w:hAnsi="宋体" w:cs="宋体"/>
                      <w:color w:val="auto"/>
                      <w:szCs w:val="21"/>
                      <w:highlight w:val="none"/>
                    </w:rPr>
                    <w:t>公布文件</w:t>
                  </w:r>
                </w:p>
              </w:tc>
              <w:tc>
                <w:tcPr>
                  <w:tcW w:w="1604" w:type="dxa"/>
                  <w:vAlign w:val="center"/>
                </w:tcPr>
                <w:p w14:paraId="2AC8F06D">
                  <w:pPr>
                    <w:jc w:val="left"/>
                    <w:rPr>
                      <w:rFonts w:hint="eastAsia" w:ascii="宋体" w:hAnsi="宋体" w:cs="宋体"/>
                      <w:color w:val="auto"/>
                      <w:szCs w:val="21"/>
                      <w:highlight w:val="none"/>
                    </w:rPr>
                  </w:pPr>
                  <w:r>
                    <w:rPr>
                      <w:rFonts w:hint="eastAsia" w:ascii="宋体" w:hAnsi="宋体" w:cs="宋体"/>
                      <w:color w:val="auto"/>
                      <w:szCs w:val="21"/>
                      <w:highlight w:val="none"/>
                    </w:rPr>
                    <w:t>3年</w:t>
                  </w:r>
                </w:p>
              </w:tc>
            </w:tr>
          </w:tbl>
          <w:p w14:paraId="705D6505">
            <w:pPr>
              <w:jc w:val="left"/>
              <w:rPr>
                <w:rFonts w:hint="eastAsia" w:ascii="宋体" w:hAnsi="宋体" w:cs="宋体"/>
                <w:color w:val="auto"/>
                <w:szCs w:val="21"/>
                <w:highlight w:val="none"/>
              </w:rPr>
            </w:pPr>
            <w:r>
              <w:rPr>
                <w:rFonts w:hint="eastAsia" w:ascii="宋体" w:hAnsi="宋体" w:cs="宋体"/>
                <w:color w:val="auto"/>
                <w:szCs w:val="21"/>
                <w:highlight w:val="none"/>
              </w:rPr>
              <w:t>（1）获奖文件计分有效期以投标截止时间为时间节点，自获奖文件发文次日计算起、止时间。</w:t>
            </w:r>
          </w:p>
          <w:p w14:paraId="4621B4DD">
            <w:pPr>
              <w:jc w:val="left"/>
              <w:rPr>
                <w:rFonts w:hint="eastAsia" w:ascii="宋体" w:hAnsi="宋体" w:cs="宋体"/>
                <w:color w:val="auto"/>
                <w:szCs w:val="21"/>
                <w:highlight w:val="none"/>
              </w:rPr>
            </w:pPr>
            <w:r>
              <w:rPr>
                <w:rFonts w:hint="eastAsia" w:ascii="宋体" w:hAnsi="宋体" w:cs="宋体"/>
                <w:color w:val="auto"/>
                <w:szCs w:val="21"/>
                <w:highlight w:val="none"/>
              </w:rPr>
              <w:t>鲁班奖的公布文件和决定文件存在重复项目的，该项目获得鲁班奖的考核期限应当从公布文件发布时间开始计算；国家优质工程奖的入选文件和决定文件存在重复项目的，该项目获得国家优质工程奖的考核期限应当从入选文件发布时间开始计算。其他奖项如出现上述情形的，亦按照该原则执行。</w:t>
            </w:r>
          </w:p>
          <w:p w14:paraId="5E526E00">
            <w:pPr>
              <w:jc w:val="left"/>
              <w:rPr>
                <w:rFonts w:hint="eastAsia" w:ascii="宋体" w:hAnsi="宋体" w:cs="宋体"/>
                <w:color w:val="auto"/>
                <w:szCs w:val="21"/>
                <w:highlight w:val="none"/>
              </w:rPr>
            </w:pPr>
            <w:r>
              <w:rPr>
                <w:rFonts w:hint="eastAsia" w:ascii="宋体" w:hAnsi="宋体" w:cs="宋体"/>
                <w:color w:val="auto"/>
                <w:szCs w:val="21"/>
                <w:highlight w:val="none"/>
              </w:rPr>
              <w:t>（2）同一工程的奖项，按照得分最高的分值计算一次得分。</w:t>
            </w:r>
          </w:p>
          <w:p w14:paraId="06CBABA3">
            <w:pPr>
              <w:jc w:val="left"/>
              <w:rPr>
                <w:rFonts w:hint="eastAsia" w:ascii="宋体" w:hAnsi="宋体" w:cs="宋体"/>
                <w:color w:val="auto"/>
                <w:szCs w:val="21"/>
                <w:highlight w:val="none"/>
              </w:rPr>
            </w:pPr>
            <w:r>
              <w:rPr>
                <w:rFonts w:hint="eastAsia" w:ascii="宋体" w:hAnsi="宋体" w:cs="宋体"/>
                <w:color w:val="auto"/>
                <w:szCs w:val="21"/>
                <w:highlight w:val="none"/>
              </w:rPr>
              <w:t>（3）奖项以公布的文件为准。省级综合工程质量奖为省级建设行政主管部门或省级建筑业协会评定的综合工程质量奖项。</w:t>
            </w:r>
          </w:p>
        </w:tc>
      </w:tr>
    </w:tbl>
    <w:tbl>
      <w:tblPr>
        <w:tblStyle w:val="41"/>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7046"/>
      </w:tblGrid>
      <w:tr w14:paraId="1C77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jc w:val="center"/>
        </w:trPr>
        <w:tc>
          <w:tcPr>
            <w:tcW w:w="9848" w:type="dxa"/>
            <w:gridSpan w:val="2"/>
            <w:vAlign w:val="center"/>
          </w:tcPr>
          <w:p w14:paraId="3FD868F4">
            <w:pPr>
              <w:jc w:val="center"/>
              <w:rPr>
                <w:rFonts w:hint="eastAsia" w:ascii="宋体" w:hAnsi="宋体" w:cs="宋体"/>
                <w:color w:val="auto"/>
                <w:szCs w:val="21"/>
                <w:highlight w:val="none"/>
              </w:rPr>
            </w:pPr>
            <w:r>
              <w:rPr>
                <w:rFonts w:hint="eastAsia" w:ascii="宋体" w:hAnsi="宋体" w:cs="宋体"/>
                <w:color w:val="auto"/>
                <w:szCs w:val="21"/>
                <w:highlight w:val="none"/>
              </w:rPr>
              <w:t>投标报价评审</w:t>
            </w:r>
          </w:p>
        </w:tc>
      </w:tr>
      <w:tr w14:paraId="07F8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802" w:type="dxa"/>
            <w:vAlign w:val="center"/>
          </w:tcPr>
          <w:p w14:paraId="14B86770">
            <w:pPr>
              <w:jc w:val="center"/>
              <w:rPr>
                <w:rFonts w:hint="eastAsia" w:ascii="宋体" w:hAnsi="宋体" w:cs="宋体"/>
                <w:color w:val="auto"/>
                <w:szCs w:val="21"/>
                <w:highlight w:val="none"/>
              </w:rPr>
            </w:pPr>
            <w:r>
              <w:rPr>
                <w:rFonts w:hint="eastAsia" w:ascii="宋体" w:hAnsi="宋体" w:cs="宋体"/>
                <w:color w:val="auto"/>
                <w:szCs w:val="21"/>
                <w:highlight w:val="none"/>
              </w:rPr>
              <w:t>采用六随机五区间报价得分模型</w:t>
            </w:r>
          </w:p>
        </w:tc>
        <w:tc>
          <w:tcPr>
            <w:tcW w:w="7046" w:type="dxa"/>
            <w:vAlign w:val="center"/>
          </w:tcPr>
          <w:p w14:paraId="2AD23819">
            <w:pPr>
              <w:jc w:val="left"/>
              <w:rPr>
                <w:rFonts w:hint="eastAsia" w:ascii="宋体" w:hAnsi="宋体" w:cs="宋体"/>
                <w:color w:val="auto"/>
                <w:szCs w:val="21"/>
                <w:highlight w:val="none"/>
              </w:rPr>
            </w:pPr>
            <w:r>
              <w:rPr>
                <w:rFonts w:hint="eastAsia"/>
                <w:color w:val="auto"/>
                <w:sz w:val="20"/>
                <w:szCs w:val="20"/>
                <w:highlight w:val="none"/>
              </w:rPr>
              <w:t>按照湖南省公共资源交易服务平台动态更新的“六随机五区间报价得分”系统模型计算。</w:t>
            </w:r>
          </w:p>
        </w:tc>
      </w:tr>
    </w:tbl>
    <w:p w14:paraId="5CA5DF88">
      <w:pPr>
        <w:rPr>
          <w:color w:val="auto"/>
          <w:highlight w:val="none"/>
        </w:rPr>
      </w:pPr>
    </w:p>
    <w:p w14:paraId="01A927B3">
      <w:pPr>
        <w:widowControl/>
        <w:jc w:val="center"/>
        <w:rPr>
          <w:rFonts w:eastAsia="黑体"/>
          <w:bCs/>
          <w:color w:val="auto"/>
          <w:sz w:val="30"/>
          <w:highlight w:val="none"/>
        </w:rPr>
      </w:pPr>
    </w:p>
    <w:p w14:paraId="0C040641">
      <w:pPr>
        <w:widowControl/>
        <w:jc w:val="center"/>
        <w:rPr>
          <w:rFonts w:eastAsia="黑体"/>
          <w:bCs/>
          <w:color w:val="auto"/>
          <w:sz w:val="30"/>
          <w:highlight w:val="none"/>
        </w:rPr>
      </w:pPr>
      <w:r>
        <w:rPr>
          <w:rFonts w:eastAsia="黑体"/>
          <w:bCs/>
          <w:color w:val="auto"/>
          <w:sz w:val="30"/>
          <w:highlight w:val="none"/>
        </w:rPr>
        <w:br w:type="page"/>
      </w:r>
    </w:p>
    <w:p w14:paraId="1D63776E">
      <w:pPr>
        <w:widowControl/>
        <w:jc w:val="center"/>
        <w:rPr>
          <w:rFonts w:eastAsia="黑体"/>
          <w:bCs/>
          <w:color w:val="auto"/>
          <w:sz w:val="30"/>
          <w:highlight w:val="none"/>
        </w:rPr>
      </w:pPr>
      <w:r>
        <w:rPr>
          <w:rFonts w:eastAsia="黑体"/>
          <w:bCs/>
          <w:color w:val="auto"/>
          <w:sz w:val="30"/>
          <w:highlight w:val="none"/>
        </w:rPr>
        <w:t>评标办法（综合评估法</w:t>
      </w:r>
      <w:r>
        <w:rPr>
          <w:rFonts w:hint="eastAsia" w:eastAsia="黑体"/>
          <w:bCs/>
          <w:color w:val="auto"/>
          <w:sz w:val="30"/>
          <w:highlight w:val="none"/>
        </w:rPr>
        <w:t>2</w:t>
      </w:r>
      <w:r>
        <w:rPr>
          <w:rFonts w:eastAsia="黑体"/>
          <w:bCs/>
          <w:color w:val="auto"/>
          <w:sz w:val="30"/>
          <w:highlight w:val="none"/>
        </w:rPr>
        <w:t>）</w:t>
      </w:r>
    </w:p>
    <w:p w14:paraId="38DB1FB6">
      <w:pPr>
        <w:snapToGrid w:val="0"/>
        <w:spacing w:line="400" w:lineRule="exact"/>
        <w:ind w:firstLine="420" w:firstLineChars="200"/>
        <w:rPr>
          <w:color w:val="auto"/>
          <w:szCs w:val="21"/>
          <w:highlight w:val="none"/>
        </w:rPr>
      </w:pPr>
      <w:r>
        <w:rPr>
          <w:color w:val="auto"/>
          <w:szCs w:val="21"/>
          <w:highlight w:val="none"/>
        </w:rPr>
        <w:t>本次评标采用</w:t>
      </w:r>
      <w:r>
        <w:rPr>
          <w:color w:val="auto"/>
          <w:highlight w:val="none"/>
        </w:rPr>
        <w:t>综合评估法</w:t>
      </w:r>
      <w:r>
        <w:rPr>
          <w:rFonts w:hint="eastAsia"/>
          <w:color w:val="auto"/>
          <w:highlight w:val="none"/>
        </w:rPr>
        <w:t>2</w:t>
      </w:r>
      <w:r>
        <w:rPr>
          <w:color w:val="auto"/>
          <w:highlight w:val="none"/>
        </w:rPr>
        <w:t>。</w:t>
      </w:r>
      <w:r>
        <w:rPr>
          <w:rFonts w:hint="eastAsia"/>
          <w:color w:val="auto"/>
          <w:highlight w:val="none"/>
        </w:rPr>
        <w:t>交易系统</w:t>
      </w:r>
      <w:r>
        <w:rPr>
          <w:color w:val="auto"/>
          <w:highlight w:val="none"/>
        </w:rPr>
        <w:t>对</w:t>
      </w:r>
      <w:r>
        <w:rPr>
          <w:rFonts w:hint="eastAsia"/>
          <w:color w:val="auto"/>
          <w:highlight w:val="none"/>
        </w:rPr>
        <w:t>通过初步评审的投标人</w:t>
      </w:r>
      <w:r>
        <w:rPr>
          <w:color w:val="auto"/>
          <w:highlight w:val="none"/>
        </w:rPr>
        <w:t>，</w:t>
      </w:r>
      <w:r>
        <w:rPr>
          <w:rFonts w:hint="eastAsia"/>
          <w:color w:val="auto"/>
          <w:highlight w:val="none"/>
        </w:rPr>
        <w:t>按照明确的评分因素和量化的评分标准对商务、投标报价进行评分，评标委员会对技术进行评审，对交易系统评审内容进行复核，</w:t>
      </w:r>
      <w:r>
        <w:rPr>
          <w:color w:val="auto"/>
          <w:szCs w:val="21"/>
          <w:highlight w:val="none"/>
        </w:rPr>
        <w:t>并按评标总得分由高到低的顺序推荐中标候选人</w:t>
      </w:r>
      <w:r>
        <w:rPr>
          <w:rFonts w:hint="eastAsia"/>
          <w:color w:val="auto"/>
          <w:szCs w:val="21"/>
          <w:highlight w:val="none"/>
        </w:rPr>
        <w:t>。</w:t>
      </w:r>
    </w:p>
    <w:p w14:paraId="580427BD">
      <w:pPr>
        <w:pStyle w:val="3"/>
        <w:spacing w:before="0" w:after="0" w:line="360" w:lineRule="auto"/>
        <w:rPr>
          <w:rFonts w:ascii="Times New Roman" w:hAnsi="Times New Roman" w:eastAsia="黑体"/>
          <w:b w:val="0"/>
          <w:bCs w:val="0"/>
          <w:color w:val="auto"/>
          <w:sz w:val="30"/>
          <w:highlight w:val="none"/>
        </w:rPr>
      </w:pPr>
      <w:bookmarkStart w:id="402" w:name="_Toc211498703"/>
      <w:r>
        <w:rPr>
          <w:rFonts w:ascii="Times New Roman" w:hAnsi="Times New Roman" w:eastAsia="黑体"/>
          <w:b w:val="0"/>
          <w:bCs w:val="0"/>
          <w:color w:val="auto"/>
          <w:sz w:val="30"/>
          <w:highlight w:val="none"/>
        </w:rPr>
        <w:t>1.评审标准</w:t>
      </w:r>
      <w:bookmarkEnd w:id="402"/>
    </w:p>
    <w:p w14:paraId="1B2F0526">
      <w:pPr>
        <w:spacing w:line="348"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 xml:space="preserve"> 形式评审标准：见评标办法前附表。</w:t>
      </w:r>
    </w:p>
    <w:p w14:paraId="6D016842">
      <w:pPr>
        <w:spacing w:line="348" w:lineRule="auto"/>
        <w:ind w:firstLine="420" w:firstLineChars="200"/>
        <w:rPr>
          <w:color w:val="auto"/>
          <w:highlight w:val="none"/>
        </w:rPr>
      </w:pPr>
      <w:r>
        <w:rPr>
          <w:rFonts w:hint="eastAsia"/>
          <w:color w:val="auto"/>
          <w:highlight w:val="none"/>
        </w:rPr>
        <w:t>1</w:t>
      </w:r>
      <w:r>
        <w:rPr>
          <w:color w:val="auto"/>
          <w:highlight w:val="none"/>
        </w:rPr>
        <w:t>.2 资格评审标准：见评标办法前附表</w:t>
      </w:r>
    </w:p>
    <w:p w14:paraId="5346BCD4">
      <w:pPr>
        <w:spacing w:line="348" w:lineRule="auto"/>
        <w:ind w:firstLine="420" w:firstLineChars="200"/>
        <w:rPr>
          <w:color w:val="auto"/>
          <w:highlight w:val="none"/>
        </w:rPr>
      </w:pPr>
      <w:r>
        <w:rPr>
          <w:color w:val="auto"/>
          <w:highlight w:val="none"/>
        </w:rPr>
        <w:t>已进行资格预审的，见本招标项目资格预审文件第三章“资格审查办法”详细审查标准</w:t>
      </w:r>
      <w:r>
        <w:rPr>
          <w:rFonts w:hint="eastAsia"/>
          <w:color w:val="auto"/>
          <w:highlight w:val="none"/>
        </w:rPr>
        <w:t>。</w:t>
      </w:r>
    </w:p>
    <w:p w14:paraId="397BB6B7">
      <w:pPr>
        <w:spacing w:line="348" w:lineRule="auto"/>
        <w:ind w:firstLine="420" w:firstLineChars="200"/>
        <w:rPr>
          <w:color w:val="auto"/>
          <w:highlight w:val="none"/>
        </w:rPr>
      </w:pPr>
      <w:r>
        <w:rPr>
          <w:color w:val="auto"/>
          <w:highlight w:val="none"/>
        </w:rPr>
        <w:t>1.3 响应性评审标准：见评标办法前附表。</w:t>
      </w:r>
    </w:p>
    <w:p w14:paraId="5B841F83">
      <w:pPr>
        <w:spacing w:line="348" w:lineRule="auto"/>
        <w:ind w:firstLine="420" w:firstLineChars="200"/>
        <w:rPr>
          <w:color w:val="auto"/>
          <w:highlight w:val="none"/>
        </w:rPr>
      </w:pPr>
      <w:r>
        <w:rPr>
          <w:rFonts w:hint="eastAsia"/>
          <w:color w:val="auto"/>
          <w:highlight w:val="none"/>
        </w:rPr>
        <w:t>1.4权值构成：</w:t>
      </w:r>
      <w:r>
        <w:rPr>
          <w:color w:val="auto"/>
          <w:highlight w:val="none"/>
        </w:rPr>
        <w:t>见评标办法前附表。</w:t>
      </w:r>
    </w:p>
    <w:p w14:paraId="61B9F880">
      <w:pPr>
        <w:spacing w:line="360" w:lineRule="auto"/>
        <w:ind w:firstLine="420" w:firstLineChars="200"/>
        <w:rPr>
          <w:color w:val="auto"/>
          <w:szCs w:val="21"/>
          <w:highlight w:val="none"/>
        </w:rPr>
      </w:pPr>
      <w:r>
        <w:rPr>
          <w:rFonts w:hint="eastAsia"/>
          <w:color w:val="auto"/>
          <w:szCs w:val="21"/>
          <w:highlight w:val="none"/>
        </w:rPr>
        <w:t>1</w:t>
      </w:r>
      <w:r>
        <w:rPr>
          <w:color w:val="auto"/>
          <w:highlight w:val="none"/>
        </w:rPr>
        <w:t>.</w:t>
      </w:r>
      <w:r>
        <w:rPr>
          <w:rFonts w:hint="eastAsia"/>
          <w:color w:val="auto"/>
          <w:szCs w:val="21"/>
          <w:highlight w:val="none"/>
        </w:rPr>
        <w:t>5</w:t>
      </w:r>
      <w:r>
        <w:rPr>
          <w:rFonts w:hint="eastAsia" w:ascii="宋体" w:hAnsi="宋体"/>
          <w:color w:val="auto"/>
          <w:szCs w:val="21"/>
          <w:highlight w:val="none"/>
        </w:rPr>
        <w:t>商务评审标准</w:t>
      </w:r>
      <w:r>
        <w:rPr>
          <w:color w:val="auto"/>
          <w:szCs w:val="21"/>
          <w:highlight w:val="none"/>
        </w:rPr>
        <w:t>：见评标办法前附表；</w:t>
      </w:r>
    </w:p>
    <w:p w14:paraId="7ED82F72">
      <w:pPr>
        <w:spacing w:line="360" w:lineRule="auto"/>
        <w:ind w:firstLine="420" w:firstLineChars="200"/>
        <w:rPr>
          <w:color w:val="auto"/>
          <w:szCs w:val="21"/>
          <w:highlight w:val="none"/>
        </w:rPr>
      </w:pPr>
      <w:r>
        <w:rPr>
          <w:rFonts w:hint="eastAsia"/>
          <w:color w:val="auto"/>
          <w:szCs w:val="21"/>
          <w:highlight w:val="none"/>
        </w:rPr>
        <w:t>1</w:t>
      </w:r>
      <w:r>
        <w:rPr>
          <w:color w:val="auto"/>
          <w:highlight w:val="none"/>
        </w:rPr>
        <w:t>.</w:t>
      </w:r>
      <w:r>
        <w:rPr>
          <w:rFonts w:hint="eastAsia"/>
          <w:color w:val="auto"/>
          <w:szCs w:val="21"/>
          <w:highlight w:val="none"/>
        </w:rPr>
        <w:t>6技术（施工组织设计）评审标准</w:t>
      </w:r>
      <w:r>
        <w:rPr>
          <w:color w:val="auto"/>
          <w:szCs w:val="21"/>
          <w:highlight w:val="none"/>
        </w:rPr>
        <w:t>：见评标办法前附表；</w:t>
      </w:r>
    </w:p>
    <w:p w14:paraId="63862389">
      <w:pPr>
        <w:spacing w:line="360" w:lineRule="auto"/>
        <w:ind w:firstLine="420" w:firstLineChars="200"/>
        <w:rPr>
          <w:color w:val="auto"/>
          <w:szCs w:val="21"/>
          <w:highlight w:val="none"/>
        </w:rPr>
      </w:pPr>
      <w:r>
        <w:rPr>
          <w:rFonts w:hint="eastAsia"/>
          <w:color w:val="auto"/>
          <w:szCs w:val="21"/>
          <w:highlight w:val="none"/>
        </w:rPr>
        <w:t>1</w:t>
      </w:r>
      <w:r>
        <w:rPr>
          <w:color w:val="auto"/>
          <w:highlight w:val="none"/>
        </w:rPr>
        <w:t>.</w:t>
      </w:r>
      <w:r>
        <w:rPr>
          <w:rFonts w:hint="eastAsia"/>
          <w:color w:val="auto"/>
          <w:szCs w:val="21"/>
          <w:highlight w:val="none"/>
        </w:rPr>
        <w:t>7</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49C80B53">
      <w:pPr>
        <w:pStyle w:val="3"/>
        <w:spacing w:before="0" w:after="0" w:line="360" w:lineRule="auto"/>
        <w:rPr>
          <w:rFonts w:ascii="Times New Roman" w:hAnsi="Times New Roman" w:eastAsia="黑体"/>
          <w:b w:val="0"/>
          <w:bCs w:val="0"/>
          <w:color w:val="auto"/>
          <w:sz w:val="30"/>
          <w:highlight w:val="none"/>
        </w:rPr>
      </w:pPr>
      <w:bookmarkStart w:id="403" w:name="_Toc211498704"/>
      <w:r>
        <w:rPr>
          <w:rFonts w:ascii="Times New Roman" w:hAnsi="Times New Roman" w:eastAsia="黑体"/>
          <w:b w:val="0"/>
          <w:bCs w:val="0"/>
          <w:color w:val="auto"/>
          <w:sz w:val="30"/>
          <w:highlight w:val="none"/>
        </w:rPr>
        <w:t>2.评审程序</w:t>
      </w:r>
      <w:bookmarkEnd w:id="403"/>
    </w:p>
    <w:p w14:paraId="243627BA">
      <w:pPr>
        <w:spacing w:line="360" w:lineRule="auto"/>
        <w:ind w:firstLine="420" w:firstLineChars="200"/>
        <w:rPr>
          <w:color w:val="auto"/>
          <w:highlight w:val="none"/>
        </w:rPr>
      </w:pPr>
      <w:r>
        <w:rPr>
          <w:rFonts w:hint="eastAsia"/>
          <w:color w:val="auto"/>
          <w:highlight w:val="none"/>
        </w:rPr>
        <w:t>2.1初步评审：形式、资格、响应性</w:t>
      </w:r>
      <w:r>
        <w:rPr>
          <w:color w:val="auto"/>
          <w:highlight w:val="none"/>
        </w:rPr>
        <w:t>评审</w:t>
      </w:r>
      <w:r>
        <w:rPr>
          <w:rFonts w:hint="eastAsia"/>
          <w:color w:val="auto"/>
          <w:highlight w:val="none"/>
        </w:rPr>
        <w:t>；</w:t>
      </w:r>
    </w:p>
    <w:p w14:paraId="2495C925">
      <w:pPr>
        <w:spacing w:line="360" w:lineRule="auto"/>
        <w:ind w:firstLine="420" w:firstLineChars="200"/>
        <w:rPr>
          <w:color w:val="auto"/>
          <w:highlight w:val="none"/>
        </w:rPr>
      </w:pPr>
      <w:r>
        <w:rPr>
          <w:rFonts w:hint="eastAsia"/>
          <w:color w:val="auto"/>
          <w:highlight w:val="none"/>
        </w:rPr>
        <w:t>2.2商务评审；</w:t>
      </w:r>
    </w:p>
    <w:p w14:paraId="1D0B3BEC">
      <w:pPr>
        <w:spacing w:line="360" w:lineRule="auto"/>
        <w:ind w:firstLine="420" w:firstLineChars="200"/>
        <w:rPr>
          <w:color w:val="auto"/>
          <w:highlight w:val="none"/>
        </w:rPr>
      </w:pPr>
      <w:bookmarkStart w:id="404" w:name="_Hlk210292664"/>
      <w:r>
        <w:rPr>
          <w:rFonts w:hint="eastAsia"/>
          <w:color w:val="auto"/>
          <w:highlight w:val="none"/>
        </w:rPr>
        <w:t>2.3评标委员会复核；</w:t>
      </w:r>
    </w:p>
    <w:p w14:paraId="5AC464EA">
      <w:pPr>
        <w:spacing w:line="360" w:lineRule="auto"/>
        <w:ind w:firstLine="420" w:firstLineChars="200"/>
        <w:rPr>
          <w:color w:val="auto"/>
          <w:highlight w:val="none"/>
        </w:rPr>
      </w:pPr>
      <w:r>
        <w:rPr>
          <w:rFonts w:hint="eastAsia"/>
          <w:color w:val="auto"/>
          <w:highlight w:val="none"/>
        </w:rPr>
        <w:t>2.4</w:t>
      </w:r>
      <w:r>
        <w:rPr>
          <w:rFonts w:hint="eastAsia"/>
          <w:color w:val="auto"/>
          <w:kern w:val="0"/>
          <w:szCs w:val="32"/>
          <w:highlight w:val="none"/>
        </w:rPr>
        <w:t>评标委员会邀请招标人、招标代理机构进行复核，并提出复核意见，评标委员会对复核意见进行讨论，并记录</w:t>
      </w:r>
      <w:r>
        <w:rPr>
          <w:rFonts w:hint="eastAsia"/>
          <w:color w:val="auto"/>
          <w:szCs w:val="21"/>
          <w:highlight w:val="none"/>
        </w:rPr>
        <w:t>采纳和不采纳情况及不采纳理由</w:t>
      </w:r>
      <w:r>
        <w:rPr>
          <w:rFonts w:hint="eastAsia"/>
          <w:color w:val="auto"/>
          <w:highlight w:val="none"/>
        </w:rPr>
        <w:t>；</w:t>
      </w:r>
    </w:p>
    <w:bookmarkEnd w:id="404"/>
    <w:p w14:paraId="6AE80A3D">
      <w:pPr>
        <w:spacing w:line="360" w:lineRule="auto"/>
        <w:ind w:firstLine="420" w:firstLineChars="200"/>
        <w:rPr>
          <w:color w:val="auto"/>
          <w:highlight w:val="none"/>
        </w:rPr>
      </w:pPr>
      <w:r>
        <w:rPr>
          <w:rFonts w:hint="eastAsia"/>
          <w:color w:val="auto"/>
          <w:highlight w:val="none"/>
        </w:rPr>
        <w:t>2.5技术评审（施工组织设计）；</w:t>
      </w:r>
    </w:p>
    <w:p w14:paraId="03DCDA0E">
      <w:pPr>
        <w:spacing w:line="360" w:lineRule="auto"/>
        <w:ind w:firstLine="420" w:firstLineChars="200"/>
        <w:rPr>
          <w:color w:val="auto"/>
          <w:highlight w:val="none"/>
        </w:rPr>
      </w:pPr>
      <w:r>
        <w:rPr>
          <w:rFonts w:hint="eastAsia"/>
          <w:color w:val="auto"/>
          <w:highlight w:val="none"/>
        </w:rPr>
        <w:t>2.6投标报价</w:t>
      </w:r>
      <w:r>
        <w:rPr>
          <w:color w:val="auto"/>
          <w:highlight w:val="none"/>
        </w:rPr>
        <w:t>评审</w:t>
      </w:r>
      <w:r>
        <w:rPr>
          <w:rFonts w:hint="eastAsia"/>
          <w:color w:val="auto"/>
          <w:highlight w:val="none"/>
        </w:rPr>
        <w:t>；</w:t>
      </w:r>
    </w:p>
    <w:p w14:paraId="32133231">
      <w:pPr>
        <w:spacing w:line="360" w:lineRule="auto"/>
        <w:ind w:firstLine="420" w:firstLineChars="200"/>
        <w:rPr>
          <w:color w:val="auto"/>
          <w:highlight w:val="none"/>
        </w:rPr>
      </w:pPr>
      <w:r>
        <w:rPr>
          <w:rFonts w:hint="eastAsia"/>
          <w:color w:val="auto"/>
          <w:highlight w:val="none"/>
        </w:rPr>
        <w:t>2.7</w:t>
      </w:r>
      <w:r>
        <w:rPr>
          <w:color w:val="auto"/>
          <w:highlight w:val="none"/>
        </w:rPr>
        <w:t>推荐中标候选人及提交评标报告。</w:t>
      </w:r>
    </w:p>
    <w:p w14:paraId="6D99012C">
      <w:pPr>
        <w:pStyle w:val="3"/>
        <w:spacing w:before="0" w:after="0" w:line="360" w:lineRule="auto"/>
        <w:rPr>
          <w:rFonts w:ascii="Times New Roman" w:hAnsi="Times New Roman" w:eastAsia="黑体"/>
          <w:b w:val="0"/>
          <w:bCs w:val="0"/>
          <w:color w:val="auto"/>
          <w:sz w:val="30"/>
          <w:highlight w:val="none"/>
        </w:rPr>
      </w:pPr>
      <w:bookmarkStart w:id="405" w:name="_Toc211498705"/>
      <w:r>
        <w:rPr>
          <w:rFonts w:ascii="Times New Roman" w:hAnsi="Times New Roman" w:eastAsia="黑体"/>
          <w:b w:val="0"/>
          <w:bCs w:val="0"/>
          <w:color w:val="auto"/>
          <w:sz w:val="30"/>
          <w:highlight w:val="none"/>
        </w:rPr>
        <w:t>3.形式、资格、响应性评审</w:t>
      </w:r>
      <w:bookmarkEnd w:id="405"/>
    </w:p>
    <w:p w14:paraId="11A794E9">
      <w:pPr>
        <w:spacing w:line="360" w:lineRule="auto"/>
        <w:ind w:firstLine="420" w:firstLineChars="200"/>
        <w:rPr>
          <w:color w:val="auto"/>
          <w:szCs w:val="21"/>
          <w:highlight w:val="none"/>
        </w:rPr>
      </w:pPr>
      <w:r>
        <w:rPr>
          <w:rFonts w:hint="eastAsia"/>
          <w:color w:val="auto"/>
          <w:szCs w:val="21"/>
          <w:highlight w:val="none"/>
        </w:rPr>
        <w:t>交易系统依据评标办法的规定对投标文件进行评审。有一项不符合评审标准的，应当予以否决。</w:t>
      </w:r>
    </w:p>
    <w:p w14:paraId="1680C2F9">
      <w:pPr>
        <w:spacing w:line="360" w:lineRule="auto"/>
        <w:ind w:firstLine="420" w:firstLineChars="200"/>
        <w:rPr>
          <w:color w:val="auto"/>
          <w:szCs w:val="21"/>
          <w:highlight w:val="none"/>
        </w:rPr>
      </w:pPr>
      <w:r>
        <w:rPr>
          <w:rFonts w:hint="eastAsia"/>
          <w:color w:val="auto"/>
          <w:szCs w:val="21"/>
          <w:highlight w:val="none"/>
        </w:rPr>
        <w:t>3.1 形式评审</w:t>
      </w:r>
    </w:p>
    <w:p w14:paraId="15EC22FA">
      <w:pPr>
        <w:spacing w:line="360" w:lineRule="auto"/>
        <w:ind w:firstLine="420" w:firstLineChars="200"/>
        <w:rPr>
          <w:color w:val="auto"/>
          <w:szCs w:val="21"/>
          <w:highlight w:val="none"/>
        </w:rPr>
      </w:pPr>
      <w:r>
        <w:rPr>
          <w:rFonts w:hint="eastAsia"/>
          <w:color w:val="auto"/>
          <w:szCs w:val="21"/>
          <w:highlight w:val="none"/>
        </w:rPr>
        <w:t>交易系统根据评标办法前附表中规定的评审因素和评审标准，对投标人的投标文件进行形式评审。</w:t>
      </w:r>
    </w:p>
    <w:p w14:paraId="6070AB8E">
      <w:pPr>
        <w:spacing w:line="360" w:lineRule="auto"/>
        <w:ind w:firstLine="420" w:firstLineChars="200"/>
        <w:rPr>
          <w:color w:val="auto"/>
          <w:szCs w:val="21"/>
          <w:highlight w:val="none"/>
        </w:rPr>
      </w:pPr>
      <w:r>
        <w:rPr>
          <w:rFonts w:hint="eastAsia"/>
          <w:color w:val="auto"/>
          <w:szCs w:val="21"/>
          <w:highlight w:val="none"/>
        </w:rPr>
        <w:t>3.2 资格评审</w:t>
      </w:r>
    </w:p>
    <w:p w14:paraId="6A80B584">
      <w:pPr>
        <w:spacing w:line="360" w:lineRule="auto"/>
        <w:ind w:firstLine="420" w:firstLineChars="200"/>
        <w:rPr>
          <w:color w:val="auto"/>
          <w:szCs w:val="21"/>
          <w:highlight w:val="none"/>
        </w:rPr>
      </w:pPr>
      <w:r>
        <w:rPr>
          <w:rFonts w:hint="eastAsia"/>
          <w:color w:val="auto"/>
          <w:szCs w:val="21"/>
          <w:highlight w:val="none"/>
        </w:rPr>
        <w:t>3.2.1未进行资格预审的，由交易系统根据评标办法前附表规定的评审因素和评审标准，对投标人的投标文件进行资格评审。</w:t>
      </w:r>
    </w:p>
    <w:p w14:paraId="6B54D3AE">
      <w:pPr>
        <w:spacing w:line="360" w:lineRule="auto"/>
        <w:ind w:firstLine="420" w:firstLineChars="200"/>
        <w:rPr>
          <w:color w:val="auto"/>
          <w:szCs w:val="21"/>
          <w:highlight w:val="none"/>
        </w:rPr>
      </w:pPr>
      <w:r>
        <w:rPr>
          <w:rFonts w:hint="eastAsia"/>
          <w:color w:val="auto"/>
          <w:szCs w:val="21"/>
          <w:highlight w:val="none"/>
        </w:rPr>
        <w:t>已进行资格预审的，交易系统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780BD0E8">
      <w:pPr>
        <w:spacing w:line="360" w:lineRule="auto"/>
        <w:ind w:firstLine="420" w:firstLineChars="200"/>
        <w:rPr>
          <w:color w:val="auto"/>
          <w:szCs w:val="21"/>
          <w:highlight w:val="none"/>
        </w:rPr>
      </w:pPr>
      <w:r>
        <w:rPr>
          <w:rFonts w:hint="eastAsia"/>
          <w:color w:val="auto"/>
          <w:szCs w:val="21"/>
          <w:highlight w:val="none"/>
        </w:rPr>
        <w:t xml:space="preserve">3.2.2 资格评审过程中，评标委员会发现投标人提交的资格审查资料不全时，应当听取该投标人的说明。  </w:t>
      </w:r>
    </w:p>
    <w:p w14:paraId="0B007ABF">
      <w:pPr>
        <w:spacing w:line="360" w:lineRule="auto"/>
        <w:ind w:firstLine="420" w:firstLineChars="200"/>
        <w:rPr>
          <w:color w:val="auto"/>
          <w:szCs w:val="21"/>
          <w:highlight w:val="none"/>
        </w:rPr>
      </w:pPr>
      <w:r>
        <w:rPr>
          <w:rFonts w:hint="eastAsia"/>
          <w:color w:val="auto"/>
          <w:szCs w:val="21"/>
          <w:highlight w:val="none"/>
        </w:rPr>
        <w:t>3.3 响应性评审</w:t>
      </w:r>
    </w:p>
    <w:p w14:paraId="146C1607">
      <w:pPr>
        <w:spacing w:line="360" w:lineRule="auto"/>
        <w:ind w:firstLine="420" w:firstLineChars="200"/>
        <w:rPr>
          <w:color w:val="auto"/>
          <w:szCs w:val="21"/>
          <w:highlight w:val="none"/>
        </w:rPr>
      </w:pPr>
      <w:r>
        <w:rPr>
          <w:rFonts w:hint="eastAsia"/>
          <w:color w:val="auto"/>
          <w:szCs w:val="21"/>
          <w:highlight w:val="none"/>
        </w:rPr>
        <w:t>3.3.1 交易系统根据评标办法前附表中规定的评审因素和评审标准，对投标人的投标文件进行响应性评审。</w:t>
      </w:r>
    </w:p>
    <w:p w14:paraId="158CB590">
      <w:pPr>
        <w:spacing w:line="360" w:lineRule="auto"/>
        <w:ind w:firstLine="420" w:firstLineChars="200"/>
        <w:rPr>
          <w:color w:val="auto"/>
          <w:szCs w:val="21"/>
          <w:highlight w:val="none"/>
        </w:rPr>
      </w:pPr>
      <w:r>
        <w:rPr>
          <w:rFonts w:hint="eastAsia"/>
          <w:color w:val="auto"/>
          <w:szCs w:val="21"/>
          <w:highlight w:val="none"/>
        </w:rPr>
        <w:t>3.3.2 招标文件设定了最高投标限价的，投标人投标价格不得超出（不含等于）“投标人须知”前附表载明的最高投标限价。</w:t>
      </w:r>
    </w:p>
    <w:p w14:paraId="140605E5">
      <w:pPr>
        <w:spacing w:line="360" w:lineRule="auto"/>
        <w:ind w:firstLine="420" w:firstLineChars="200"/>
        <w:rPr>
          <w:color w:val="auto"/>
          <w:szCs w:val="21"/>
          <w:highlight w:val="none"/>
        </w:rPr>
      </w:pPr>
      <w:r>
        <w:rPr>
          <w:rFonts w:hint="eastAsia"/>
          <w:color w:val="auto"/>
          <w:szCs w:val="21"/>
          <w:highlight w:val="none"/>
        </w:rPr>
        <w:t>3.4  算术错误修正（适用于招标人自主确定清单计量计价的项目）</w:t>
      </w:r>
    </w:p>
    <w:p w14:paraId="53B62F06">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交易系统检查投标人投标报价是否有算术错误，算术性错误分析和修正按以下原则进行，修正的价格经投标人通过电子交易平台确认后具有约束力。投标人不接受修正价格的，应当否决其投标。</w:t>
      </w:r>
    </w:p>
    <w:p w14:paraId="517B684C">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0BBF361A">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3A0BF766">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2D73818F">
      <w:pPr>
        <w:spacing w:line="360" w:lineRule="auto"/>
        <w:ind w:firstLine="420" w:firstLineChars="200"/>
        <w:rPr>
          <w:color w:val="auto"/>
          <w:szCs w:val="21"/>
          <w:highlight w:val="none"/>
        </w:rPr>
      </w:pPr>
      <w:r>
        <w:rPr>
          <w:rFonts w:hint="eastAsia"/>
          <w:color w:val="auto"/>
          <w:szCs w:val="21"/>
          <w:highlight w:val="none"/>
        </w:rPr>
        <w:t>3.4  算术误差修正，细微偏差、报价合理性、报价完整性(漏报或未报)分析（适用于采用“24清单标准”的项目）</w:t>
      </w:r>
    </w:p>
    <w:p w14:paraId="286B6B04">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交易系统检查投标人投标报价是否有算术误差、细微偏差、报价合理性、报价完整性(漏报或未报)问题，并按第二章投标人须知前附表第10.18.5款“规定”由招标人委托评标委员会启动投标报价澄清或说明。</w:t>
      </w:r>
    </w:p>
    <w:p w14:paraId="3C27C3A0">
      <w:pPr>
        <w:spacing w:line="360" w:lineRule="auto"/>
        <w:ind w:firstLine="420" w:firstLineChars="200"/>
        <w:rPr>
          <w:color w:val="auto"/>
          <w:highlight w:val="none"/>
        </w:rPr>
      </w:pPr>
      <w:r>
        <w:rPr>
          <w:rFonts w:hint="eastAsia"/>
          <w:color w:val="auto"/>
          <w:szCs w:val="21"/>
          <w:highlight w:val="none"/>
        </w:rPr>
        <w:t>按第二章投标人须知前附表第10.18.5款“规定”中第2小点对投标人的投标文件存在算术误差及细微偏差进行修正的，修正报价汇总后的总价应与投标总价扉页内填报的投标总价一致，修正的价格经投标人通过电子交易平台确认后具有约束力。投标人不接受修正价格的，应当否决其投标。投标人对修正结果有不同意见或未通过电子交易平台进行确认的，评标委员会应重新复核修正结果，再次按上述程序分别进行确认、复核。</w:t>
      </w:r>
    </w:p>
    <w:p w14:paraId="40B48C61">
      <w:pPr>
        <w:spacing w:line="360" w:lineRule="auto"/>
        <w:ind w:firstLine="420" w:firstLineChars="200"/>
        <w:rPr>
          <w:color w:val="auto"/>
          <w:szCs w:val="21"/>
          <w:highlight w:val="none"/>
        </w:rPr>
      </w:pPr>
      <w:r>
        <w:rPr>
          <w:rFonts w:hint="eastAsia"/>
          <w:color w:val="auto"/>
          <w:szCs w:val="21"/>
          <w:highlight w:val="none"/>
        </w:rPr>
        <w:t>3.5是否予以否决投标</w:t>
      </w:r>
    </w:p>
    <w:p w14:paraId="1BF899D3">
      <w:pPr>
        <w:spacing w:line="360" w:lineRule="auto"/>
        <w:ind w:firstLine="420" w:firstLineChars="200"/>
        <w:rPr>
          <w:color w:val="auto"/>
          <w:szCs w:val="21"/>
          <w:highlight w:val="none"/>
        </w:rPr>
      </w:pPr>
      <w:r>
        <w:rPr>
          <w:rFonts w:hint="eastAsia"/>
          <w:color w:val="auto"/>
          <w:szCs w:val="21"/>
          <w:highlight w:val="none"/>
        </w:rPr>
        <w:t>交易系统在评标过程中，依据第二章附件2-2中规定的否决投标情形，判断是否对投标人的投标予以否决。</w:t>
      </w:r>
    </w:p>
    <w:p w14:paraId="5D80A4A7">
      <w:pPr>
        <w:pStyle w:val="3"/>
        <w:spacing w:before="0" w:after="0" w:line="360" w:lineRule="auto"/>
        <w:rPr>
          <w:rFonts w:ascii="Times New Roman" w:hAnsi="Times New Roman" w:eastAsia="黑体"/>
          <w:b w:val="0"/>
          <w:bCs w:val="0"/>
          <w:color w:val="auto"/>
          <w:sz w:val="30"/>
          <w:highlight w:val="none"/>
        </w:rPr>
      </w:pPr>
      <w:bookmarkStart w:id="406" w:name="_Toc211498706"/>
      <w:r>
        <w:rPr>
          <w:rFonts w:hint="eastAsia" w:ascii="Times New Roman" w:hAnsi="Times New Roman" w:eastAsia="黑体"/>
          <w:b w:val="0"/>
          <w:bCs w:val="0"/>
          <w:color w:val="auto"/>
          <w:sz w:val="30"/>
          <w:highlight w:val="none"/>
        </w:rPr>
        <w:t>4</w:t>
      </w:r>
      <w:r>
        <w:rPr>
          <w:rFonts w:ascii="Times New Roman" w:hAnsi="Times New Roman" w:eastAsia="黑体"/>
          <w:b w:val="0"/>
          <w:bCs w:val="0"/>
          <w:color w:val="auto"/>
          <w:sz w:val="30"/>
          <w:highlight w:val="none"/>
        </w:rPr>
        <w:t>.商务评审</w:t>
      </w:r>
      <w:bookmarkEnd w:id="406"/>
    </w:p>
    <w:p w14:paraId="070AD1FD">
      <w:pPr>
        <w:spacing w:line="360" w:lineRule="auto"/>
        <w:ind w:firstLine="420" w:firstLineChars="200"/>
        <w:rPr>
          <w:color w:val="auto"/>
          <w:szCs w:val="21"/>
          <w:highlight w:val="none"/>
        </w:rPr>
      </w:pPr>
      <w:r>
        <w:rPr>
          <w:rFonts w:hint="eastAsia"/>
          <w:color w:val="auto"/>
          <w:szCs w:val="21"/>
          <w:highlight w:val="none"/>
        </w:rPr>
        <w:t>交易系统按照规定的评审因素和标准对类似工程业绩、信用、获奖和发明专利、项目经理类似工程业绩（如有）进行评审计分。</w:t>
      </w:r>
    </w:p>
    <w:p w14:paraId="40A8CA3B">
      <w:pPr>
        <w:pStyle w:val="3"/>
        <w:spacing w:before="0" w:after="0" w:line="360" w:lineRule="auto"/>
        <w:rPr>
          <w:rFonts w:ascii="Times New Roman" w:hAnsi="Times New Roman" w:eastAsia="黑体"/>
          <w:b w:val="0"/>
          <w:bCs w:val="0"/>
          <w:color w:val="auto"/>
          <w:sz w:val="30"/>
          <w:highlight w:val="none"/>
        </w:rPr>
      </w:pPr>
      <w:bookmarkStart w:id="407" w:name="_Toc211498707"/>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.评标专家复核确认</w:t>
      </w:r>
      <w:bookmarkEnd w:id="407"/>
    </w:p>
    <w:p w14:paraId="1C288272">
      <w:pPr>
        <w:spacing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0A318869">
      <w:pPr>
        <w:spacing w:line="460" w:lineRule="exact"/>
        <w:ind w:firstLine="420" w:firstLineChars="200"/>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391089D7">
      <w:pPr>
        <w:pStyle w:val="3"/>
        <w:spacing w:before="0" w:after="0" w:line="360" w:lineRule="auto"/>
        <w:rPr>
          <w:rFonts w:ascii="Times New Roman" w:hAnsi="Times New Roman" w:eastAsia="黑体"/>
          <w:b w:val="0"/>
          <w:bCs w:val="0"/>
          <w:color w:val="auto"/>
          <w:sz w:val="30"/>
          <w:highlight w:val="none"/>
        </w:rPr>
      </w:pPr>
      <w:bookmarkStart w:id="408" w:name="_Toc211498708"/>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.技术（施工组织设计）评审</w:t>
      </w:r>
      <w:bookmarkEnd w:id="408"/>
    </w:p>
    <w:p w14:paraId="0FA9766F">
      <w:pPr>
        <w:pStyle w:val="15"/>
        <w:spacing w:after="0"/>
        <w:ind w:firstLine="420" w:firstLineChars="200"/>
        <w:rPr>
          <w:color w:val="auto"/>
          <w:szCs w:val="21"/>
          <w:highlight w:val="none"/>
        </w:rPr>
      </w:pPr>
      <w:r>
        <w:rPr>
          <w:rFonts w:hint="eastAsia" w:ascii="宋体" w:hAnsi="宋体" w:cs="宋体"/>
          <w:color w:val="auto"/>
          <w:szCs w:val="21"/>
          <w:highlight w:val="none"/>
        </w:rPr>
        <w:t>评标委员会对所有通过初步评审的投标人提交的施工组织设计进行评审，</w:t>
      </w:r>
      <w:r>
        <w:rPr>
          <w:rFonts w:hint="eastAsia"/>
          <w:color w:val="auto"/>
          <w:highlight w:val="none"/>
        </w:rPr>
        <w:t>在各评审因素细分项均能满足响应的情况下，其得分不应低于招标文件规定该评审因素满分值的85%，评分分值低于满分值85%的，评标委员会成员应当在评标报告中做出说明并注明详细理由和依据，不得采用笼统或简单的“一般、差”等表述。</w:t>
      </w:r>
    </w:p>
    <w:p w14:paraId="51EEACE0">
      <w:pPr>
        <w:pStyle w:val="3"/>
        <w:spacing w:before="0" w:after="0" w:line="360" w:lineRule="auto"/>
        <w:rPr>
          <w:rFonts w:ascii="Times New Roman" w:hAnsi="Times New Roman" w:eastAsia="黑体"/>
          <w:b w:val="0"/>
          <w:bCs w:val="0"/>
          <w:color w:val="auto"/>
          <w:sz w:val="30"/>
          <w:highlight w:val="none"/>
        </w:rPr>
      </w:pPr>
      <w:bookmarkStart w:id="409" w:name="_Toc211498709"/>
      <w:r>
        <w:rPr>
          <w:rFonts w:hint="eastAsia" w:ascii="Times New Roman" w:hAnsi="Times New Roman" w:eastAsia="黑体"/>
          <w:b w:val="0"/>
          <w:bCs w:val="0"/>
          <w:color w:val="auto"/>
          <w:sz w:val="30"/>
          <w:highlight w:val="none"/>
        </w:rPr>
        <w:t>7</w:t>
      </w:r>
      <w:r>
        <w:rPr>
          <w:rFonts w:ascii="Times New Roman" w:hAnsi="Times New Roman" w:eastAsia="黑体"/>
          <w:b w:val="0"/>
          <w:bCs w:val="0"/>
          <w:color w:val="auto"/>
          <w:sz w:val="30"/>
          <w:highlight w:val="none"/>
        </w:rPr>
        <w:t>.投标报价评审</w:t>
      </w:r>
      <w:bookmarkEnd w:id="409"/>
    </w:p>
    <w:p w14:paraId="0E7C1851">
      <w:pPr>
        <w:spacing w:line="360" w:lineRule="auto"/>
        <w:ind w:firstLine="420" w:firstLineChars="200"/>
        <w:rPr>
          <w:color w:val="auto"/>
          <w:szCs w:val="21"/>
          <w:highlight w:val="none"/>
        </w:rPr>
      </w:pPr>
      <w:r>
        <w:rPr>
          <w:rFonts w:hint="eastAsia"/>
          <w:color w:val="auto"/>
          <w:szCs w:val="21"/>
          <w:highlight w:val="none"/>
        </w:rPr>
        <w:t>交易系统按照招标文件规定的评审因素和标准进行评审计分。</w:t>
      </w:r>
    </w:p>
    <w:p w14:paraId="13DBA1CF">
      <w:pPr>
        <w:pStyle w:val="3"/>
        <w:spacing w:before="0" w:after="0" w:line="360" w:lineRule="auto"/>
        <w:rPr>
          <w:rFonts w:ascii="Times New Roman" w:hAnsi="Times New Roman" w:eastAsia="黑体"/>
          <w:b w:val="0"/>
          <w:bCs w:val="0"/>
          <w:color w:val="auto"/>
          <w:sz w:val="30"/>
          <w:highlight w:val="none"/>
        </w:rPr>
      </w:pPr>
      <w:bookmarkStart w:id="410" w:name="_Toc211498710"/>
      <w:r>
        <w:rPr>
          <w:rFonts w:hint="eastAsia" w:ascii="Times New Roman" w:hAnsi="Times New Roman" w:eastAsia="黑体"/>
          <w:b w:val="0"/>
          <w:bCs w:val="0"/>
          <w:color w:val="auto"/>
          <w:sz w:val="30"/>
          <w:highlight w:val="none"/>
        </w:rPr>
        <w:t>8.澄清、说明或补正</w:t>
      </w:r>
      <w:bookmarkEnd w:id="410"/>
    </w:p>
    <w:p w14:paraId="5A93D0C4">
      <w:pPr>
        <w:snapToGrid w:val="0"/>
        <w:spacing w:line="400" w:lineRule="exact"/>
        <w:ind w:firstLine="420" w:firstLineChars="200"/>
        <w:rPr>
          <w:color w:val="auto"/>
          <w:highlight w:val="none"/>
        </w:rPr>
      </w:pPr>
      <w:bookmarkStart w:id="411" w:name="_Hlk210327631"/>
      <w:r>
        <w:rPr>
          <w:color w:val="auto"/>
          <w:highlight w:val="none"/>
        </w:rPr>
        <w:t xml:space="preserve">8.1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6C334DE8">
      <w:pPr>
        <w:snapToGrid w:val="0"/>
        <w:spacing w:line="400" w:lineRule="exact"/>
        <w:ind w:firstLine="420" w:firstLineChars="200"/>
        <w:rPr>
          <w:color w:val="auto"/>
          <w:highlight w:val="none"/>
        </w:rPr>
      </w:pPr>
      <w:r>
        <w:rPr>
          <w:color w:val="auto"/>
          <w:highlight w:val="none"/>
        </w:rPr>
        <w:t xml:space="preserve">8.2 </w:t>
      </w:r>
      <w:r>
        <w:rPr>
          <w:rFonts w:hint="eastAsia"/>
          <w:color w:val="auto"/>
          <w:highlight w:val="none"/>
        </w:rPr>
        <w:t>澄清、说明和补正不得改变投标文件的实质性内容。投标人的书面澄清、说明和补正属于投标文件的组成部分。</w:t>
      </w:r>
    </w:p>
    <w:p w14:paraId="35BE97C8">
      <w:pPr>
        <w:snapToGrid w:val="0"/>
        <w:spacing w:line="400" w:lineRule="exact"/>
        <w:ind w:firstLine="420" w:firstLineChars="200"/>
        <w:rPr>
          <w:color w:val="auto"/>
          <w:highlight w:val="none"/>
        </w:rPr>
      </w:pPr>
      <w:r>
        <w:rPr>
          <w:color w:val="auto"/>
          <w:highlight w:val="none"/>
        </w:rPr>
        <w:t xml:space="preserve">8.3 </w:t>
      </w:r>
      <w:r>
        <w:rPr>
          <w:rFonts w:hint="eastAsia"/>
          <w:color w:val="auto"/>
          <w:highlight w:val="none"/>
        </w:rPr>
        <w:t>评标委员会对投标人提交的澄清、说明或补正有疑问的，可以要求投标人进一步澄清、说明或补正。</w:t>
      </w:r>
    </w:p>
    <w:p w14:paraId="13C8611D">
      <w:pPr>
        <w:adjustRightInd w:val="0"/>
        <w:snapToGrid w:val="0"/>
        <w:spacing w:line="440" w:lineRule="exact"/>
        <w:rPr>
          <w:color w:val="auto"/>
          <w:szCs w:val="21"/>
          <w:highlight w:val="none"/>
        </w:rPr>
      </w:pPr>
      <w:r>
        <w:rPr>
          <w:bCs/>
          <w:color w:val="auto"/>
          <w:szCs w:val="21"/>
          <w:highlight w:val="none"/>
        </w:rPr>
        <w:t xml:space="preserve">8.4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bookmarkEnd w:id="411"/>
    <w:p w14:paraId="44A7D49B">
      <w:pPr>
        <w:pStyle w:val="3"/>
        <w:spacing w:before="0" w:after="0" w:line="360" w:lineRule="auto"/>
        <w:rPr>
          <w:rFonts w:ascii="Times New Roman" w:hAnsi="Times New Roman" w:eastAsia="黑体"/>
          <w:b w:val="0"/>
          <w:bCs w:val="0"/>
          <w:color w:val="auto"/>
          <w:sz w:val="30"/>
          <w:highlight w:val="none"/>
        </w:rPr>
      </w:pPr>
      <w:bookmarkStart w:id="412" w:name="_Toc211498711"/>
      <w:r>
        <w:rPr>
          <w:rFonts w:hint="eastAsia" w:ascii="Times New Roman" w:hAnsi="Times New Roman" w:eastAsia="黑体"/>
          <w:b w:val="0"/>
          <w:bCs w:val="0"/>
          <w:color w:val="auto"/>
          <w:sz w:val="30"/>
          <w:highlight w:val="none"/>
        </w:rPr>
        <w:t>9.汇总评分结果</w:t>
      </w:r>
      <w:bookmarkEnd w:id="412"/>
    </w:p>
    <w:p w14:paraId="0BC9CAF1">
      <w:pPr>
        <w:adjustRightInd w:val="0"/>
        <w:snapToGrid w:val="0"/>
        <w:spacing w:line="440" w:lineRule="exact"/>
        <w:ind w:firstLine="420" w:firstLineChars="200"/>
        <w:rPr>
          <w:color w:val="auto"/>
          <w:szCs w:val="21"/>
          <w:highlight w:val="none"/>
        </w:rPr>
      </w:pPr>
      <w:r>
        <w:rPr>
          <w:rFonts w:hint="eastAsia"/>
          <w:bCs/>
          <w:color w:val="auto"/>
          <w:szCs w:val="21"/>
          <w:highlight w:val="none"/>
        </w:rPr>
        <w:t>评审工作全部结束后，汇总评审计分结果，并按照评标总得分由高至低的次序对投标人进行排序</w:t>
      </w:r>
      <w:r>
        <w:rPr>
          <w:rFonts w:hint="eastAsia"/>
          <w:color w:val="auto"/>
          <w:szCs w:val="21"/>
          <w:highlight w:val="none"/>
        </w:rPr>
        <w:t>。评分分值计算保留小数点后两位，小数点后第三位</w:t>
      </w:r>
      <w:r>
        <w:rPr>
          <w:color w:val="auto"/>
          <w:szCs w:val="21"/>
          <w:highlight w:val="none"/>
        </w:rPr>
        <w:t>“</w:t>
      </w:r>
      <w:r>
        <w:rPr>
          <w:rFonts w:hint="eastAsia"/>
          <w:color w:val="auto"/>
          <w:szCs w:val="21"/>
          <w:highlight w:val="none"/>
        </w:rPr>
        <w:t>四舍五入</w:t>
      </w:r>
      <w:r>
        <w:rPr>
          <w:color w:val="auto"/>
          <w:szCs w:val="21"/>
          <w:highlight w:val="none"/>
        </w:rPr>
        <w:t>”</w:t>
      </w:r>
      <w:r>
        <w:rPr>
          <w:rFonts w:hint="eastAsia"/>
          <w:color w:val="auto"/>
          <w:szCs w:val="21"/>
          <w:highlight w:val="none"/>
        </w:rPr>
        <w:t>。</w:t>
      </w:r>
    </w:p>
    <w:p w14:paraId="4FA86760">
      <w:pPr>
        <w:pStyle w:val="3"/>
        <w:spacing w:before="0" w:after="0" w:line="360" w:lineRule="auto"/>
        <w:rPr>
          <w:rFonts w:ascii="Times New Roman" w:hAnsi="Times New Roman" w:eastAsia="黑体"/>
          <w:b w:val="0"/>
          <w:bCs w:val="0"/>
          <w:color w:val="auto"/>
          <w:sz w:val="30"/>
          <w:highlight w:val="none"/>
        </w:rPr>
      </w:pPr>
      <w:bookmarkStart w:id="413" w:name="_Toc211498712"/>
      <w:r>
        <w:rPr>
          <w:rFonts w:ascii="Times New Roman" w:hAnsi="Times New Roman" w:eastAsia="黑体"/>
          <w:b w:val="0"/>
          <w:bCs w:val="0"/>
          <w:color w:val="auto"/>
          <w:sz w:val="30"/>
          <w:highlight w:val="none"/>
        </w:rPr>
        <w:t>10.中标人的确定</w:t>
      </w:r>
      <w:bookmarkEnd w:id="413"/>
    </w:p>
    <w:p w14:paraId="30461B68">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推荐中标候选人</w:t>
      </w:r>
    </w:p>
    <w:p w14:paraId="722FA881">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14:paraId="332F18EF">
      <w:pPr>
        <w:adjustRightInd w:val="0"/>
        <w:snapToGrid w:val="0"/>
        <w:spacing w:line="440" w:lineRule="exact"/>
        <w:ind w:firstLine="420" w:firstLineChars="200"/>
        <w:rPr>
          <w:color w:val="auto"/>
          <w:szCs w:val="21"/>
          <w:highlight w:val="none"/>
        </w:rPr>
      </w:pPr>
      <w:r>
        <w:rPr>
          <w:rFonts w:hint="eastAsia"/>
          <w:color w:val="auto"/>
          <w:szCs w:val="21"/>
          <w:highlight w:val="none"/>
        </w:rPr>
        <w:t>10.1.2 排序法，即：评标委员会推荐不超过3个有排序的中标候选人，招标人按照中标候选人的排序确定中标人。</w:t>
      </w:r>
    </w:p>
    <w:p w14:paraId="2C4558C6">
      <w:pPr>
        <w:adjustRightInd w:val="0"/>
        <w:snapToGrid w:val="0"/>
        <w:spacing w:line="440" w:lineRule="exact"/>
        <w:ind w:firstLine="420" w:firstLineChars="200"/>
        <w:rPr>
          <w:color w:val="auto"/>
          <w:szCs w:val="21"/>
          <w:highlight w:val="none"/>
        </w:rPr>
      </w:pPr>
      <w:r>
        <w:rPr>
          <w:rFonts w:hint="eastAsia"/>
          <w:color w:val="auto"/>
          <w:szCs w:val="21"/>
          <w:highlight w:val="none"/>
        </w:rPr>
        <w:t>10.1.3评标委员会</w:t>
      </w:r>
      <w:r>
        <w:rPr>
          <w:color w:val="auto"/>
          <w:szCs w:val="21"/>
          <w:highlight w:val="none"/>
        </w:rPr>
        <w:t>推荐中标候选人时，应遵照以下原则:</w:t>
      </w:r>
    </w:p>
    <w:p w14:paraId="0CB83AFC">
      <w:pPr>
        <w:adjustRightInd w:val="0"/>
        <w:snapToGrid w:val="0"/>
        <w:spacing w:line="440" w:lineRule="exact"/>
        <w:ind w:firstLine="420" w:firstLineChars="200"/>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14:paraId="47ADF7C2">
      <w:pPr>
        <w:adjustRightInd w:val="0"/>
        <w:snapToGrid w:val="0"/>
        <w:spacing w:line="440" w:lineRule="exact"/>
        <w:ind w:firstLine="420" w:firstLineChars="200"/>
        <w:rPr>
          <w:color w:val="auto"/>
          <w:szCs w:val="21"/>
          <w:highlight w:val="none"/>
        </w:rPr>
      </w:pPr>
      <w:bookmarkStart w:id="414" w:name="_Hlk210327716"/>
      <w:r>
        <w:rPr>
          <w:color w:val="auto"/>
          <w:szCs w:val="21"/>
          <w:highlight w:val="none"/>
        </w:rPr>
        <w:t>（2）</w:t>
      </w:r>
      <w:r>
        <w:rPr>
          <w:rFonts w:hint="eastAsia"/>
          <w:color w:val="auto"/>
          <w:szCs w:val="21"/>
          <w:highlight w:val="none"/>
        </w:rPr>
        <w:t>投标人评标总得分相同时，</w:t>
      </w:r>
      <w:r>
        <w:rPr>
          <w:rFonts w:asciiTheme="majorEastAsia" w:hAnsiTheme="majorEastAsia" w:eastAsiaTheme="majorEastAsia"/>
          <w:color w:val="auto"/>
          <w:szCs w:val="21"/>
          <w:highlight w:val="none"/>
        </w:rPr>
        <w:t>以投标报价低的优先；投标报价也相等的</w:t>
      </w:r>
      <w:r>
        <w:rPr>
          <w:rFonts w:hint="eastAsia" w:asciiTheme="majorEastAsia" w:hAnsiTheme="majorEastAsia" w:eastAsiaTheme="majorEastAsia"/>
          <w:color w:val="auto"/>
          <w:szCs w:val="21"/>
          <w:highlight w:val="none"/>
        </w:rPr>
        <w:t>，</w:t>
      </w:r>
      <w:r>
        <w:rPr>
          <w:rFonts w:hint="eastAsia"/>
          <w:color w:val="auto"/>
          <w:szCs w:val="21"/>
          <w:highlight w:val="none"/>
        </w:rPr>
        <w:t>依次按商务部分评审得分、技术方案评审得分由高到低确定排序；以上得分都相同不能确定中标候选人高低排序的，由交易系统随机确定不能高低排序的中标候选人。</w:t>
      </w:r>
    </w:p>
    <w:bookmarkEnd w:id="414"/>
    <w:p w14:paraId="60C325E4">
      <w:pPr>
        <w:adjustRightInd w:val="0"/>
        <w:snapToGrid w:val="0"/>
        <w:spacing w:line="440" w:lineRule="exact"/>
        <w:ind w:firstLine="420" w:firstLineChars="200"/>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6BCA9C56">
      <w:pPr>
        <w:adjustRightInd w:val="0"/>
        <w:snapToGrid w:val="0"/>
        <w:spacing w:line="440" w:lineRule="exact"/>
        <w:ind w:firstLine="420" w:firstLineChars="200"/>
        <w:rPr>
          <w:color w:val="auto"/>
          <w:highlight w:val="none"/>
        </w:rPr>
      </w:pPr>
      <w:r>
        <w:rPr>
          <w:rFonts w:hint="eastAsia"/>
          <w:color w:val="auto"/>
          <w:highlight w:val="none"/>
        </w:rPr>
        <w:t>10.2 中标人的确定</w:t>
      </w:r>
    </w:p>
    <w:p w14:paraId="7349205E">
      <w:pPr>
        <w:pStyle w:val="15"/>
        <w:spacing w:line="440" w:lineRule="exact"/>
        <w:ind w:firstLine="420" w:firstLineChars="200"/>
        <w:rPr>
          <w:color w:val="auto"/>
          <w:szCs w:val="21"/>
          <w:highlight w:val="none"/>
        </w:rPr>
      </w:pPr>
      <w:r>
        <w:rPr>
          <w:rFonts w:hint="eastAsia"/>
          <w:color w:val="auto"/>
          <w:highlight w:val="none"/>
        </w:rPr>
        <w:t>10.2.1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公示期间，对评标结果有异议或投诉的，将按照相关规定进行处理。异议或投诉处理完毕之后方可组织开展定标工作。定标工作按照第二章</w:t>
      </w:r>
      <w:r>
        <w:rPr>
          <w:rFonts w:hint="eastAsia"/>
          <w:color w:val="auto"/>
          <w:szCs w:val="21"/>
          <w:highlight w:val="none"/>
        </w:rPr>
        <w:t>附件</w:t>
      </w:r>
      <w:r>
        <w:rPr>
          <w:color w:val="auto"/>
          <w:szCs w:val="21"/>
          <w:highlight w:val="none"/>
        </w:rPr>
        <w:t>2</w:t>
      </w:r>
      <w:r>
        <w:rPr>
          <w:rFonts w:hint="eastAsia"/>
          <w:color w:val="auto"/>
          <w:szCs w:val="21"/>
          <w:highlight w:val="none"/>
        </w:rPr>
        <w:t>-3评定分离工作</w:t>
      </w:r>
      <w:r>
        <w:rPr>
          <w:rFonts w:hint="eastAsia"/>
          <w:color w:val="auto"/>
          <w:szCs w:val="21"/>
          <w:highlight w:val="none"/>
          <w:lang w:val="en-US" w:eastAsia="zh-CN"/>
        </w:rPr>
        <w:t>规则</w:t>
      </w:r>
      <w:r>
        <w:rPr>
          <w:rFonts w:hint="eastAsia"/>
          <w:color w:val="auto"/>
          <w:szCs w:val="21"/>
          <w:highlight w:val="none"/>
        </w:rPr>
        <w:t>执行。</w:t>
      </w:r>
    </w:p>
    <w:p w14:paraId="36B40575">
      <w:pPr>
        <w:spacing w:line="440" w:lineRule="exact"/>
        <w:ind w:firstLine="420" w:firstLineChars="200"/>
        <w:rPr>
          <w:color w:val="auto"/>
          <w:szCs w:val="21"/>
          <w:highlight w:val="none"/>
        </w:rPr>
      </w:pPr>
      <w:r>
        <w:rPr>
          <w:rFonts w:hint="eastAsia"/>
          <w:color w:val="auto"/>
          <w:highlight w:val="none"/>
        </w:rPr>
        <w:t>10.2.1采用排序法确定中标人的，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6BE45115">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.3 编制评标报告</w:t>
      </w:r>
    </w:p>
    <w:p w14:paraId="6E36D71A">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3B197139">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6CD46FEC">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176C3DCF">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52D32A8A">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05C90061">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61F5DE89">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14:paraId="66321545">
      <w:pPr>
        <w:adjustRightInd w:val="0"/>
        <w:snapToGrid w:val="0"/>
        <w:spacing w:before="94"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1790E6F8">
      <w:pPr>
        <w:adjustRightInd w:val="0"/>
        <w:snapToGrid w:val="0"/>
        <w:spacing w:before="94" w:beforeLines="30" w:line="300" w:lineRule="auto"/>
        <w:ind w:firstLine="420" w:firstLineChars="200"/>
        <w:rPr>
          <w:color w:val="auto"/>
          <w:szCs w:val="21"/>
          <w:highlight w:val="none"/>
        </w:rPr>
      </w:pPr>
      <w:r>
        <w:rPr>
          <w:color w:val="auto"/>
          <w:szCs w:val="21"/>
          <w:highlight w:val="none"/>
        </w:rPr>
        <w:t>（8）经评审的投标人排序；</w:t>
      </w:r>
    </w:p>
    <w:p w14:paraId="71E92C03">
      <w:pPr>
        <w:adjustRightInd w:val="0"/>
        <w:snapToGrid w:val="0"/>
        <w:spacing w:before="94"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0B14392C">
      <w:pPr>
        <w:adjustRightInd w:val="0"/>
        <w:snapToGrid w:val="0"/>
        <w:spacing w:before="94" w:beforeLines="30" w:line="300" w:lineRule="auto"/>
        <w:ind w:firstLine="420" w:firstLineChars="200"/>
        <w:rPr>
          <w:color w:val="auto"/>
          <w:szCs w:val="21"/>
          <w:highlight w:val="none"/>
        </w:rPr>
      </w:pPr>
      <w:r>
        <w:rPr>
          <w:color w:val="auto"/>
          <w:szCs w:val="21"/>
          <w:highlight w:val="none"/>
        </w:rPr>
        <w:t>（10）澄清、说明、补正事项纪要。</w:t>
      </w:r>
    </w:p>
    <w:p w14:paraId="26DCA50E">
      <w:pPr>
        <w:pStyle w:val="3"/>
        <w:spacing w:before="0" w:after="0" w:line="360" w:lineRule="auto"/>
        <w:rPr>
          <w:rFonts w:ascii="Times New Roman" w:hAnsi="Times New Roman" w:eastAsia="黑体"/>
          <w:b w:val="0"/>
          <w:bCs w:val="0"/>
          <w:color w:val="auto"/>
          <w:sz w:val="30"/>
          <w:highlight w:val="none"/>
        </w:rPr>
      </w:pPr>
      <w:bookmarkStart w:id="415" w:name="_Toc211498713"/>
      <w:r>
        <w:rPr>
          <w:rFonts w:ascii="Times New Roman" w:hAnsi="Times New Roman" w:eastAsia="黑体"/>
          <w:b w:val="0"/>
          <w:bCs w:val="0"/>
          <w:color w:val="auto"/>
          <w:sz w:val="30"/>
          <w:highlight w:val="none"/>
        </w:rPr>
        <w:t>11．特殊情况的处置程序</w:t>
      </w:r>
      <w:bookmarkEnd w:id="415"/>
    </w:p>
    <w:p w14:paraId="7716CE70">
      <w:pPr>
        <w:widowControl/>
        <w:spacing w:line="440" w:lineRule="exact"/>
        <w:ind w:left="210" w:leftChars="100" w:firstLine="210" w:firstLineChars="100"/>
        <w:jc w:val="left"/>
        <w:rPr>
          <w:color w:val="auto"/>
          <w:szCs w:val="21"/>
          <w:highlight w:val="none"/>
        </w:rPr>
      </w:pPr>
      <w:r>
        <w:rPr>
          <w:rFonts w:hint="eastAsia"/>
          <w:color w:val="auto"/>
          <w:szCs w:val="21"/>
          <w:highlight w:val="none"/>
        </w:rPr>
        <w:t>11</w:t>
      </w:r>
      <w:r>
        <w:rPr>
          <w:color w:val="auto"/>
          <w:szCs w:val="21"/>
          <w:highlight w:val="none"/>
        </w:rPr>
        <w:t>.1 施工组织设计（暗标）的评审</w:t>
      </w:r>
    </w:p>
    <w:p w14:paraId="6811C2D0">
      <w:pPr>
        <w:widowControl/>
        <w:spacing w:line="440" w:lineRule="exact"/>
        <w:ind w:left="210" w:leftChars="100" w:firstLine="420" w:firstLineChars="200"/>
        <w:jc w:val="left"/>
        <w:rPr>
          <w:color w:val="auto"/>
          <w:szCs w:val="21"/>
          <w:highlight w:val="none"/>
        </w:rPr>
      </w:pPr>
      <w:r>
        <w:rPr>
          <w:rFonts w:hint="eastAsia"/>
          <w:color w:val="auto"/>
          <w:szCs w:val="21"/>
          <w:highlight w:val="none"/>
        </w:rPr>
        <w:t>商务及报价评审完成之后</w:t>
      </w:r>
      <w:r>
        <w:rPr>
          <w:color w:val="auto"/>
          <w:szCs w:val="21"/>
          <w:highlight w:val="none"/>
        </w:rPr>
        <w:t>，将</w:t>
      </w:r>
      <w:r>
        <w:rPr>
          <w:rFonts w:hint="eastAsia"/>
          <w:color w:val="auto"/>
          <w:szCs w:val="21"/>
          <w:highlight w:val="none"/>
        </w:rPr>
        <w:t>施工组织设计</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14:paraId="5B34E551">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05D71638">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32224921">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3E1B64E1">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6AB39E73">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012F3188">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14:paraId="4824D413">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7A191A75">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2107AAEB">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6910BC22">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6B45EFA7">
      <w:pPr>
        <w:pStyle w:val="3"/>
        <w:spacing w:before="0" w:after="0" w:line="360" w:lineRule="auto"/>
        <w:rPr>
          <w:rFonts w:ascii="Times New Roman" w:hAnsi="Times New Roman" w:eastAsia="黑体"/>
          <w:b w:val="0"/>
          <w:bCs w:val="0"/>
          <w:color w:val="auto"/>
          <w:sz w:val="30"/>
          <w:highlight w:val="none"/>
        </w:rPr>
      </w:pPr>
      <w:bookmarkStart w:id="416" w:name="_Toc211498714"/>
      <w:r>
        <w:rPr>
          <w:rFonts w:ascii="Times New Roman" w:hAnsi="Times New Roman" w:eastAsia="黑体"/>
          <w:b w:val="0"/>
          <w:bCs w:val="0"/>
          <w:color w:val="auto"/>
          <w:sz w:val="30"/>
          <w:highlight w:val="none"/>
        </w:rPr>
        <w:t>12.补充条款</w:t>
      </w:r>
      <w:bookmarkEnd w:id="416"/>
    </w:p>
    <w:p w14:paraId="7B6F1205">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30267BD1">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536E168D">
      <w:pPr>
        <w:adjustRightInd w:val="0"/>
        <w:snapToGrid w:val="0"/>
        <w:spacing w:line="360" w:lineRule="auto"/>
        <w:ind w:firstLine="420" w:firstLineChars="200"/>
        <w:rPr>
          <w:color w:val="auto"/>
          <w:szCs w:val="21"/>
          <w:highlight w:val="none"/>
        </w:rPr>
      </w:pPr>
      <w:bookmarkStart w:id="417" w:name="_Hlk210292821"/>
      <w:r>
        <w:rPr>
          <w:rFonts w:hint="eastAsia"/>
          <w:color w:val="auto"/>
          <w:szCs w:val="21"/>
          <w:highlight w:val="none"/>
        </w:rPr>
        <w:t>12</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bookmarkEnd w:id="417"/>
    <w:p w14:paraId="145D7D63">
      <w:pPr>
        <w:rPr>
          <w:color w:val="auto"/>
          <w:szCs w:val="21"/>
          <w:highlight w:val="none"/>
        </w:rPr>
        <w:sectPr>
          <w:footerReference r:id="rId14" w:type="first"/>
          <w:footerReference r:id="rId13" w:type="default"/>
          <w:pgSz w:w="11906" w:h="16838"/>
          <w:pgMar w:top="1417" w:right="1440" w:bottom="1417" w:left="1440" w:header="850" w:footer="850" w:gutter="0"/>
          <w:cols w:space="720" w:num="1"/>
          <w:titlePg/>
          <w:docGrid w:type="lines" w:linePitch="315" w:charSpace="0"/>
        </w:sectPr>
      </w:pPr>
    </w:p>
    <w:p w14:paraId="225B6AA9">
      <w:pPr>
        <w:pStyle w:val="2"/>
        <w:spacing w:before="0" w:after="0"/>
        <w:jc w:val="center"/>
        <w:rPr>
          <w:rFonts w:ascii="Times New Roman" w:hAnsi="Times New Roman"/>
          <w:b w:val="0"/>
          <w:color w:val="auto"/>
          <w:highlight w:val="none"/>
        </w:rPr>
      </w:pPr>
      <w:bookmarkStart w:id="418" w:name="_Toc211498715"/>
      <w:r>
        <w:rPr>
          <w:rFonts w:ascii="Times New Roman" w:hAnsi="Times New Roman" w:eastAsia="黑体"/>
          <w:b w:val="0"/>
          <w:bCs w:val="0"/>
          <w:color w:val="auto"/>
          <w:highlight w:val="none"/>
        </w:rPr>
        <w:t>第四章  合同条款及格式</w:t>
      </w:r>
      <w:bookmarkEnd w:id="392"/>
      <w:bookmarkEnd w:id="418"/>
      <w:bookmarkStart w:id="419" w:name="_Toc337558727"/>
      <w:r>
        <w:rPr>
          <w:rFonts w:ascii="Times New Roman" w:hAnsi="Times New Roman"/>
          <w:b w:val="0"/>
          <w:color w:val="auto"/>
          <w:highlight w:val="none"/>
        </w:rPr>
        <w:t xml:space="preserve"> </w:t>
      </w:r>
    </w:p>
    <w:p w14:paraId="1E8C2B0E">
      <w:pPr>
        <w:spacing w:line="480" w:lineRule="exact"/>
        <w:ind w:firstLine="420" w:firstLineChars="150"/>
        <w:rPr>
          <w:color w:val="auto"/>
          <w:sz w:val="28"/>
          <w:szCs w:val="28"/>
          <w:highlight w:val="none"/>
          <w:lang w:val="zh-CN"/>
        </w:rPr>
      </w:pPr>
    </w:p>
    <w:p w14:paraId="480517B1">
      <w:pPr>
        <w:spacing w:line="480" w:lineRule="exact"/>
        <w:ind w:firstLine="315" w:firstLineChars="150"/>
        <w:rPr>
          <w:color w:val="auto"/>
          <w:szCs w:val="21"/>
          <w:highlight w:val="none"/>
        </w:rPr>
      </w:pPr>
      <w:r>
        <w:rPr>
          <w:rFonts w:hint="eastAsia"/>
          <w:color w:val="auto"/>
          <w:szCs w:val="21"/>
          <w:highlight w:val="none"/>
        </w:rPr>
        <w:t>说明：</w:t>
      </w:r>
      <w:r>
        <w:rPr>
          <w:color w:val="auto"/>
          <w:szCs w:val="21"/>
          <w:highlight w:val="none"/>
        </w:rPr>
        <w:t>合同条款及格式</w:t>
      </w:r>
      <w:r>
        <w:rPr>
          <w:rFonts w:hint="eastAsia"/>
          <w:color w:val="auto"/>
          <w:szCs w:val="21"/>
          <w:highlight w:val="none"/>
        </w:rPr>
        <w:t>应当作为</w:t>
      </w:r>
      <w:r>
        <w:rPr>
          <w:color w:val="auto"/>
          <w:szCs w:val="21"/>
          <w:highlight w:val="none"/>
        </w:rPr>
        <w:t>招标文件的组成部分，</w:t>
      </w:r>
      <w:r>
        <w:rPr>
          <w:rFonts w:hint="eastAsia" w:ascii="宋体" w:hAnsi="宋体" w:cs="宋体"/>
          <w:color w:val="auto"/>
          <w:szCs w:val="21"/>
          <w:highlight w:val="none"/>
        </w:rPr>
        <w:t>合同条款及格式推荐采用</w:t>
      </w:r>
      <w:r>
        <w:rPr>
          <w:rFonts w:hint="eastAsia"/>
          <w:color w:val="auto"/>
          <w:szCs w:val="21"/>
          <w:highlight w:val="none"/>
          <w:u w:val="single"/>
        </w:rPr>
        <w:t>《建设工程施工合同（示范文本）》（</w:t>
      </w:r>
      <w:r>
        <w:rPr>
          <w:color w:val="auto"/>
          <w:szCs w:val="21"/>
          <w:highlight w:val="none"/>
          <w:u w:val="single"/>
        </w:rPr>
        <w:t>GF-2017-0201</w:t>
      </w:r>
      <w:r>
        <w:rPr>
          <w:rFonts w:hint="eastAsia"/>
          <w:color w:val="auto"/>
          <w:szCs w:val="21"/>
          <w:highlight w:val="none"/>
          <w:u w:val="single"/>
        </w:rPr>
        <w:t>）</w:t>
      </w:r>
      <w:r>
        <w:rPr>
          <w:color w:val="auto"/>
          <w:szCs w:val="21"/>
          <w:highlight w:val="none"/>
        </w:rPr>
        <w:t>。</w:t>
      </w:r>
    </w:p>
    <w:p w14:paraId="5B2B2191">
      <w:pPr>
        <w:spacing w:line="480" w:lineRule="exact"/>
        <w:jc w:val="center"/>
        <w:rPr>
          <w:color w:val="auto"/>
          <w:sz w:val="24"/>
          <w:highlight w:val="none"/>
        </w:rPr>
      </w:pPr>
    </w:p>
    <w:bookmarkEnd w:id="419"/>
    <w:p w14:paraId="14D6A4C8">
      <w:pPr>
        <w:spacing w:line="480" w:lineRule="exact"/>
        <w:jc w:val="center"/>
        <w:rPr>
          <w:color w:val="auto"/>
          <w:sz w:val="32"/>
          <w:szCs w:val="32"/>
          <w:highlight w:val="none"/>
        </w:rPr>
      </w:pPr>
      <w:bookmarkStart w:id="420" w:name="_Toc351203632"/>
    </w:p>
    <w:p w14:paraId="4AB77B9C">
      <w:pPr>
        <w:spacing w:line="480" w:lineRule="exact"/>
        <w:jc w:val="center"/>
        <w:rPr>
          <w:color w:val="auto"/>
          <w:sz w:val="32"/>
          <w:szCs w:val="32"/>
          <w:highlight w:val="none"/>
        </w:rPr>
      </w:pPr>
    </w:p>
    <w:p w14:paraId="161AE661">
      <w:pPr>
        <w:pStyle w:val="3"/>
        <w:spacing w:line="360" w:lineRule="auto"/>
        <w:jc w:val="center"/>
        <w:rPr>
          <w:rFonts w:ascii="Times New Roman" w:hAnsi="Times New Roman" w:eastAsia="黑体"/>
          <w:b w:val="0"/>
          <w:bCs w:val="0"/>
          <w:color w:val="auto"/>
          <w:sz w:val="30"/>
          <w:highlight w:val="none"/>
        </w:rPr>
      </w:pPr>
      <w:bookmarkStart w:id="421" w:name="_Toc211498716"/>
      <w:bookmarkStart w:id="422" w:name="_Toc296890982"/>
      <w:bookmarkStart w:id="423" w:name="_Toc296503025"/>
      <w:bookmarkStart w:id="424" w:name="_Toc351203480"/>
      <w:bookmarkStart w:id="425" w:name="_Toc80006110"/>
      <w:r>
        <w:rPr>
          <w:rFonts w:ascii="Times New Roman" w:hAnsi="Times New Roman" w:eastAsia="黑体"/>
          <w:b w:val="0"/>
          <w:bCs w:val="0"/>
          <w:color w:val="auto"/>
          <w:sz w:val="30"/>
          <w:highlight w:val="none"/>
        </w:rPr>
        <w:t>第一</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合同协议书</w:t>
      </w:r>
      <w:bookmarkEnd w:id="421"/>
      <w:bookmarkEnd w:id="422"/>
      <w:bookmarkEnd w:id="423"/>
      <w:bookmarkEnd w:id="424"/>
      <w:bookmarkEnd w:id="425"/>
    </w:p>
    <w:p w14:paraId="4906D6B8">
      <w:pPr>
        <w:spacing w:line="480" w:lineRule="exact"/>
        <w:rPr>
          <w:rFonts w:hint="eastAsia" w:ascii="宋体" w:hAnsi="宋体"/>
          <w:color w:val="auto"/>
          <w:sz w:val="24"/>
          <w:highlight w:val="none"/>
        </w:rPr>
      </w:pPr>
    </w:p>
    <w:p w14:paraId="1216EC94">
      <w:pPr>
        <w:spacing w:line="480" w:lineRule="exact"/>
        <w:rPr>
          <w:rFonts w:hint="eastAsia" w:ascii="宋体" w:hAnsi="宋体"/>
          <w:color w:val="auto"/>
          <w:szCs w:val="21"/>
          <w:highlight w:val="none"/>
          <w:u w:val="single"/>
        </w:rPr>
      </w:pPr>
      <w:r>
        <w:rPr>
          <w:rFonts w:ascii="宋体" w:hAnsi="宋体"/>
          <w:color w:val="auto"/>
          <w:szCs w:val="21"/>
          <w:highlight w:val="none"/>
        </w:rPr>
        <w:t>发包人（全称）：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4E95D45B">
      <w:pPr>
        <w:spacing w:line="480" w:lineRule="exact"/>
        <w:rPr>
          <w:rFonts w:hint="eastAsia" w:ascii="宋体" w:hAnsi="宋体"/>
          <w:color w:val="auto"/>
          <w:szCs w:val="21"/>
          <w:highlight w:val="none"/>
          <w:u w:val="single"/>
        </w:rPr>
      </w:pPr>
      <w:r>
        <w:rPr>
          <w:rFonts w:ascii="宋体" w:hAnsi="宋体"/>
          <w:color w:val="auto"/>
          <w:szCs w:val="21"/>
          <w:highlight w:val="none"/>
        </w:rPr>
        <w:t>承包人（全称）：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4BB34BB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根据《中华人民共和国</w:t>
      </w:r>
      <w:r>
        <w:rPr>
          <w:rFonts w:hint="eastAsia" w:ascii="宋体" w:hAnsi="宋体"/>
          <w:color w:val="auto"/>
          <w:szCs w:val="21"/>
          <w:highlight w:val="none"/>
        </w:rPr>
        <w:t>民法典</w:t>
      </w:r>
      <w:r>
        <w:rPr>
          <w:rFonts w:ascii="宋体" w:hAnsi="宋体"/>
          <w:color w:val="auto"/>
          <w:szCs w:val="21"/>
          <w:highlight w:val="none"/>
        </w:rPr>
        <w:t>》、《中华人民共和国建筑法》及有关法律规定，遵循平等、自愿、公平和诚实信用的原则，双方就</w:t>
      </w:r>
      <w:r>
        <w:rPr>
          <w:rFonts w:ascii="宋体" w:hAnsi="宋体"/>
          <w:color w:val="auto"/>
          <w:szCs w:val="21"/>
          <w:highlight w:val="none"/>
          <w:u w:val="single"/>
        </w:rPr>
        <w:t xml:space="preserve">                       </w:t>
      </w:r>
      <w:r>
        <w:rPr>
          <w:rFonts w:ascii="宋体" w:hAnsi="宋体"/>
          <w:color w:val="auto"/>
          <w:szCs w:val="21"/>
          <w:highlight w:val="none"/>
        </w:rPr>
        <w:t>工程施工及有关事项协商一致</w:t>
      </w:r>
      <w:r>
        <w:rPr>
          <w:rFonts w:hint="eastAsia" w:ascii="宋体" w:hAnsi="宋体"/>
          <w:color w:val="auto"/>
          <w:szCs w:val="21"/>
          <w:highlight w:val="none"/>
        </w:rPr>
        <w:t>，</w:t>
      </w:r>
      <w:r>
        <w:rPr>
          <w:rFonts w:ascii="宋体" w:hAnsi="宋体"/>
          <w:color w:val="auto"/>
          <w:szCs w:val="21"/>
          <w:highlight w:val="none"/>
        </w:rPr>
        <w:t>共同达成如下协议：</w:t>
      </w:r>
    </w:p>
    <w:p w14:paraId="427B2533">
      <w:pPr>
        <w:spacing w:line="480" w:lineRule="exact"/>
        <w:ind w:firstLine="420" w:firstLineChars="200"/>
        <w:rPr>
          <w:rFonts w:hint="eastAsia" w:ascii="宋体" w:hAnsi="宋体"/>
          <w:color w:val="auto"/>
          <w:szCs w:val="21"/>
          <w:highlight w:val="none"/>
        </w:rPr>
      </w:pPr>
      <w:bookmarkStart w:id="426" w:name="_Toc351203481"/>
      <w:r>
        <w:rPr>
          <w:rFonts w:ascii="宋体" w:hAnsi="宋体"/>
          <w:color w:val="auto"/>
          <w:szCs w:val="21"/>
          <w:highlight w:val="none"/>
        </w:rPr>
        <w:t>一、工程概况</w:t>
      </w:r>
      <w:bookmarkEnd w:id="426"/>
    </w:p>
    <w:p w14:paraId="58BD996F">
      <w:pPr>
        <w:spacing w:line="480" w:lineRule="exact"/>
        <w:ind w:firstLine="411" w:firstLineChars="196"/>
        <w:rPr>
          <w:rFonts w:hint="eastAsia" w:ascii="宋体" w:hAnsi="宋体"/>
          <w:color w:val="auto"/>
          <w:szCs w:val="21"/>
          <w:highlight w:val="none"/>
          <w:u w:val="single"/>
        </w:rPr>
      </w:pPr>
      <w:r>
        <w:rPr>
          <w:rFonts w:ascii="宋体" w:hAnsi="宋体"/>
          <w:bCs/>
          <w:color w:val="auto"/>
          <w:szCs w:val="21"/>
          <w:highlight w:val="none"/>
        </w:rPr>
        <w:t>1.工程名称</w:t>
      </w:r>
      <w:r>
        <w:rPr>
          <w:rFonts w:ascii="宋体" w:hAnsi="宋体"/>
          <w:color w:val="auto"/>
          <w:szCs w:val="21"/>
          <w:highlight w:val="none"/>
        </w:rPr>
        <w:t>：</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878A550">
      <w:pPr>
        <w:spacing w:line="480" w:lineRule="exact"/>
        <w:ind w:firstLine="411" w:firstLineChars="196"/>
        <w:rPr>
          <w:rFonts w:hint="eastAsia" w:ascii="宋体" w:hAnsi="宋体"/>
          <w:bCs/>
          <w:color w:val="auto"/>
          <w:szCs w:val="21"/>
          <w:highlight w:val="none"/>
        </w:rPr>
      </w:pPr>
      <w:r>
        <w:rPr>
          <w:rFonts w:ascii="宋体" w:hAnsi="宋体"/>
          <w:bCs/>
          <w:color w:val="auto"/>
          <w:szCs w:val="21"/>
          <w:highlight w:val="none"/>
        </w:rPr>
        <w:t>2.工程地点：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4891E14">
      <w:pPr>
        <w:spacing w:line="480" w:lineRule="exact"/>
        <w:ind w:firstLine="411" w:firstLineChars="196"/>
        <w:rPr>
          <w:rFonts w:hint="eastAsia" w:ascii="宋体" w:hAnsi="宋体"/>
          <w:bCs/>
          <w:color w:val="auto"/>
          <w:szCs w:val="21"/>
          <w:highlight w:val="none"/>
        </w:rPr>
      </w:pPr>
      <w:r>
        <w:rPr>
          <w:rFonts w:ascii="宋体" w:hAnsi="宋体"/>
          <w:bCs/>
          <w:color w:val="auto"/>
          <w:szCs w:val="21"/>
          <w:highlight w:val="none"/>
        </w:rPr>
        <w:t>3.工程立项批准文号：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14:paraId="5CE66190">
      <w:pPr>
        <w:spacing w:line="480" w:lineRule="exact"/>
        <w:ind w:firstLine="411" w:firstLineChars="196"/>
        <w:rPr>
          <w:rFonts w:hint="eastAsia" w:ascii="宋体" w:hAnsi="宋体"/>
          <w:bCs/>
          <w:color w:val="auto"/>
          <w:szCs w:val="21"/>
          <w:highlight w:val="none"/>
        </w:rPr>
      </w:pPr>
      <w:r>
        <w:rPr>
          <w:rFonts w:ascii="宋体" w:hAnsi="宋体"/>
          <w:bCs/>
          <w:color w:val="auto"/>
          <w:szCs w:val="21"/>
          <w:highlight w:val="none"/>
        </w:rPr>
        <w:t>4.资金来源：</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14:paraId="125EC105">
      <w:pPr>
        <w:spacing w:line="480" w:lineRule="exact"/>
        <w:ind w:firstLine="411" w:firstLineChars="196"/>
        <w:rPr>
          <w:rFonts w:hint="eastAsia" w:ascii="宋体" w:hAnsi="宋体"/>
          <w:bCs/>
          <w:color w:val="auto"/>
          <w:szCs w:val="21"/>
          <w:highlight w:val="none"/>
        </w:rPr>
      </w:pPr>
      <w:r>
        <w:rPr>
          <w:rFonts w:hint="eastAsia" w:ascii="宋体" w:hAnsi="宋体"/>
          <w:bCs/>
          <w:color w:val="auto"/>
          <w:szCs w:val="21"/>
          <w:highlight w:val="none"/>
        </w:rPr>
        <w:t>5.工程内容：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14:paraId="6D6D61DB">
      <w:pPr>
        <w:spacing w:line="480" w:lineRule="exact"/>
        <w:ind w:firstLine="411" w:firstLineChars="196"/>
        <w:rPr>
          <w:rFonts w:hint="eastAsia" w:ascii="宋体" w:hAnsi="宋体"/>
          <w:bCs/>
          <w:color w:val="auto"/>
          <w:szCs w:val="21"/>
          <w:highlight w:val="none"/>
        </w:rPr>
      </w:pPr>
      <w:r>
        <w:rPr>
          <w:rFonts w:hint="eastAsia" w:ascii="宋体" w:hAnsi="宋体"/>
          <w:color w:val="auto"/>
          <w:szCs w:val="21"/>
          <w:highlight w:val="none"/>
        </w:rPr>
        <w:t>群体工程应附《</w:t>
      </w:r>
      <w:r>
        <w:rPr>
          <w:rFonts w:ascii="宋体" w:hAnsi="宋体"/>
          <w:color w:val="auto"/>
          <w:szCs w:val="21"/>
          <w:highlight w:val="none"/>
        </w:rPr>
        <w:t>承包人承揽工程项目一览表</w:t>
      </w:r>
      <w:r>
        <w:rPr>
          <w:rFonts w:hint="eastAsia" w:ascii="宋体" w:hAnsi="宋体"/>
          <w:color w:val="auto"/>
          <w:szCs w:val="21"/>
          <w:highlight w:val="none"/>
        </w:rPr>
        <w:t>》（附件1）。</w:t>
      </w:r>
    </w:p>
    <w:p w14:paraId="2CBF084D">
      <w:pPr>
        <w:spacing w:line="480" w:lineRule="exact"/>
        <w:ind w:firstLine="411" w:firstLineChars="196"/>
        <w:rPr>
          <w:rFonts w:hint="eastAsia" w:ascii="宋体" w:hAnsi="宋体"/>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.工程承包范围：</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063D8B44">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27" w:name="_Toc351203482"/>
      <w:r>
        <w:rPr>
          <w:rFonts w:ascii="宋体" w:hAnsi="宋体"/>
          <w:color w:val="auto"/>
          <w:szCs w:val="21"/>
          <w:highlight w:val="none"/>
        </w:rPr>
        <w:t>二、合同工期</w:t>
      </w:r>
      <w:bookmarkEnd w:id="427"/>
    </w:p>
    <w:p w14:paraId="5AD2B5DE">
      <w:pPr>
        <w:spacing w:line="480" w:lineRule="exact"/>
        <w:ind w:firstLine="459"/>
        <w:rPr>
          <w:rFonts w:hint="eastAsia" w:ascii="宋体" w:hAnsi="宋体"/>
          <w:color w:val="auto"/>
          <w:szCs w:val="21"/>
          <w:highlight w:val="none"/>
        </w:rPr>
      </w:pPr>
      <w:r>
        <w:rPr>
          <w:rFonts w:ascii="宋体" w:hAnsi="宋体"/>
          <w:color w:val="auto"/>
          <w:szCs w:val="21"/>
          <w:highlight w:val="none"/>
        </w:rPr>
        <w:t>计划开工日期：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14:paraId="70E636B7">
      <w:pPr>
        <w:spacing w:line="480" w:lineRule="exact"/>
        <w:ind w:firstLine="459"/>
        <w:rPr>
          <w:rFonts w:hint="eastAsia" w:ascii="宋体" w:hAnsi="宋体"/>
          <w:color w:val="auto"/>
          <w:szCs w:val="21"/>
          <w:highlight w:val="none"/>
        </w:rPr>
      </w:pPr>
      <w:r>
        <w:rPr>
          <w:rFonts w:ascii="宋体" w:hAnsi="宋体"/>
          <w:color w:val="auto"/>
          <w:szCs w:val="21"/>
          <w:highlight w:val="none"/>
        </w:rPr>
        <w:t>计划竣工日期：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14:paraId="6711F043">
      <w:pPr>
        <w:spacing w:line="480" w:lineRule="exact"/>
        <w:ind w:firstLine="459"/>
        <w:rPr>
          <w:rFonts w:hint="eastAsia" w:ascii="宋体" w:hAnsi="宋体"/>
          <w:color w:val="auto"/>
          <w:szCs w:val="21"/>
          <w:highlight w:val="none"/>
        </w:rPr>
      </w:pPr>
      <w:r>
        <w:rPr>
          <w:rFonts w:ascii="宋体" w:hAnsi="宋体"/>
          <w:color w:val="auto"/>
          <w:szCs w:val="21"/>
          <w:highlight w:val="none"/>
        </w:rPr>
        <w:t>工期总日历天数：</w:t>
      </w:r>
      <w:r>
        <w:rPr>
          <w:rFonts w:ascii="宋体" w:hAnsi="宋体"/>
          <w:color w:val="auto"/>
          <w:szCs w:val="21"/>
          <w:highlight w:val="none"/>
          <w:u w:val="single"/>
        </w:rPr>
        <w:t></w:t>
      </w:r>
      <w:r>
        <w:rPr>
          <w:rFonts w:ascii="宋体" w:hAnsi="宋体"/>
          <w:color w:val="auto"/>
          <w:szCs w:val="21"/>
          <w:highlight w:val="none"/>
        </w:rPr>
        <w:t>天。工期总日历天数与根据前述计划开竣工日期计算的工期天数不一致的，以工期总日历天数为准。</w:t>
      </w:r>
    </w:p>
    <w:p w14:paraId="64AF8018">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28" w:name="_Toc351203483"/>
      <w:r>
        <w:rPr>
          <w:rFonts w:ascii="宋体" w:hAnsi="宋体"/>
          <w:color w:val="auto"/>
          <w:szCs w:val="21"/>
          <w:highlight w:val="none"/>
        </w:rPr>
        <w:t>三、质量标准</w:t>
      </w:r>
      <w:bookmarkEnd w:id="428"/>
    </w:p>
    <w:p w14:paraId="0D527EDC">
      <w:pPr>
        <w:spacing w:line="480" w:lineRule="exact"/>
        <w:ind w:firstLine="459"/>
        <w:rPr>
          <w:rFonts w:hint="eastAsia" w:ascii="宋体" w:hAnsi="宋体"/>
          <w:color w:val="auto"/>
          <w:szCs w:val="21"/>
          <w:highlight w:val="none"/>
        </w:rPr>
      </w:pPr>
      <w:r>
        <w:rPr>
          <w:rFonts w:ascii="宋体" w:hAnsi="宋体"/>
          <w:color w:val="auto"/>
          <w:szCs w:val="21"/>
          <w:highlight w:val="none"/>
        </w:rPr>
        <w:t>工程质量符合</w:t>
      </w:r>
      <w:r>
        <w:rPr>
          <w:rFonts w:ascii="宋体" w:hAnsi="宋体"/>
          <w:color w:val="auto"/>
          <w:szCs w:val="21"/>
          <w:highlight w:val="none"/>
          <w:u w:val="single"/>
        </w:rPr>
        <w:t></w:t>
      </w:r>
      <w:r>
        <w:rPr>
          <w:rFonts w:ascii="宋体" w:hAnsi="宋体"/>
          <w:color w:val="auto"/>
          <w:szCs w:val="21"/>
          <w:highlight w:val="none"/>
        </w:rPr>
        <w:t>标准。</w:t>
      </w:r>
    </w:p>
    <w:p w14:paraId="3559C991">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29" w:name="_Toc351203484"/>
      <w:r>
        <w:rPr>
          <w:rFonts w:ascii="宋体" w:hAnsi="宋体"/>
          <w:color w:val="auto"/>
          <w:szCs w:val="21"/>
          <w:highlight w:val="none"/>
        </w:rPr>
        <w:t>四、签约合同价与合同价格形式</w:t>
      </w:r>
      <w:bookmarkEnd w:id="429"/>
      <w:r>
        <w:rPr>
          <w:rFonts w:ascii="宋体" w:hAnsi="宋体"/>
          <w:color w:val="auto"/>
          <w:szCs w:val="21"/>
          <w:highlight w:val="none"/>
        </w:rPr>
        <w:tab/>
      </w:r>
    </w:p>
    <w:p w14:paraId="05929DED">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1.签约合同价为：</w:t>
      </w:r>
    </w:p>
    <w:p w14:paraId="57E8C52E">
      <w:pPr>
        <w:spacing w:line="480" w:lineRule="exact"/>
        <w:ind w:firstLine="525" w:firstLineChars="250"/>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14:paraId="2D7DEE5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其中：</w:t>
      </w:r>
    </w:p>
    <w:p w14:paraId="6ABAD06C">
      <w:pPr>
        <w:spacing w:line="480" w:lineRule="exact"/>
        <w:ind w:firstLine="420" w:firstLineChars="200"/>
        <w:rPr>
          <w:rFonts w:hint="eastAsia" w:ascii="宋体" w:hAnsi="宋体"/>
          <w:color w:val="auto"/>
          <w:kern w:val="0"/>
          <w:highlight w:val="none"/>
        </w:rPr>
      </w:pPr>
      <w:r>
        <w:rPr>
          <w:rFonts w:ascii="宋体" w:hAnsi="宋体"/>
          <w:color w:val="auto"/>
          <w:szCs w:val="21"/>
          <w:highlight w:val="none"/>
        </w:rPr>
        <w:t>（1）</w:t>
      </w:r>
      <w:r>
        <w:rPr>
          <w:rFonts w:hint="eastAsia" w:ascii="宋体" w:hAnsi="宋体"/>
          <w:color w:val="auto"/>
          <w:kern w:val="0"/>
          <w:highlight w:val="none"/>
        </w:rPr>
        <w:t>绿色施工安全防护措施项目费：人民币（大写）</w:t>
      </w:r>
      <w:r>
        <w:rPr>
          <w:rFonts w:hint="eastAsia" w:ascii="宋体" w:hAnsi="宋体"/>
          <w:color w:val="auto"/>
          <w:kern w:val="0"/>
          <w:highlight w:val="none"/>
          <w:u w:val="single"/>
        </w:rPr>
        <w:t xml:space="preserve">              </w:t>
      </w:r>
      <w:r>
        <w:rPr>
          <w:rFonts w:hint="eastAsia" w:ascii="宋体" w:hAnsi="宋体"/>
          <w:color w:val="auto"/>
          <w:kern w:val="0"/>
          <w:highlight w:val="non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元)；</w:t>
      </w:r>
    </w:p>
    <w:p w14:paraId="4358E96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（2）材料和工程设备暂估价金额：</w:t>
      </w:r>
    </w:p>
    <w:p w14:paraId="51E19E7E">
      <w:pPr>
        <w:spacing w:line="480" w:lineRule="exact"/>
        <w:ind w:firstLine="945" w:firstLineChars="450"/>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14:paraId="7A643BE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（3）专业工程暂估价金额：</w:t>
      </w:r>
    </w:p>
    <w:p w14:paraId="4BFE3AAD">
      <w:pPr>
        <w:spacing w:line="480" w:lineRule="exact"/>
        <w:ind w:firstLine="945" w:firstLineChars="450"/>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14:paraId="7A89AD6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（4）暂列金额：</w:t>
      </w:r>
    </w:p>
    <w:p w14:paraId="63324129">
      <w:pPr>
        <w:spacing w:line="480" w:lineRule="exact"/>
        <w:ind w:firstLine="945" w:firstLineChars="450"/>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14:paraId="70D8782A">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2.合同价格形式：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D1A100C">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30" w:name="_Toc351203485"/>
      <w:r>
        <w:rPr>
          <w:rFonts w:ascii="宋体" w:hAnsi="宋体"/>
          <w:color w:val="auto"/>
          <w:szCs w:val="21"/>
          <w:highlight w:val="none"/>
        </w:rPr>
        <w:t>五、</w:t>
      </w:r>
      <w:bookmarkEnd w:id="430"/>
      <w:r>
        <w:rPr>
          <w:rFonts w:ascii="宋体" w:hAnsi="宋体"/>
          <w:color w:val="auto"/>
          <w:szCs w:val="21"/>
          <w:highlight w:val="none"/>
        </w:rPr>
        <w:t>项目经理</w:t>
      </w:r>
    </w:p>
    <w:p w14:paraId="4F4B9956">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6FB08C85">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31" w:name="_Toc351203486"/>
      <w:r>
        <w:rPr>
          <w:rFonts w:ascii="宋体" w:hAnsi="宋体"/>
          <w:color w:val="auto"/>
          <w:szCs w:val="21"/>
          <w:highlight w:val="none"/>
        </w:rPr>
        <w:t>六、合同文件构成</w:t>
      </w:r>
      <w:bookmarkEnd w:id="431"/>
    </w:p>
    <w:p w14:paraId="5902516C">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本协议书与下列文件一起构成合同文件：</w:t>
      </w:r>
    </w:p>
    <w:p w14:paraId="3C928AD7">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（1）中标通知书（如果有）；</w:t>
      </w:r>
    </w:p>
    <w:p w14:paraId="42563555">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 xml:space="preserve">（2）投标函及其附录（如果有）； </w:t>
      </w:r>
    </w:p>
    <w:p w14:paraId="35ECB1FB">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（3）专用合同条款及其附件；</w:t>
      </w:r>
    </w:p>
    <w:p w14:paraId="5533C580">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（4）通用合同条款；</w:t>
      </w:r>
    </w:p>
    <w:p w14:paraId="62E0EEFB">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（5）技术标准和要求；</w:t>
      </w:r>
    </w:p>
    <w:p w14:paraId="2F26A185">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（6）图纸；</w:t>
      </w:r>
    </w:p>
    <w:p w14:paraId="4270DD11">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（7）已标价工程量清单或预算书；</w:t>
      </w:r>
    </w:p>
    <w:p w14:paraId="6A201685">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（8）其他合同文件。</w:t>
      </w:r>
    </w:p>
    <w:p w14:paraId="54C74D80">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14:paraId="41271B23">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w:t>
      </w:r>
      <w:r>
        <w:rPr>
          <w:rFonts w:hint="eastAsia" w:ascii="宋体" w:hAnsi="宋体"/>
          <w:color w:val="auto"/>
          <w:szCs w:val="21"/>
          <w:highlight w:val="none"/>
        </w:rPr>
        <w:t>专用合同条款及其附件须经合同当事人签字或盖章。</w:t>
      </w:r>
    </w:p>
    <w:p w14:paraId="36C242B4">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32" w:name="_Toc351203487"/>
      <w:r>
        <w:rPr>
          <w:rFonts w:ascii="宋体" w:hAnsi="宋体"/>
          <w:color w:val="auto"/>
          <w:szCs w:val="21"/>
          <w:highlight w:val="none"/>
        </w:rPr>
        <w:t>七、承诺</w:t>
      </w:r>
      <w:bookmarkEnd w:id="432"/>
    </w:p>
    <w:p w14:paraId="7B2EFB82">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1.发包人承诺按照法律规定履行项目审批手续、筹集工程建设资金并按照合同约定的期限和方式支付合同价款。</w:t>
      </w:r>
    </w:p>
    <w:p w14:paraId="07BF7D31">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0BC5552D">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3.发包人和承包人通过招投标形式签订合同的，双方理解并</w:t>
      </w:r>
      <w:r>
        <w:rPr>
          <w:rFonts w:hint="eastAsia" w:ascii="宋体" w:hAnsi="宋体"/>
          <w:bCs/>
          <w:color w:val="auto"/>
          <w:szCs w:val="21"/>
          <w:highlight w:val="none"/>
        </w:rPr>
        <w:t>承诺</w:t>
      </w:r>
      <w:r>
        <w:rPr>
          <w:rFonts w:ascii="宋体" w:hAnsi="宋体"/>
          <w:bCs/>
          <w:color w:val="auto"/>
          <w:szCs w:val="21"/>
          <w:highlight w:val="none"/>
        </w:rPr>
        <w:t>不再就同一工程另行签订与合同实质性内容相背离的协议。</w:t>
      </w:r>
    </w:p>
    <w:p w14:paraId="167956A1">
      <w:pPr>
        <w:spacing w:line="480" w:lineRule="exact"/>
        <w:rPr>
          <w:rFonts w:hint="eastAsia" w:ascii="宋体" w:hAnsi="宋体"/>
          <w:color w:val="auto"/>
          <w:szCs w:val="21"/>
          <w:highlight w:val="none"/>
        </w:rPr>
      </w:pPr>
      <w:bookmarkStart w:id="433" w:name="_Toc351203488"/>
      <w:r>
        <w:rPr>
          <w:rFonts w:hint="eastAsia" w:ascii="宋体" w:hAnsi="宋体"/>
          <w:color w:val="auto"/>
          <w:szCs w:val="21"/>
          <w:highlight w:val="none"/>
        </w:rPr>
        <w:t xml:space="preserve">    </w:t>
      </w:r>
      <w:r>
        <w:rPr>
          <w:rFonts w:ascii="宋体" w:hAnsi="宋体"/>
          <w:color w:val="auto"/>
          <w:szCs w:val="21"/>
          <w:highlight w:val="none"/>
        </w:rPr>
        <w:t>八、词语含义</w:t>
      </w:r>
      <w:bookmarkEnd w:id="433"/>
    </w:p>
    <w:p w14:paraId="270686A9">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233A71F2">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34" w:name="_Toc351203489"/>
      <w:r>
        <w:rPr>
          <w:rFonts w:ascii="宋体" w:hAnsi="宋体"/>
          <w:color w:val="auto"/>
          <w:szCs w:val="21"/>
          <w:highlight w:val="none"/>
        </w:rPr>
        <w:t>九、签订时间</w:t>
      </w:r>
      <w:bookmarkEnd w:id="434"/>
    </w:p>
    <w:p w14:paraId="71B1BB07">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ascii="宋体" w:hAnsi="宋体"/>
          <w:bCs/>
          <w:color w:val="auto"/>
          <w:szCs w:val="21"/>
          <w:highlight w:val="none"/>
        </w:rPr>
        <w:t>日签订。</w:t>
      </w:r>
    </w:p>
    <w:p w14:paraId="44D384A6">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35" w:name="_Toc351203490"/>
      <w:r>
        <w:rPr>
          <w:rFonts w:ascii="宋体" w:hAnsi="宋体"/>
          <w:color w:val="auto"/>
          <w:szCs w:val="21"/>
          <w:highlight w:val="none"/>
        </w:rPr>
        <w:t>十、签订地点</w:t>
      </w:r>
      <w:bookmarkEnd w:id="435"/>
    </w:p>
    <w:p w14:paraId="5D85D798">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ascii="宋体" w:hAnsi="宋体"/>
          <w:bCs/>
          <w:color w:val="auto"/>
          <w:szCs w:val="21"/>
          <w:highlight w:val="none"/>
        </w:rPr>
        <w:t>签订。</w:t>
      </w:r>
    </w:p>
    <w:p w14:paraId="130110DD">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36" w:name="_Toc351203491"/>
      <w:r>
        <w:rPr>
          <w:rFonts w:ascii="宋体" w:hAnsi="宋体"/>
          <w:color w:val="auto"/>
          <w:szCs w:val="21"/>
          <w:highlight w:val="none"/>
        </w:rPr>
        <w:t>十一、补充协议</w:t>
      </w:r>
      <w:bookmarkEnd w:id="436"/>
    </w:p>
    <w:p w14:paraId="71C96F1A">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合同未尽事宜，合同当事人另行签订补充协议</w:t>
      </w:r>
      <w:r>
        <w:rPr>
          <w:rFonts w:hint="eastAsia" w:ascii="宋体" w:hAnsi="宋体"/>
          <w:bCs/>
          <w:color w:val="auto"/>
          <w:szCs w:val="21"/>
          <w:highlight w:val="none"/>
        </w:rPr>
        <w:t>，</w:t>
      </w:r>
      <w:r>
        <w:rPr>
          <w:rFonts w:ascii="宋体" w:hAnsi="宋体"/>
          <w:bCs/>
          <w:color w:val="auto"/>
          <w:szCs w:val="21"/>
          <w:highlight w:val="none"/>
        </w:rPr>
        <w:t>补充协议是合同的组成部分。</w:t>
      </w:r>
    </w:p>
    <w:p w14:paraId="16CFD280">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37" w:name="_Toc351203492"/>
      <w:r>
        <w:rPr>
          <w:rFonts w:ascii="宋体" w:hAnsi="宋体"/>
          <w:color w:val="auto"/>
          <w:szCs w:val="21"/>
          <w:highlight w:val="none"/>
        </w:rPr>
        <w:t>十二、合同生效</w:t>
      </w:r>
      <w:bookmarkEnd w:id="437"/>
    </w:p>
    <w:p w14:paraId="31F008AB">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ascii="宋体" w:hAnsi="宋体"/>
          <w:bCs/>
          <w:color w:val="auto"/>
          <w:szCs w:val="21"/>
          <w:highlight w:val="none"/>
        </w:rPr>
        <w:t>生效。</w:t>
      </w:r>
    </w:p>
    <w:p w14:paraId="6AF8595D">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38" w:name="_Toc351203493"/>
      <w:r>
        <w:rPr>
          <w:rFonts w:ascii="宋体" w:hAnsi="宋体"/>
          <w:color w:val="auto"/>
          <w:szCs w:val="21"/>
          <w:highlight w:val="none"/>
        </w:rPr>
        <w:t>十三、合同份数</w:t>
      </w:r>
      <w:bookmarkEnd w:id="438"/>
    </w:p>
    <w:p w14:paraId="651B8056">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w:t>
      </w:r>
    </w:p>
    <w:p w14:paraId="67A92F23">
      <w:pPr>
        <w:spacing w:line="480" w:lineRule="exact"/>
        <w:rPr>
          <w:rFonts w:hint="eastAsia" w:ascii="宋体" w:hAnsi="宋体"/>
          <w:bCs/>
          <w:color w:val="auto"/>
          <w:szCs w:val="21"/>
          <w:highlight w:val="none"/>
        </w:rPr>
      </w:pPr>
    </w:p>
    <w:p w14:paraId="4631FD08">
      <w:pPr>
        <w:spacing w:line="480" w:lineRule="exact"/>
        <w:rPr>
          <w:rFonts w:hint="eastAsia" w:ascii="宋体" w:hAnsi="宋体"/>
          <w:color w:val="auto"/>
          <w:szCs w:val="21"/>
          <w:highlight w:val="none"/>
        </w:rPr>
      </w:pPr>
    </w:p>
    <w:p w14:paraId="4DFE2AB4">
      <w:pPr>
        <w:spacing w:line="480" w:lineRule="exact"/>
        <w:rPr>
          <w:rFonts w:hint="eastAsia" w:ascii="宋体" w:hAnsi="宋体"/>
          <w:color w:val="auto"/>
          <w:szCs w:val="21"/>
          <w:highlight w:val="none"/>
          <w:u w:val="single"/>
        </w:rPr>
      </w:pPr>
      <w:r>
        <w:rPr>
          <w:rFonts w:ascii="宋体" w:hAnsi="宋体"/>
          <w:color w:val="auto"/>
          <w:szCs w:val="21"/>
          <w:highlight w:val="none"/>
        </w:rPr>
        <w:t>发包人</w:t>
      </w:r>
      <w:r>
        <w:rPr>
          <w:rFonts w:hint="eastAsia" w:ascii="宋体" w:hAnsi="宋体"/>
          <w:color w:val="auto"/>
          <w:szCs w:val="21"/>
          <w:highlight w:val="none"/>
        </w:rPr>
        <w:t xml:space="preserve">：  </w:t>
      </w:r>
      <w:r>
        <w:rPr>
          <w:rFonts w:ascii="宋体" w:hAnsi="宋体"/>
          <w:color w:val="auto"/>
          <w:szCs w:val="21"/>
          <w:highlight w:val="none"/>
        </w:rPr>
        <w:t>(公章)</w:t>
      </w:r>
      <w:r>
        <w:rPr>
          <w:rFonts w:hint="eastAsia" w:ascii="宋体" w:hAnsi="宋体"/>
          <w:color w:val="auto"/>
          <w:szCs w:val="21"/>
          <w:highlight w:val="none"/>
        </w:rPr>
        <w:t xml:space="preserve">                        </w:t>
      </w:r>
      <w:r>
        <w:rPr>
          <w:rFonts w:ascii="宋体" w:hAnsi="宋体"/>
          <w:color w:val="auto"/>
          <w:szCs w:val="21"/>
          <w:highlight w:val="none"/>
        </w:rPr>
        <w:t>承包人</w:t>
      </w:r>
      <w:r>
        <w:rPr>
          <w:rFonts w:hint="eastAsia" w:ascii="宋体" w:hAnsi="宋体"/>
          <w:color w:val="auto"/>
          <w:szCs w:val="21"/>
          <w:highlight w:val="none"/>
        </w:rPr>
        <w:t xml:space="preserve">：  </w:t>
      </w:r>
      <w:r>
        <w:rPr>
          <w:rFonts w:ascii="宋体" w:hAnsi="宋体"/>
          <w:color w:val="auto"/>
          <w:szCs w:val="21"/>
          <w:highlight w:val="none"/>
        </w:rPr>
        <w:t>(公章)</w:t>
      </w:r>
      <w:r>
        <w:rPr>
          <w:rFonts w:hint="eastAsia" w:ascii="宋体" w:hAnsi="宋体"/>
          <w:color w:val="auto"/>
          <w:szCs w:val="21"/>
          <w:highlight w:val="none"/>
        </w:rPr>
        <w:t xml:space="preserve"> </w:t>
      </w:r>
    </w:p>
    <w:p w14:paraId="31691A04">
      <w:pPr>
        <w:spacing w:line="480" w:lineRule="exac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0F5C3E39">
      <w:pPr>
        <w:spacing w:line="480" w:lineRule="exact"/>
        <w:ind w:firstLine="1890" w:firstLineChars="900"/>
        <w:rPr>
          <w:rFonts w:hint="eastAsia" w:ascii="宋体" w:hAnsi="宋体"/>
          <w:color w:val="auto"/>
          <w:szCs w:val="21"/>
          <w:highlight w:val="none"/>
        </w:rPr>
      </w:pPr>
      <w:r>
        <w:rPr>
          <w:rFonts w:hint="eastAsia" w:ascii="宋体" w:hAnsi="宋体"/>
          <w:color w:val="auto"/>
          <w:szCs w:val="21"/>
          <w:highlight w:val="none"/>
        </w:rPr>
        <w:t>（签字）                                （签字）</w:t>
      </w:r>
    </w:p>
    <w:p w14:paraId="407D624E">
      <w:pPr>
        <w:tabs>
          <w:tab w:val="left" w:pos="4410"/>
        </w:tabs>
        <w:spacing w:line="480" w:lineRule="exact"/>
        <w:rPr>
          <w:rFonts w:hint="eastAsia" w:ascii="宋体" w:hAnsi="宋体"/>
          <w:color w:val="auto"/>
          <w:szCs w:val="21"/>
          <w:highlight w:val="none"/>
        </w:rPr>
      </w:pPr>
      <w:r>
        <w:rPr>
          <w:rFonts w:hint="eastAsia" w:ascii="宋体" w:hAnsi="宋体"/>
          <w:color w:val="auto"/>
          <w:szCs w:val="21"/>
          <w:highlight w:val="none"/>
        </w:rPr>
        <w:t>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08689D64">
      <w:pPr>
        <w:spacing w:line="480" w:lineRule="exact"/>
        <w:rPr>
          <w:rFonts w:hint="eastAsia"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地  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37749A9">
      <w:pPr>
        <w:spacing w:line="480" w:lineRule="exact"/>
        <w:rPr>
          <w:rFonts w:hint="eastAsia"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邮政编码：</w:t>
      </w:r>
      <w:r>
        <w:rPr>
          <w:rFonts w:ascii="宋体" w:hAnsi="宋体"/>
          <w:color w:val="auto"/>
          <w:szCs w:val="21"/>
          <w:highlight w:val="none"/>
          <w:u w:val="single"/>
        </w:rPr>
        <w:t xml:space="preserve">   </w:t>
      </w:r>
    </w:p>
    <w:p w14:paraId="320F4148">
      <w:pPr>
        <w:spacing w:line="480" w:lineRule="exact"/>
        <w:rPr>
          <w:rFonts w:hint="eastAsia"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576CE2B">
      <w:pPr>
        <w:spacing w:line="480" w:lineRule="exact"/>
        <w:rPr>
          <w:rFonts w:hint="eastAsia"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委托代理人：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9AA0721">
      <w:pPr>
        <w:spacing w:line="480" w:lineRule="exact"/>
        <w:rPr>
          <w:rFonts w:hint="eastAsia" w:ascii="宋体" w:hAnsi="宋体"/>
          <w:color w:val="auto"/>
          <w:szCs w:val="21"/>
          <w:highlight w:val="none"/>
        </w:rPr>
      </w:pP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CAC977C">
      <w:pPr>
        <w:spacing w:line="480" w:lineRule="exact"/>
        <w:rPr>
          <w:rFonts w:hint="eastAsia" w:ascii="宋体" w:hAnsi="宋体"/>
          <w:color w:val="auto"/>
          <w:szCs w:val="21"/>
          <w:highlight w:val="none"/>
        </w:rPr>
      </w:pPr>
      <w:r>
        <w:rPr>
          <w:rFonts w:ascii="宋体" w:hAnsi="宋体"/>
          <w:color w:val="auto"/>
          <w:szCs w:val="21"/>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传  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8DD861A">
      <w:pPr>
        <w:spacing w:line="480" w:lineRule="exact"/>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电子信箱：</w:t>
      </w:r>
      <w:r>
        <w:rPr>
          <w:rFonts w:ascii="宋体" w:hAnsi="宋体"/>
          <w:color w:val="auto"/>
          <w:szCs w:val="21"/>
          <w:highlight w:val="none"/>
          <w:u w:val="single"/>
        </w:rPr>
        <w:t xml:space="preserve">   </w:t>
      </w:r>
    </w:p>
    <w:p w14:paraId="3C96A33B">
      <w:pPr>
        <w:spacing w:line="480" w:lineRule="exact"/>
        <w:rPr>
          <w:rFonts w:hint="eastAsia" w:ascii="宋体" w:hAnsi="宋体"/>
          <w:color w:val="auto"/>
          <w:szCs w:val="21"/>
          <w:highlight w:val="none"/>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开户银行：</w:t>
      </w:r>
      <w:r>
        <w:rPr>
          <w:rFonts w:ascii="宋体" w:hAnsi="宋体"/>
          <w:color w:val="auto"/>
          <w:szCs w:val="21"/>
          <w:highlight w:val="none"/>
          <w:u w:val="single"/>
        </w:rPr>
        <w:t xml:space="preserve">   </w:t>
      </w:r>
    </w:p>
    <w:p w14:paraId="0F5D6EBD">
      <w:pPr>
        <w:spacing w:line="480" w:lineRule="exact"/>
        <w:jc w:val="left"/>
        <w:rPr>
          <w:rFonts w:hint="eastAsia" w:ascii="宋体" w:hAnsi="宋体"/>
          <w:color w:val="auto"/>
          <w:szCs w:val="21"/>
          <w:highlight w:val="none"/>
          <w:u w:val="single"/>
        </w:rPr>
      </w:pPr>
      <w:r>
        <w:rPr>
          <w:rFonts w:ascii="宋体" w:hAnsi="宋体"/>
          <w:color w:val="auto"/>
          <w:szCs w:val="21"/>
          <w:highlight w:val="none"/>
        </w:rPr>
        <w:t>账  号：</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账</w:t>
      </w:r>
      <w:r>
        <w:rPr>
          <w:rFonts w:hint="eastAsia" w:ascii="宋体" w:hAnsi="宋体"/>
          <w:color w:val="auto"/>
          <w:szCs w:val="21"/>
          <w:highlight w:val="none"/>
        </w:rPr>
        <w:t xml:space="preserve"> </w:t>
      </w:r>
      <w:r>
        <w:rPr>
          <w:rFonts w:ascii="宋体" w:hAnsi="宋体"/>
          <w:color w:val="auto"/>
          <w:szCs w:val="21"/>
          <w:highlight w:val="none"/>
        </w:rPr>
        <w:t xml:space="preserve"> 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AC640E4">
      <w:pPr>
        <w:pStyle w:val="3"/>
        <w:spacing w:line="360" w:lineRule="auto"/>
        <w:jc w:val="center"/>
        <w:rPr>
          <w:rFonts w:ascii="Times New Roman" w:hAnsi="Times New Roman" w:eastAsia="黑体"/>
          <w:b w:val="0"/>
          <w:bCs w:val="0"/>
          <w:color w:val="auto"/>
          <w:sz w:val="30"/>
          <w:highlight w:val="none"/>
        </w:rPr>
      </w:pPr>
      <w:r>
        <w:rPr>
          <w:rFonts w:ascii="宋体" w:hAnsi="宋体"/>
          <w:b w:val="0"/>
          <w:color w:val="auto"/>
          <w:sz w:val="21"/>
          <w:szCs w:val="21"/>
          <w:highlight w:val="none"/>
        </w:rPr>
        <w:br w:type="page"/>
      </w:r>
      <w:bookmarkStart w:id="439" w:name="_Toc211498717"/>
      <w:bookmarkStart w:id="440" w:name="_Toc80006111"/>
      <w:bookmarkStart w:id="441" w:name="_Toc351203494"/>
      <w:r>
        <w:rPr>
          <w:rFonts w:ascii="Times New Roman" w:hAnsi="Times New Roman" w:eastAsia="黑体"/>
          <w:b w:val="0"/>
          <w:bCs w:val="0"/>
          <w:color w:val="auto"/>
          <w:sz w:val="30"/>
          <w:highlight w:val="none"/>
        </w:rPr>
        <w:t>第二</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通用合同条款</w:t>
      </w:r>
      <w:bookmarkEnd w:id="439"/>
      <w:bookmarkEnd w:id="440"/>
      <w:bookmarkEnd w:id="441"/>
    </w:p>
    <w:p w14:paraId="4E0C4246">
      <w:pPr>
        <w:spacing w:line="480" w:lineRule="exact"/>
        <w:ind w:firstLine="560" w:firstLineChars="200"/>
        <w:rPr>
          <w:rFonts w:hint="eastAsia" w:ascii="宋体" w:hAnsi="宋体"/>
          <w:color w:val="auto"/>
          <w:sz w:val="28"/>
          <w:szCs w:val="28"/>
          <w:highlight w:val="none"/>
        </w:rPr>
      </w:pPr>
    </w:p>
    <w:p w14:paraId="5DB801FE">
      <w:pPr>
        <w:spacing w:line="480" w:lineRule="exact"/>
        <w:ind w:firstLine="315" w:firstLineChars="150"/>
        <w:rPr>
          <w:rFonts w:hint="eastAsia" w:ascii="宋体" w:hAnsi="宋体"/>
          <w:color w:val="auto"/>
          <w:szCs w:val="21"/>
          <w:highlight w:val="none"/>
        </w:rPr>
      </w:pPr>
      <w:r>
        <w:rPr>
          <w:rFonts w:hint="eastAsia" w:ascii="宋体" w:hAnsi="宋体"/>
          <w:color w:val="auto"/>
          <w:szCs w:val="21"/>
          <w:highlight w:val="none"/>
        </w:rPr>
        <w:t>说明：“通用合同条款”采用《建设工程施工合同（示范文本）》（GF-2017-0201）的“通用合同条款”。</w:t>
      </w:r>
    </w:p>
    <w:p w14:paraId="6CBDED03">
      <w:pPr>
        <w:spacing w:line="480" w:lineRule="exact"/>
        <w:jc w:val="center"/>
        <w:rPr>
          <w:color w:val="auto"/>
          <w:sz w:val="32"/>
          <w:szCs w:val="32"/>
          <w:highlight w:val="none"/>
        </w:rPr>
      </w:pPr>
    </w:p>
    <w:p w14:paraId="44F58AEE">
      <w:pPr>
        <w:pStyle w:val="3"/>
        <w:spacing w:line="360" w:lineRule="auto"/>
        <w:jc w:val="center"/>
        <w:rPr>
          <w:rFonts w:ascii="Times New Roman" w:hAnsi="Times New Roman" w:eastAsia="黑体"/>
          <w:b w:val="0"/>
          <w:bCs w:val="0"/>
          <w:color w:val="auto"/>
          <w:sz w:val="30"/>
          <w:highlight w:val="none"/>
        </w:rPr>
      </w:pPr>
      <w:r>
        <w:rPr>
          <w:b w:val="0"/>
          <w:color w:val="auto"/>
          <w:highlight w:val="none"/>
        </w:rPr>
        <w:br w:type="page"/>
      </w:r>
      <w:bookmarkStart w:id="442" w:name="_Toc80006112"/>
      <w:bookmarkStart w:id="443" w:name="_Toc211498718"/>
      <w:r>
        <w:rPr>
          <w:rFonts w:ascii="Times New Roman" w:hAnsi="Times New Roman" w:eastAsia="黑体"/>
          <w:b w:val="0"/>
          <w:bCs w:val="0"/>
          <w:color w:val="auto"/>
          <w:sz w:val="30"/>
          <w:highlight w:val="none"/>
        </w:rPr>
        <w:t>第三</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w:t>
      </w:r>
      <w:r>
        <w:rPr>
          <w:rFonts w:hint="eastAsia" w:ascii="Times New Roman" w:hAnsi="Times New Roman" w:eastAsia="黑体"/>
          <w:b w:val="0"/>
          <w:bCs w:val="0"/>
          <w:color w:val="auto"/>
          <w:sz w:val="30"/>
          <w:highlight w:val="none"/>
        </w:rPr>
        <w:t>专用合同条款</w:t>
      </w:r>
      <w:bookmarkEnd w:id="442"/>
      <w:bookmarkEnd w:id="443"/>
    </w:p>
    <w:p w14:paraId="08E5C2FF">
      <w:pPr>
        <w:spacing w:line="480" w:lineRule="exact"/>
        <w:rPr>
          <w:rFonts w:hint="eastAsia" w:ascii="宋体" w:hAnsi="宋体"/>
          <w:color w:val="auto"/>
          <w:szCs w:val="21"/>
          <w:highlight w:val="none"/>
        </w:rPr>
      </w:pPr>
      <w:bookmarkStart w:id="444" w:name="_Toc351203633"/>
      <w:r>
        <w:rPr>
          <w:rFonts w:ascii="宋体" w:hAnsi="宋体"/>
          <w:color w:val="auto"/>
          <w:szCs w:val="21"/>
          <w:highlight w:val="none"/>
        </w:rPr>
        <w:t>1</w:t>
      </w:r>
      <w:bookmarkStart w:id="445" w:name="_Toc296347155"/>
      <w:bookmarkStart w:id="446" w:name="_Toc292559361"/>
      <w:bookmarkStart w:id="447" w:name="_Toc292559866"/>
      <w:bookmarkStart w:id="448" w:name="_Toc296346657"/>
      <w:bookmarkStart w:id="449" w:name="_Toc296891196"/>
      <w:bookmarkStart w:id="450" w:name="_Toc296944495"/>
      <w:bookmarkStart w:id="451" w:name="_Toc297120456"/>
      <w:bookmarkStart w:id="452" w:name="_Toc297048342"/>
      <w:bookmarkStart w:id="453" w:name="_Toc296503156"/>
      <w:bookmarkStart w:id="454" w:name="_Toc296890984"/>
      <w:r>
        <w:rPr>
          <w:rFonts w:ascii="宋体" w:hAnsi="宋体"/>
          <w:color w:val="auto"/>
          <w:szCs w:val="21"/>
          <w:highlight w:val="none"/>
        </w:rPr>
        <w:t>. 一般约定</w:t>
      </w:r>
      <w:bookmarkEnd w:id="444"/>
    </w:p>
    <w:bookmarkEnd w:id="445"/>
    <w:bookmarkEnd w:id="446"/>
    <w:bookmarkEnd w:id="447"/>
    <w:bookmarkEnd w:id="448"/>
    <w:bookmarkEnd w:id="449"/>
    <w:bookmarkEnd w:id="450"/>
    <w:bookmarkEnd w:id="451"/>
    <w:bookmarkEnd w:id="452"/>
    <w:bookmarkEnd w:id="453"/>
    <w:bookmarkEnd w:id="454"/>
    <w:p w14:paraId="00B1C64A">
      <w:pPr>
        <w:spacing w:line="480" w:lineRule="exact"/>
        <w:rPr>
          <w:rFonts w:hint="eastAsia" w:ascii="宋体" w:hAnsi="宋体"/>
          <w:color w:val="auto"/>
          <w:szCs w:val="21"/>
          <w:highlight w:val="none"/>
        </w:rPr>
      </w:pPr>
      <w:r>
        <w:rPr>
          <w:rFonts w:ascii="宋体" w:hAnsi="宋体"/>
          <w:color w:val="auto"/>
          <w:szCs w:val="21"/>
          <w:highlight w:val="none"/>
        </w:rPr>
        <w:t>1.1 词语定义</w:t>
      </w:r>
    </w:p>
    <w:p w14:paraId="32230C29">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1.1.1合同</w:t>
      </w:r>
    </w:p>
    <w:p w14:paraId="1F312EC9">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1.1.1.10其他合同文件包括：</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rPr>
        <w:t>。</w:t>
      </w:r>
    </w:p>
    <w:p w14:paraId="6FA8A39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1.1.2 合同当事人及其他相关方</w:t>
      </w:r>
    </w:p>
    <w:p w14:paraId="7D0DED2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1.1.2.4监理人：</w:t>
      </w:r>
    </w:p>
    <w:p w14:paraId="7FA2DCBD">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14:paraId="1785D5F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38462A7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77645CF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D0483B3">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4EBAEEA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1.1.2.5 设计人：</w:t>
      </w:r>
    </w:p>
    <w:p w14:paraId="163DE21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14:paraId="6466A78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24ADCBF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3C4B63A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6D5F147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56137E5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1.1.3 工程和设备</w:t>
      </w:r>
    </w:p>
    <w:p w14:paraId="4CD5961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1.1.3.7 作为施工现场组成部分的其他场所包括：</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5D1BDC6C">
      <w:pPr>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1.1.3.9 永久占地包括：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14:paraId="5C7EEAF0">
      <w:pPr>
        <w:spacing w:line="480" w:lineRule="exact"/>
        <w:ind w:firstLine="420" w:firstLineChars="200"/>
        <w:jc w:val="left"/>
        <w:rPr>
          <w:rFonts w:hint="eastAsia" w:ascii="宋体" w:hAnsi="宋体"/>
          <w:color w:val="auto"/>
          <w:szCs w:val="21"/>
          <w:highlight w:val="none"/>
        </w:rPr>
      </w:pPr>
      <w:r>
        <w:rPr>
          <w:rFonts w:ascii="宋体" w:hAnsi="宋体"/>
          <w:color w:val="auto"/>
          <w:kern w:val="0"/>
          <w:szCs w:val="21"/>
          <w:highlight w:val="none"/>
        </w:rPr>
        <w:t>1.1.3.10 临时占地包括：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14:paraId="2A291320">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 xml:space="preserve">1.3法律 </w:t>
      </w:r>
    </w:p>
    <w:p w14:paraId="40512403">
      <w:pPr>
        <w:autoSpaceDE w:val="0"/>
        <w:autoSpaceDN w:val="0"/>
        <w:adjustRightInd w:val="0"/>
        <w:spacing w:line="480" w:lineRule="exact"/>
        <w:ind w:left="596" w:leftChars="284"/>
        <w:jc w:val="left"/>
        <w:rPr>
          <w:rFonts w:hint="eastAsia" w:ascii="宋体" w:hAnsi="宋体"/>
          <w:color w:val="auto"/>
          <w:szCs w:val="21"/>
          <w:highlight w:val="none"/>
        </w:rPr>
      </w:pPr>
      <w:r>
        <w:rPr>
          <w:rFonts w:ascii="宋体" w:hAnsi="宋体"/>
          <w:color w:val="auto"/>
          <w:szCs w:val="21"/>
          <w:highlight w:val="none"/>
        </w:rPr>
        <w:t>适用于合同的其他规范性文件：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AEBA07B">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1.4 标准和规范</w:t>
      </w:r>
    </w:p>
    <w:p w14:paraId="46C4C753">
      <w:pPr>
        <w:spacing w:line="480" w:lineRule="exact"/>
        <w:ind w:left="596" w:leftChars="284"/>
        <w:rPr>
          <w:rFonts w:hint="eastAsia" w:ascii="宋体" w:hAnsi="宋体"/>
          <w:color w:val="auto"/>
          <w:szCs w:val="21"/>
          <w:highlight w:val="none"/>
        </w:rPr>
      </w:pPr>
      <w:r>
        <w:rPr>
          <w:rFonts w:ascii="宋体" w:hAnsi="宋体"/>
          <w:color w:val="auto"/>
          <w:szCs w:val="21"/>
          <w:highlight w:val="none"/>
        </w:rPr>
        <w:t>1.4.1适用于工程的标准规范包括：</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31BC4ED">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1.4.2 发包人提供国外标准、规范的名称：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367B3B5">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发包人提供国外标准、规范的份数：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CBBAF2B">
      <w:pPr>
        <w:spacing w:line="480" w:lineRule="exact"/>
        <w:ind w:firstLine="420" w:firstLineChars="200"/>
        <w:rPr>
          <w:rFonts w:hint="eastAsia" w:ascii="宋体" w:hAnsi="宋体"/>
          <w:color w:val="auto"/>
          <w:szCs w:val="21"/>
          <w:highlight w:val="none"/>
        </w:rPr>
      </w:pPr>
      <w:r>
        <w:rPr>
          <w:rFonts w:ascii="宋体" w:hAnsi="宋体"/>
          <w:color w:val="auto"/>
          <w:kern w:val="0"/>
          <w:szCs w:val="21"/>
          <w:highlight w:val="none"/>
        </w:rPr>
        <w:t>发包人提供国外标准、规范的名称：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DFDC549">
      <w:pPr>
        <w:spacing w:line="480" w:lineRule="exact"/>
        <w:ind w:left="596" w:leftChars="284"/>
        <w:rPr>
          <w:rFonts w:hint="eastAsia" w:ascii="宋体" w:hAnsi="宋体"/>
          <w:color w:val="auto"/>
          <w:szCs w:val="21"/>
          <w:highlight w:val="none"/>
        </w:rPr>
      </w:pPr>
      <w:r>
        <w:rPr>
          <w:rFonts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B1E9DFE">
      <w:pPr>
        <w:spacing w:line="480" w:lineRule="exact"/>
        <w:rPr>
          <w:rFonts w:hint="eastAsia" w:ascii="宋体" w:hAnsi="宋体"/>
          <w:color w:val="auto"/>
          <w:szCs w:val="21"/>
          <w:highlight w:val="none"/>
        </w:rPr>
      </w:pPr>
      <w:r>
        <w:rPr>
          <w:rFonts w:ascii="宋体" w:hAnsi="宋体"/>
          <w:color w:val="auto"/>
          <w:szCs w:val="21"/>
          <w:highlight w:val="none"/>
        </w:rPr>
        <w:t>1.5 合同文件的优先顺序</w:t>
      </w:r>
    </w:p>
    <w:p w14:paraId="1F55CA3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合同文件组成及优先顺序为：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5B30BB52">
      <w:pPr>
        <w:spacing w:line="480" w:lineRule="exact"/>
        <w:rPr>
          <w:rFonts w:hint="eastAsia" w:ascii="宋体" w:hAnsi="宋体"/>
          <w:color w:val="auto"/>
          <w:szCs w:val="21"/>
          <w:highlight w:val="none"/>
        </w:rPr>
      </w:pPr>
      <w:r>
        <w:rPr>
          <w:rFonts w:ascii="宋体" w:hAnsi="宋体"/>
          <w:color w:val="auto"/>
          <w:szCs w:val="21"/>
          <w:highlight w:val="none"/>
        </w:rPr>
        <w:t>1.6 图纸和承包人文件</w:t>
      </w:r>
    </w:p>
    <w:p w14:paraId="34C64A7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1.6.1 图纸的提供</w:t>
      </w:r>
    </w:p>
    <w:p w14:paraId="32EFA2C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发包人向承包人提供图纸的期限：</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4ECD57D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发包人向承包人提供图纸的数量：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68D00BD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发包人向承包人提供图纸的内容：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67FBA1B3">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1.6.4 承包人文件</w:t>
      </w:r>
    </w:p>
    <w:p w14:paraId="39754BE6">
      <w:pPr>
        <w:spacing w:line="480" w:lineRule="exact"/>
        <w:ind w:left="596" w:leftChars="284"/>
        <w:jc w:val="left"/>
        <w:rPr>
          <w:rFonts w:hint="eastAsia" w:ascii="宋体" w:hAnsi="宋体"/>
          <w:color w:val="auto"/>
          <w:szCs w:val="21"/>
          <w:highlight w:val="none"/>
        </w:rPr>
      </w:pPr>
      <w:r>
        <w:rPr>
          <w:rFonts w:ascii="宋体" w:hAnsi="宋体"/>
          <w:color w:val="auto"/>
          <w:szCs w:val="21"/>
          <w:highlight w:val="none"/>
        </w:rPr>
        <w:t>需要由承包人提供的文件，包括：</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34617EF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承包人提供的文件的期限为：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077A44AD">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承包人提供的文件的数量为：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28A67FB4">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承包人提供的文件的形式为：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19C3D455">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审批</w:t>
      </w:r>
      <w:r>
        <w:rPr>
          <w:rFonts w:ascii="宋体" w:hAnsi="宋体"/>
          <w:color w:val="auto"/>
          <w:szCs w:val="21"/>
          <w:highlight w:val="none"/>
        </w:rPr>
        <w:t>承包人文件的期限：</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06667CFA">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1.6.5 现场图纸准备</w:t>
      </w:r>
    </w:p>
    <w:p w14:paraId="26809CF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关于现场图纸准备的约定：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121C687A">
      <w:pPr>
        <w:spacing w:line="480" w:lineRule="exact"/>
        <w:rPr>
          <w:rFonts w:hint="eastAsia" w:ascii="宋体" w:hAnsi="宋体"/>
          <w:color w:val="auto"/>
          <w:szCs w:val="21"/>
          <w:highlight w:val="none"/>
        </w:rPr>
      </w:pPr>
      <w:r>
        <w:rPr>
          <w:rFonts w:ascii="宋体" w:hAnsi="宋体"/>
          <w:color w:val="auto"/>
          <w:szCs w:val="21"/>
          <w:highlight w:val="none"/>
        </w:rPr>
        <w:t>1.7 联络</w:t>
      </w:r>
    </w:p>
    <w:p w14:paraId="1FD29BA3">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1.7.1发包人和承包人应当在</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天内将与合同有关的通知、批准、证明、证书、指示、指令、要求、请求、同意、意见、确定和决定等书面函件送达对方当事人</w:t>
      </w:r>
      <w:r>
        <w:rPr>
          <w:rFonts w:hint="eastAsia" w:ascii="宋体" w:hAnsi="宋体"/>
          <w:color w:val="auto"/>
          <w:kern w:val="0"/>
          <w:szCs w:val="21"/>
          <w:highlight w:val="none"/>
        </w:rPr>
        <w:t>。</w:t>
      </w:r>
    </w:p>
    <w:p w14:paraId="364C6667">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1.7.2 发包人接收文件的地点：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5B23A39E">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发包人指定的接收人为：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5461498F">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承包人接收文件的地点：</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4897E90E">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承包人指定的接收人为：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449AABA0">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监理人接收文件的地点：</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3E80EAA8">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监理人指定的接收人为：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1777D5DA">
      <w:pPr>
        <w:spacing w:line="480" w:lineRule="exact"/>
        <w:rPr>
          <w:rFonts w:hint="eastAsia" w:ascii="宋体" w:hAnsi="宋体"/>
          <w:color w:val="auto"/>
          <w:szCs w:val="21"/>
          <w:highlight w:val="none"/>
        </w:rPr>
      </w:pPr>
      <w:r>
        <w:rPr>
          <w:rFonts w:ascii="宋体" w:hAnsi="宋体"/>
          <w:color w:val="auto"/>
          <w:szCs w:val="21"/>
          <w:highlight w:val="none"/>
        </w:rPr>
        <w:t>1.10 交通运输</w:t>
      </w:r>
    </w:p>
    <w:p w14:paraId="1BBA377D">
      <w:pPr>
        <w:spacing w:line="480" w:lineRule="exact"/>
        <w:rPr>
          <w:rFonts w:hint="eastAsia" w:ascii="宋体" w:hAnsi="宋体"/>
          <w:color w:val="auto"/>
          <w:szCs w:val="21"/>
          <w:highlight w:val="none"/>
        </w:rPr>
      </w:pPr>
      <w:r>
        <w:rPr>
          <w:rFonts w:ascii="宋体" w:hAnsi="宋体"/>
          <w:color w:val="auto"/>
          <w:szCs w:val="21"/>
          <w:highlight w:val="none"/>
        </w:rPr>
        <w:t>1</w:t>
      </w:r>
      <w:bookmarkStart w:id="455" w:name="_Toc300934943"/>
      <w:bookmarkStart w:id="456" w:name="_Toc312677986"/>
      <w:bookmarkStart w:id="457" w:name="_Toc303539100"/>
      <w:bookmarkStart w:id="458" w:name="_Toc318581155"/>
      <w:bookmarkStart w:id="459" w:name="_Toc304295521"/>
      <w:r>
        <w:rPr>
          <w:rFonts w:ascii="宋体" w:hAnsi="宋体"/>
          <w:color w:val="auto"/>
          <w:szCs w:val="21"/>
          <w:highlight w:val="none"/>
        </w:rPr>
        <w:t>.10.1 出入现场的权利</w:t>
      </w:r>
    </w:p>
    <w:p w14:paraId="15C5C984">
      <w:pPr>
        <w:spacing w:line="480" w:lineRule="exact"/>
        <w:ind w:left="596" w:leftChars="284"/>
        <w:rPr>
          <w:rFonts w:hint="eastAsia" w:ascii="宋体" w:hAnsi="宋体"/>
          <w:color w:val="auto"/>
          <w:szCs w:val="21"/>
          <w:highlight w:val="none"/>
        </w:rPr>
      </w:pPr>
      <w:r>
        <w:rPr>
          <w:rFonts w:ascii="宋体" w:hAnsi="宋体"/>
          <w:color w:val="auto"/>
          <w:szCs w:val="21"/>
          <w:highlight w:val="none"/>
        </w:rPr>
        <w:t>关于出入现场的权利的约定：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bookmarkEnd w:id="455"/>
    <w:bookmarkEnd w:id="456"/>
    <w:bookmarkEnd w:id="457"/>
    <w:bookmarkEnd w:id="458"/>
    <w:bookmarkEnd w:id="459"/>
    <w:p w14:paraId="0999819A">
      <w:pPr>
        <w:spacing w:line="480" w:lineRule="exact"/>
        <w:rPr>
          <w:rFonts w:hint="eastAsia" w:ascii="宋体" w:hAnsi="宋体"/>
          <w:color w:val="auto"/>
          <w:szCs w:val="21"/>
          <w:highlight w:val="none"/>
        </w:rPr>
      </w:pPr>
      <w:r>
        <w:rPr>
          <w:rFonts w:ascii="宋体" w:hAnsi="宋体"/>
          <w:color w:val="auto"/>
          <w:szCs w:val="21"/>
          <w:highlight w:val="none"/>
        </w:rPr>
        <w:t>1</w:t>
      </w:r>
      <w:bookmarkStart w:id="460" w:name="_Toc312677987"/>
      <w:bookmarkStart w:id="461" w:name="_Toc300934944"/>
      <w:bookmarkStart w:id="462" w:name="_Toc304295522"/>
      <w:bookmarkStart w:id="463" w:name="_Toc303539101"/>
      <w:bookmarkStart w:id="464" w:name="_Toc318581156"/>
      <w:r>
        <w:rPr>
          <w:rFonts w:ascii="宋体" w:hAnsi="宋体"/>
          <w:color w:val="auto"/>
          <w:szCs w:val="21"/>
          <w:highlight w:val="none"/>
        </w:rPr>
        <w:t>.10.3 场内交通</w:t>
      </w:r>
    </w:p>
    <w:p w14:paraId="1FA4D49F">
      <w:pPr>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18F83DBF">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ascii="宋体" w:hAnsi="宋体"/>
          <w:color w:val="auto"/>
          <w:szCs w:val="21"/>
          <w:highlight w:val="none"/>
          <w:u w:val="single"/>
        </w:rPr>
        <w:t>  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460"/>
      <w:bookmarkEnd w:id="461"/>
      <w:bookmarkEnd w:id="462"/>
      <w:bookmarkEnd w:id="463"/>
      <w:bookmarkEnd w:id="464"/>
      <w:r>
        <w:rPr>
          <w:rFonts w:ascii="宋体" w:hAnsi="宋体"/>
          <w:color w:val="auto"/>
          <w:szCs w:val="21"/>
          <w:highlight w:val="none"/>
        </w:rPr>
        <w:t xml:space="preserve">  </w:t>
      </w:r>
      <w:bookmarkStart w:id="465" w:name="_Toc318581157"/>
    </w:p>
    <w:p w14:paraId="1D32FB11">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1.10.4超大件和超重件的运输</w:t>
      </w:r>
    </w:p>
    <w:p w14:paraId="3F79815B">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运输超大件或超重件所需的道路和桥梁临时加固改造费用和其他有关费用由</w:t>
      </w:r>
    </w:p>
    <w:p w14:paraId="638ABBCE">
      <w:pPr>
        <w:spacing w:line="480" w:lineRule="exact"/>
        <w:jc w:val="lef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承担。</w:t>
      </w:r>
    </w:p>
    <w:bookmarkEnd w:id="465"/>
    <w:p w14:paraId="0A24F220">
      <w:pPr>
        <w:spacing w:line="480" w:lineRule="exact"/>
        <w:rPr>
          <w:rFonts w:hint="eastAsia" w:ascii="宋体" w:hAnsi="宋体"/>
          <w:color w:val="auto"/>
          <w:szCs w:val="21"/>
          <w:highlight w:val="none"/>
        </w:rPr>
      </w:pPr>
      <w:r>
        <w:rPr>
          <w:rFonts w:ascii="宋体" w:hAnsi="宋体"/>
          <w:color w:val="auto"/>
          <w:szCs w:val="21"/>
          <w:highlight w:val="none"/>
        </w:rPr>
        <w:t>1.11 知识产权</w:t>
      </w:r>
    </w:p>
    <w:p w14:paraId="0854CFE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98ECD0A">
      <w:pPr>
        <w:spacing w:line="480" w:lineRule="exact"/>
        <w:ind w:left="596" w:leftChars="284"/>
        <w:rPr>
          <w:rFonts w:hint="eastAsia" w:ascii="宋体" w:hAnsi="宋体"/>
          <w:color w:val="auto"/>
          <w:szCs w:val="21"/>
          <w:highlight w:val="none"/>
        </w:rPr>
      </w:pPr>
      <w:r>
        <w:rPr>
          <w:rFonts w:ascii="宋体" w:hAnsi="宋体"/>
          <w:color w:val="auto"/>
          <w:szCs w:val="21"/>
          <w:highlight w:val="none"/>
        </w:rPr>
        <w:t>关于发包人提供的上述文件的使用限制的要求：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10BF380">
      <w:pPr>
        <w:spacing w:line="480" w:lineRule="exact"/>
        <w:rPr>
          <w:rFonts w:hint="eastAsia" w:ascii="宋体" w:hAnsi="宋体"/>
          <w:color w:val="auto"/>
          <w:szCs w:val="21"/>
          <w:highlight w:val="none"/>
        </w:rPr>
      </w:pPr>
      <w:r>
        <w:rPr>
          <w:rFonts w:ascii="宋体" w:hAnsi="宋体"/>
          <w:color w:val="auto"/>
          <w:szCs w:val="21"/>
          <w:highlight w:val="none"/>
        </w:rPr>
        <w:t>1.11.2 关于承包人为实施工程所编制文件的著作权的归属：</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5FA8EA7">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关于承包人提供的上述文件的使用限制的要求：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A98ECDF">
      <w:pPr>
        <w:spacing w:line="480" w:lineRule="exact"/>
        <w:rPr>
          <w:rFonts w:hint="eastAsia" w:ascii="宋体" w:hAnsi="宋体"/>
          <w:color w:val="auto"/>
          <w:kern w:val="0"/>
          <w:szCs w:val="21"/>
          <w:highlight w:val="none"/>
        </w:rPr>
      </w:pPr>
      <w:r>
        <w:rPr>
          <w:rFonts w:ascii="宋体" w:hAnsi="宋体"/>
          <w:color w:val="auto"/>
          <w:szCs w:val="21"/>
          <w:highlight w:val="none"/>
        </w:rPr>
        <w:t>1.11.4 承包人在施工过程中所采用的专利、专有技术、技术秘密的使用费的承担方式：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w:t>
      </w:r>
    </w:p>
    <w:p w14:paraId="73C06BEE">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1.13工程量清单错误的修正</w:t>
      </w:r>
    </w:p>
    <w:p w14:paraId="5C94F5E5">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出现工程量清单错误时，是否调整合同价格：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14:paraId="0E57DF25">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允许调整合同价格的工程量偏差范围：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14:paraId="11E01F5E">
      <w:pPr>
        <w:spacing w:line="480" w:lineRule="exact"/>
        <w:rPr>
          <w:rFonts w:hint="eastAsia" w:ascii="宋体" w:hAnsi="宋体"/>
          <w:color w:val="auto"/>
          <w:szCs w:val="21"/>
          <w:highlight w:val="none"/>
        </w:rPr>
      </w:pPr>
      <w:bookmarkStart w:id="466" w:name="_Toc351203634"/>
      <w:r>
        <w:rPr>
          <w:rFonts w:ascii="宋体" w:hAnsi="宋体"/>
          <w:color w:val="auto"/>
          <w:szCs w:val="21"/>
          <w:highlight w:val="none"/>
        </w:rPr>
        <w:t>2</w:t>
      </w:r>
      <w:bookmarkStart w:id="467" w:name="_Toc296944496"/>
      <w:bookmarkStart w:id="468" w:name="_Toc297120457"/>
      <w:bookmarkStart w:id="469" w:name="_Toc292559362"/>
      <w:bookmarkStart w:id="470" w:name="_Toc296503157"/>
      <w:bookmarkStart w:id="471" w:name="_Toc292559867"/>
      <w:bookmarkStart w:id="472" w:name="_Toc296891197"/>
      <w:bookmarkStart w:id="473" w:name="_Toc296890985"/>
      <w:bookmarkStart w:id="474" w:name="_Toc296347156"/>
      <w:bookmarkStart w:id="475" w:name="_Toc297048343"/>
      <w:bookmarkStart w:id="476" w:name="_Toc296346658"/>
      <w:r>
        <w:rPr>
          <w:rFonts w:ascii="宋体" w:hAnsi="宋体"/>
          <w:color w:val="auto"/>
          <w:szCs w:val="21"/>
          <w:highlight w:val="none"/>
        </w:rPr>
        <w:t>. 发包人</w:t>
      </w:r>
      <w:bookmarkEnd w:id="466"/>
    </w:p>
    <w:bookmarkEnd w:id="467"/>
    <w:bookmarkEnd w:id="468"/>
    <w:bookmarkEnd w:id="469"/>
    <w:bookmarkEnd w:id="470"/>
    <w:bookmarkEnd w:id="471"/>
    <w:bookmarkEnd w:id="472"/>
    <w:bookmarkEnd w:id="473"/>
    <w:bookmarkEnd w:id="474"/>
    <w:bookmarkEnd w:id="475"/>
    <w:bookmarkEnd w:id="476"/>
    <w:p w14:paraId="0BFC6D21">
      <w:pPr>
        <w:spacing w:line="480" w:lineRule="exact"/>
        <w:rPr>
          <w:rFonts w:hint="eastAsia" w:ascii="宋体" w:hAnsi="宋体"/>
          <w:color w:val="auto"/>
          <w:szCs w:val="21"/>
          <w:highlight w:val="none"/>
        </w:rPr>
      </w:pPr>
      <w:r>
        <w:rPr>
          <w:rFonts w:ascii="宋体" w:hAnsi="宋体"/>
          <w:color w:val="auto"/>
          <w:szCs w:val="21"/>
          <w:highlight w:val="none"/>
        </w:rPr>
        <w:t>2.2 发包人代表</w:t>
      </w:r>
    </w:p>
    <w:p w14:paraId="03E722E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发包人代表：</w:t>
      </w:r>
    </w:p>
    <w:p w14:paraId="70260B2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06151CB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021FFC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292DFDA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2B8315D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4C9D25D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14:paraId="0A33943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发包人对发包人代表的授权范围如下：</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7AECE5B4">
      <w:pPr>
        <w:spacing w:line="480" w:lineRule="exact"/>
        <w:rPr>
          <w:rFonts w:hint="eastAsia" w:ascii="宋体" w:hAnsi="宋体"/>
          <w:color w:val="auto"/>
          <w:szCs w:val="21"/>
          <w:highlight w:val="none"/>
        </w:rPr>
      </w:pPr>
      <w:r>
        <w:rPr>
          <w:rFonts w:ascii="宋体" w:hAnsi="宋体"/>
          <w:color w:val="auto"/>
          <w:szCs w:val="21"/>
          <w:highlight w:val="none"/>
        </w:rPr>
        <w:t>2.4 施工现场、施工条件和基础资料的提供</w:t>
      </w:r>
    </w:p>
    <w:p w14:paraId="670601B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2.4.1 提供施工现场</w:t>
      </w:r>
    </w:p>
    <w:p w14:paraId="65AFC084">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关于发包人移交施工现场的期限要求：</w:t>
      </w:r>
      <w:r>
        <w:rPr>
          <w:rFonts w:ascii="宋体" w:hAnsi="宋体"/>
          <w:color w:val="auto"/>
          <w:szCs w:val="21"/>
          <w:highlight w:val="none"/>
          <w:u w:val="single"/>
        </w:rPr>
        <w:t xml:space="preserve">            </w:t>
      </w:r>
      <w:r>
        <w:rPr>
          <w:rFonts w:ascii="宋体" w:hAnsi="宋体"/>
          <w:color w:val="auto"/>
          <w:szCs w:val="21"/>
          <w:highlight w:val="none"/>
        </w:rPr>
        <w:t>。</w:t>
      </w:r>
    </w:p>
    <w:p w14:paraId="479CBC0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2.4.2 提供施工条件</w:t>
      </w:r>
    </w:p>
    <w:p w14:paraId="72EF89F8">
      <w:pPr>
        <w:spacing w:line="480" w:lineRule="exact"/>
        <w:ind w:firstLine="420" w:firstLineChars="200"/>
        <w:rPr>
          <w:rFonts w:hint="eastAsia" w:ascii="宋体" w:hAnsi="宋体"/>
          <w:color w:val="auto"/>
          <w:szCs w:val="21"/>
          <w:highlight w:val="none"/>
          <w:u w:val="single"/>
        </w:rPr>
      </w:pPr>
      <w:r>
        <w:rPr>
          <w:rFonts w:ascii="宋体" w:hAnsi="宋体"/>
          <w:color w:val="auto"/>
          <w:szCs w:val="21"/>
          <w:highlight w:val="none"/>
        </w:rPr>
        <w:t>关于发包人应负责提供施工</w:t>
      </w:r>
      <w:r>
        <w:rPr>
          <w:rFonts w:hint="eastAsia" w:ascii="宋体" w:hAnsi="宋体"/>
          <w:color w:val="auto"/>
          <w:szCs w:val="21"/>
          <w:highlight w:val="none"/>
        </w:rPr>
        <w:t>所需要的条件，</w:t>
      </w:r>
      <w:r>
        <w:rPr>
          <w:rFonts w:ascii="宋体" w:hAnsi="宋体"/>
          <w:color w:val="auto"/>
          <w:szCs w:val="21"/>
          <w:highlight w:val="none"/>
        </w:rPr>
        <w:t>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5092943">
      <w:pPr>
        <w:spacing w:line="480" w:lineRule="exact"/>
        <w:rPr>
          <w:rFonts w:hint="eastAsia" w:ascii="宋体" w:hAnsi="宋体"/>
          <w:color w:val="auto"/>
          <w:szCs w:val="21"/>
          <w:highlight w:val="none"/>
        </w:rPr>
      </w:pPr>
      <w:r>
        <w:rPr>
          <w:rFonts w:ascii="宋体" w:hAnsi="宋体"/>
          <w:color w:val="auto"/>
          <w:szCs w:val="21"/>
          <w:highlight w:val="none"/>
        </w:rPr>
        <w:t>2.5 资金来源证明及支付担保</w:t>
      </w:r>
    </w:p>
    <w:p w14:paraId="54F3F686">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发包人提供资金来源证明的期限要求：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0BCFF5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发包人是否提供支付担保：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14:paraId="11FD875C">
      <w:pPr>
        <w:spacing w:line="480" w:lineRule="exact"/>
        <w:ind w:firstLine="420" w:firstLineChars="200"/>
        <w:rPr>
          <w:rFonts w:hint="eastAsia" w:ascii="宋体" w:hAnsi="宋体"/>
          <w:color w:val="auto"/>
          <w:szCs w:val="21"/>
          <w:highlight w:val="none"/>
          <w:u w:val="single"/>
        </w:rPr>
      </w:pPr>
      <w:r>
        <w:rPr>
          <w:rFonts w:ascii="宋体" w:hAnsi="宋体"/>
          <w:color w:val="auto"/>
          <w:szCs w:val="21"/>
          <w:highlight w:val="none"/>
        </w:rPr>
        <w:t>发包人提供支付担保的形式：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E5BBB98">
      <w:pPr>
        <w:spacing w:line="480" w:lineRule="exact"/>
        <w:rPr>
          <w:rFonts w:hint="eastAsia" w:ascii="宋体" w:hAnsi="宋体"/>
          <w:color w:val="auto"/>
          <w:szCs w:val="21"/>
          <w:highlight w:val="none"/>
        </w:rPr>
      </w:pPr>
      <w:bookmarkStart w:id="477" w:name="_Toc351203635"/>
      <w:r>
        <w:rPr>
          <w:rFonts w:ascii="宋体" w:hAnsi="宋体"/>
          <w:color w:val="auto"/>
          <w:szCs w:val="21"/>
          <w:highlight w:val="none"/>
        </w:rPr>
        <w:t>3</w:t>
      </w:r>
      <w:bookmarkStart w:id="478" w:name="_Toc297120458"/>
      <w:bookmarkStart w:id="479" w:name="_Toc296346659"/>
      <w:bookmarkStart w:id="480" w:name="_Toc292559363"/>
      <w:bookmarkStart w:id="481" w:name="_Toc296944497"/>
      <w:bookmarkStart w:id="482" w:name="_Toc296503158"/>
      <w:bookmarkStart w:id="483" w:name="_Toc297048344"/>
      <w:bookmarkStart w:id="484" w:name="_Toc296890986"/>
      <w:bookmarkStart w:id="485" w:name="_Toc292559868"/>
      <w:bookmarkStart w:id="486" w:name="_Toc296891198"/>
      <w:bookmarkStart w:id="487" w:name="_Toc296347157"/>
      <w:r>
        <w:rPr>
          <w:rFonts w:ascii="宋体" w:hAnsi="宋体"/>
          <w:color w:val="auto"/>
          <w:szCs w:val="21"/>
          <w:highlight w:val="none"/>
        </w:rPr>
        <w:t>. 承包人</w:t>
      </w:r>
      <w:bookmarkEnd w:id="477"/>
    </w:p>
    <w:bookmarkEnd w:id="478"/>
    <w:bookmarkEnd w:id="479"/>
    <w:bookmarkEnd w:id="480"/>
    <w:bookmarkEnd w:id="481"/>
    <w:bookmarkEnd w:id="482"/>
    <w:bookmarkEnd w:id="483"/>
    <w:bookmarkEnd w:id="484"/>
    <w:bookmarkEnd w:id="485"/>
    <w:bookmarkEnd w:id="486"/>
    <w:bookmarkEnd w:id="487"/>
    <w:p w14:paraId="082ECF06">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3.1 承包人的一般义务</w:t>
      </w:r>
    </w:p>
    <w:p w14:paraId="6D4FDE87">
      <w:pPr>
        <w:spacing w:line="480" w:lineRule="exact"/>
        <w:ind w:firstLine="420" w:firstLineChars="200"/>
        <w:jc w:val="left"/>
        <w:rPr>
          <w:rFonts w:hint="eastAsia"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w:t>
      </w:r>
      <w:r>
        <w:rPr>
          <w:rFonts w:ascii="宋体" w:hAnsi="宋体"/>
          <w:color w:val="auto"/>
          <w:szCs w:val="21"/>
          <w:highlight w:val="none"/>
        </w:rPr>
        <w:t>承包人提交的竣工资料的内容：</w:t>
      </w:r>
      <w:r>
        <w:rPr>
          <w:rFonts w:ascii="宋体" w:hAnsi="宋体"/>
          <w:color w:val="auto"/>
          <w:szCs w:val="21"/>
          <w:highlight w:val="none"/>
          <w:u w:val="single"/>
        </w:rPr>
        <w:t xml:space="preserve">                    </w:t>
      </w:r>
      <w:r>
        <w:rPr>
          <w:rFonts w:ascii="宋体" w:hAnsi="宋体"/>
          <w:color w:val="auto"/>
          <w:szCs w:val="21"/>
          <w:highlight w:val="none"/>
        </w:rPr>
        <w:t>。</w:t>
      </w:r>
    </w:p>
    <w:p w14:paraId="0E82C553">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承包人需要提交的竣工资料套数：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1796CB6">
      <w:pPr>
        <w:spacing w:line="480" w:lineRule="exact"/>
        <w:ind w:left="638" w:leftChars="304"/>
        <w:jc w:val="left"/>
        <w:rPr>
          <w:rFonts w:hint="eastAsia" w:ascii="宋体" w:hAnsi="宋体"/>
          <w:color w:val="auto"/>
          <w:szCs w:val="21"/>
          <w:highlight w:val="none"/>
        </w:rPr>
      </w:pPr>
      <w:r>
        <w:rPr>
          <w:rFonts w:ascii="宋体" w:hAnsi="宋体"/>
          <w:color w:val="auto"/>
          <w:szCs w:val="21"/>
          <w:highlight w:val="none"/>
        </w:rPr>
        <w:t>承包人提交的竣工资料的费用承担：</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DE08D0B">
      <w:pPr>
        <w:spacing w:line="480" w:lineRule="exact"/>
        <w:ind w:left="638" w:leftChars="304"/>
        <w:jc w:val="left"/>
        <w:rPr>
          <w:rFonts w:hint="eastAsia" w:ascii="宋体" w:hAnsi="宋体"/>
          <w:color w:val="auto"/>
          <w:szCs w:val="21"/>
          <w:highlight w:val="none"/>
        </w:rPr>
      </w:pPr>
      <w:r>
        <w:rPr>
          <w:rFonts w:ascii="宋体" w:hAnsi="宋体"/>
          <w:color w:val="auto"/>
          <w:szCs w:val="21"/>
          <w:highlight w:val="none"/>
        </w:rPr>
        <w:t>承包人提交的竣工资料移交时间：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DE3EBC9">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承包人提交的竣工资料形式要求：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3683380">
      <w:pPr>
        <w:spacing w:line="480" w:lineRule="exact"/>
        <w:ind w:firstLine="420" w:firstLineChars="200"/>
        <w:rPr>
          <w:rFonts w:hint="eastAsia"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10</w:t>
      </w:r>
      <w:r>
        <w:rPr>
          <w:rFonts w:ascii="宋体" w:hAnsi="宋体"/>
          <w:color w:val="auto"/>
          <w:kern w:val="0"/>
          <w:szCs w:val="21"/>
          <w:highlight w:val="none"/>
        </w:rPr>
        <w:t>）承包人应履行的其他义务：</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1256634">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3.2 项目经理</w:t>
      </w:r>
    </w:p>
    <w:p w14:paraId="41F68AA8">
      <w:pPr>
        <w:spacing w:line="480" w:lineRule="exact"/>
        <w:ind w:firstLine="420" w:firstLineChars="200"/>
        <w:rPr>
          <w:rFonts w:hint="eastAsia"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项目经理：</w:t>
      </w:r>
    </w:p>
    <w:p w14:paraId="6652BB23">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19AD756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2E5498C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建造师执业资格等级：</w:t>
      </w:r>
      <w:r>
        <w:rPr>
          <w:rFonts w:ascii="宋体" w:hAnsi="宋体"/>
          <w:color w:val="auto"/>
          <w:szCs w:val="21"/>
          <w:highlight w:val="none"/>
          <w:u w:val="single"/>
        </w:rPr>
        <w:t>   </w:t>
      </w:r>
      <w:r>
        <w:rPr>
          <w:rFonts w:ascii="宋体" w:hAnsi="宋体"/>
          <w:color w:val="auto"/>
          <w:szCs w:val="21"/>
          <w:highlight w:val="none"/>
        </w:rPr>
        <w:t>；</w:t>
      </w:r>
    </w:p>
    <w:p w14:paraId="4933036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建造师注册证书号：</w:t>
      </w:r>
      <w:r>
        <w:rPr>
          <w:rFonts w:ascii="宋体" w:hAnsi="宋体"/>
          <w:color w:val="auto"/>
          <w:szCs w:val="21"/>
          <w:highlight w:val="none"/>
          <w:u w:val="single"/>
        </w:rPr>
        <w:t> </w:t>
      </w:r>
      <w:r>
        <w:rPr>
          <w:rFonts w:ascii="宋体" w:hAnsi="宋体"/>
          <w:color w:val="auto"/>
          <w:szCs w:val="21"/>
          <w:highlight w:val="none"/>
        </w:rPr>
        <w:t>；</w:t>
      </w:r>
    </w:p>
    <w:p w14:paraId="6FB19965">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建造师执业</w:t>
      </w:r>
      <w:r>
        <w:rPr>
          <w:rFonts w:hint="eastAsia" w:ascii="宋体" w:hAnsi="宋体"/>
          <w:color w:val="auto"/>
          <w:szCs w:val="21"/>
          <w:highlight w:val="none"/>
        </w:rPr>
        <w:t>电子公章</w:t>
      </w:r>
      <w:r>
        <w:rPr>
          <w:rFonts w:ascii="宋体" w:hAnsi="宋体"/>
          <w:color w:val="auto"/>
          <w:szCs w:val="21"/>
          <w:highlight w:val="none"/>
        </w:rPr>
        <w:t>号：</w:t>
      </w:r>
      <w:r>
        <w:rPr>
          <w:rFonts w:ascii="宋体" w:hAnsi="宋体"/>
          <w:color w:val="auto"/>
          <w:szCs w:val="21"/>
          <w:highlight w:val="none"/>
          <w:u w:val="single"/>
        </w:rPr>
        <w:t> </w:t>
      </w:r>
      <w:r>
        <w:rPr>
          <w:rFonts w:ascii="宋体" w:hAnsi="宋体"/>
          <w:color w:val="auto"/>
          <w:szCs w:val="21"/>
          <w:highlight w:val="none"/>
        </w:rPr>
        <w:t>；</w:t>
      </w:r>
    </w:p>
    <w:p w14:paraId="6EAC71C6">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安全生产考核合格证书号：</w:t>
      </w:r>
      <w:r>
        <w:rPr>
          <w:rFonts w:ascii="宋体" w:hAnsi="宋体"/>
          <w:color w:val="auto"/>
          <w:szCs w:val="21"/>
          <w:highlight w:val="none"/>
          <w:u w:val="single"/>
        </w:rPr>
        <w:t> </w:t>
      </w:r>
      <w:r>
        <w:rPr>
          <w:rFonts w:ascii="宋体" w:hAnsi="宋体"/>
          <w:color w:val="auto"/>
          <w:szCs w:val="21"/>
          <w:highlight w:val="none"/>
        </w:rPr>
        <w:t>；</w:t>
      </w:r>
    </w:p>
    <w:p w14:paraId="0BA4D24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005D3BD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555A55D7">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40BEBBD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承包人对项目经理的授权范围如下：</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7470258A">
      <w:pPr>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5ADA983D">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承包人未提交劳动合同，以及没有为项目经理缴纳社会保险证明的违约责任：</w:t>
      </w:r>
      <w:r>
        <w:rPr>
          <w:rFonts w:ascii="宋体" w:hAnsi="宋体"/>
          <w:color w:val="auto"/>
          <w:szCs w:val="21"/>
          <w:highlight w:val="none"/>
          <w:u w:val="single"/>
        </w:rPr>
        <w:t></w:t>
      </w:r>
      <w:r>
        <w:rPr>
          <w:rFonts w:ascii="宋体" w:hAnsi="宋体"/>
          <w:color w:val="auto"/>
          <w:szCs w:val="21"/>
          <w:highlight w:val="none"/>
        </w:rPr>
        <w:t>。</w:t>
      </w:r>
    </w:p>
    <w:p w14:paraId="66EDBE15">
      <w:pPr>
        <w:spacing w:line="480" w:lineRule="exact"/>
        <w:ind w:firstLine="420" w:firstLineChars="200"/>
        <w:rPr>
          <w:rFonts w:hint="eastAsia"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76F33B4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3.2.3 承包人擅自更换项目经理的违约责任：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7786ECB">
      <w:pPr>
        <w:spacing w:line="480" w:lineRule="exact"/>
        <w:rPr>
          <w:rFonts w:hint="eastAsia" w:ascii="宋体" w:hAnsi="宋体"/>
          <w:color w:val="auto"/>
          <w:szCs w:val="21"/>
          <w:highlight w:val="none"/>
        </w:rPr>
      </w:pPr>
      <w:r>
        <w:rPr>
          <w:rFonts w:ascii="宋体" w:hAnsi="宋体"/>
          <w:color w:val="auto"/>
          <w:szCs w:val="21"/>
          <w:highlight w:val="none"/>
        </w:rPr>
        <w:t>3.2.4 承包人无正当理由拒绝更换项目经理的违约责任：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8163E34">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3.3 承包人人员</w:t>
      </w:r>
    </w:p>
    <w:p w14:paraId="42B7909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3.3.1 承包人提交项目管理机构及施工现场管理人员安排报告的期限：</w:t>
      </w:r>
      <w:r>
        <w:rPr>
          <w:rFonts w:ascii="宋体" w:hAnsi="宋体"/>
          <w:color w:val="auto"/>
          <w:szCs w:val="21"/>
          <w:highlight w:val="none"/>
          <w:u w:val="single"/>
        </w:rPr>
        <w:t xml:space="preserve">     </w:t>
      </w:r>
      <w:r>
        <w:rPr>
          <w:rFonts w:ascii="宋体" w:hAnsi="宋体"/>
          <w:color w:val="auto"/>
          <w:szCs w:val="21"/>
          <w:highlight w:val="none"/>
        </w:rPr>
        <w:t>。</w:t>
      </w:r>
    </w:p>
    <w:p w14:paraId="3F707CB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3.3.3 承包人无正当理由拒绝撤换主要施工管理人员的违约责任：</w:t>
      </w:r>
      <w:r>
        <w:rPr>
          <w:rFonts w:ascii="宋体" w:hAnsi="宋体"/>
          <w:color w:val="auto"/>
          <w:szCs w:val="21"/>
          <w:highlight w:val="none"/>
          <w:u w:val="single"/>
        </w:rPr>
        <w:t xml:space="preserve">     </w:t>
      </w:r>
      <w:r>
        <w:rPr>
          <w:rFonts w:ascii="宋体" w:hAnsi="宋体"/>
          <w:color w:val="auto"/>
          <w:szCs w:val="21"/>
          <w:highlight w:val="none"/>
        </w:rPr>
        <w:t>。</w:t>
      </w:r>
    </w:p>
    <w:p w14:paraId="759CEE21">
      <w:pPr>
        <w:spacing w:line="480" w:lineRule="exact"/>
        <w:ind w:firstLine="420" w:firstLineChars="200"/>
        <w:rPr>
          <w:rFonts w:hint="eastAsia" w:ascii="宋体" w:hAnsi="宋体"/>
          <w:color w:val="auto"/>
          <w:szCs w:val="21"/>
          <w:highlight w:val="none"/>
          <w:u w:val="single"/>
        </w:rPr>
      </w:pPr>
      <w:r>
        <w:rPr>
          <w:rFonts w:ascii="宋体" w:hAnsi="宋体"/>
          <w:color w:val="auto"/>
          <w:szCs w:val="21"/>
          <w:highlight w:val="none"/>
        </w:rPr>
        <w:t>3.3.4 承包人主要施工管理人员离开施工现场的批准要求：</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1D644E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3.3.5承包人擅自更换主要施工管理人员的违约责任：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A54AA8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承包人主要施工管理人员擅自离开施工现场的违约责任：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454B106">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w:t>
      </w:r>
      <w:bookmarkStart w:id="488" w:name="_Toc296891199"/>
      <w:bookmarkStart w:id="489" w:name="_Toc297123492"/>
      <w:bookmarkStart w:id="490" w:name="_Toc297120459"/>
      <w:bookmarkStart w:id="491" w:name="_Toc296346660"/>
      <w:bookmarkStart w:id="492" w:name="_Toc296944498"/>
      <w:bookmarkStart w:id="493" w:name="_Toc303539102"/>
      <w:bookmarkStart w:id="494" w:name="_Toc312677988"/>
      <w:bookmarkStart w:id="495" w:name="_Toc296503159"/>
      <w:bookmarkStart w:id="496" w:name="_Toc300934945"/>
      <w:bookmarkStart w:id="497" w:name="_Toc297216151"/>
      <w:bookmarkStart w:id="498" w:name="_Toc292559364"/>
      <w:bookmarkStart w:id="499" w:name="_Toc296890987"/>
      <w:bookmarkStart w:id="500" w:name="_Toc297048345"/>
      <w:bookmarkStart w:id="501" w:name="_Toc304295523"/>
      <w:bookmarkStart w:id="502" w:name="_Toc296347158"/>
      <w:bookmarkStart w:id="503" w:name="_Toc292559869"/>
      <w:r>
        <w:rPr>
          <w:rFonts w:ascii="宋体" w:hAnsi="宋体"/>
          <w:color w:val="auto"/>
          <w:szCs w:val="21"/>
          <w:highlight w:val="none"/>
        </w:rPr>
        <w:t>.5 分包</w:t>
      </w:r>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14:paraId="06617D1D">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w:t>
      </w:r>
      <w:bookmarkStart w:id="504" w:name="_Toc296347159"/>
      <w:bookmarkStart w:id="505" w:name="_Toc296891200"/>
      <w:bookmarkStart w:id="506" w:name="_Toc296944499"/>
      <w:bookmarkStart w:id="507" w:name="_Toc296346661"/>
      <w:bookmarkStart w:id="508" w:name="_Toc292559365"/>
      <w:bookmarkStart w:id="509" w:name="_Toc297120460"/>
      <w:bookmarkStart w:id="510" w:name="_Toc292559870"/>
      <w:bookmarkStart w:id="511" w:name="_Toc303539103"/>
      <w:bookmarkStart w:id="512" w:name="_Toc297216152"/>
      <w:bookmarkStart w:id="513" w:name="_Toc300934946"/>
      <w:bookmarkStart w:id="514" w:name="_Toc296503160"/>
      <w:bookmarkStart w:id="515" w:name="_Toc297048346"/>
      <w:bookmarkStart w:id="516" w:name="_Toc297123493"/>
      <w:bookmarkStart w:id="517" w:name="_Toc296890988"/>
      <w:bookmarkStart w:id="518" w:name="_Toc304295524"/>
      <w:bookmarkStart w:id="519" w:name="_Toc312677989"/>
      <w:bookmarkStart w:id="520" w:name="_Toc318581158"/>
      <w:r>
        <w:rPr>
          <w:rFonts w:ascii="宋体" w:hAnsi="宋体"/>
          <w:color w:val="auto"/>
          <w:szCs w:val="21"/>
          <w:highlight w:val="none"/>
        </w:rPr>
        <w:t>.5.1 分包的一般约定</w:t>
      </w:r>
    </w:p>
    <w:p w14:paraId="72A011FE">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禁止分包的工程包括：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F721A35">
      <w:pPr>
        <w:spacing w:line="480" w:lineRule="exact"/>
        <w:ind w:firstLine="420" w:firstLineChars="200"/>
        <w:jc w:val="left"/>
        <w:rPr>
          <w:rFonts w:hint="eastAsia" w:ascii="宋体" w:hAnsi="宋体"/>
          <w:color w:val="auto"/>
          <w:szCs w:val="21"/>
          <w:highlight w:val="none"/>
          <w:u w:val="single"/>
        </w:rPr>
      </w:pPr>
      <w:r>
        <w:rPr>
          <w:rFonts w:ascii="宋体" w:hAnsi="宋体"/>
          <w:color w:val="auto"/>
          <w:szCs w:val="21"/>
          <w:highlight w:val="none"/>
        </w:rPr>
        <w:t>主体结构、关键性工作的范围：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Start w:id="521" w:name="_Toc297216153"/>
      <w:bookmarkStart w:id="522" w:name="_Toc296891201"/>
      <w:bookmarkStart w:id="523" w:name="_Toc303539104"/>
      <w:bookmarkStart w:id="524" w:name="_Toc296503161"/>
      <w:bookmarkStart w:id="525" w:name="_Toc300934947"/>
      <w:bookmarkStart w:id="526" w:name="_Toc296347160"/>
      <w:bookmarkStart w:id="527" w:name="_Toc296944500"/>
      <w:bookmarkStart w:id="528" w:name="_Toc297123494"/>
      <w:bookmarkStart w:id="529" w:name="_Toc296346662"/>
      <w:bookmarkStart w:id="530" w:name="_Toc297120461"/>
      <w:bookmarkStart w:id="531" w:name="_Toc304295525"/>
      <w:bookmarkStart w:id="532" w:name="_Toc297048347"/>
      <w:bookmarkStart w:id="533" w:name="_Toc296890989"/>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14:paraId="2E333523">
      <w:pPr>
        <w:spacing w:line="480" w:lineRule="exact"/>
        <w:rPr>
          <w:rFonts w:hint="eastAsia" w:ascii="宋体" w:hAnsi="宋体"/>
          <w:color w:val="auto"/>
          <w:szCs w:val="21"/>
          <w:highlight w:val="none"/>
        </w:rPr>
      </w:pPr>
      <w:r>
        <w:rPr>
          <w:rFonts w:ascii="宋体" w:hAnsi="宋体"/>
          <w:color w:val="auto"/>
          <w:szCs w:val="21"/>
          <w:highlight w:val="none"/>
        </w:rPr>
        <w:t xml:space="preserve">    3</w:t>
      </w:r>
      <w:bookmarkStart w:id="534" w:name="_Toc312677990"/>
      <w:bookmarkStart w:id="535" w:name="_Toc318581159"/>
      <w:r>
        <w:rPr>
          <w:rFonts w:ascii="宋体" w:hAnsi="宋体"/>
          <w:color w:val="auto"/>
          <w:szCs w:val="21"/>
          <w:highlight w:val="none"/>
        </w:rPr>
        <w:t>.5.2分包的确定</w:t>
      </w:r>
    </w:p>
    <w:p w14:paraId="5D00A3C8">
      <w:pPr>
        <w:spacing w:line="480" w:lineRule="exact"/>
        <w:ind w:firstLine="420" w:firstLineChars="200"/>
        <w:rPr>
          <w:rFonts w:hint="eastAsia" w:ascii="宋体" w:hAnsi="宋体"/>
          <w:color w:val="auto"/>
          <w:szCs w:val="21"/>
          <w:highlight w:val="none"/>
          <w:u w:val="single"/>
        </w:rPr>
      </w:pPr>
      <w:r>
        <w:rPr>
          <w:rFonts w:ascii="宋体" w:hAnsi="宋体"/>
          <w:color w:val="auto"/>
          <w:szCs w:val="21"/>
          <w:highlight w:val="none"/>
        </w:rPr>
        <w:t>允许分包的专业工程包括：</w:t>
      </w:r>
      <w:r>
        <w:rPr>
          <w:rFonts w:ascii="宋体" w:hAnsi="宋体"/>
          <w:color w:val="auto"/>
          <w:szCs w:val="21"/>
          <w:highlight w:val="none"/>
          <w:u w:val="single"/>
        </w:rPr>
        <w:t xml:space="preserve">                         </w:t>
      </w:r>
      <w:r>
        <w:rPr>
          <w:rFonts w:ascii="宋体" w:hAnsi="宋体"/>
          <w:color w:val="auto"/>
          <w:szCs w:val="21"/>
          <w:highlight w:val="none"/>
        </w:rPr>
        <w:t>。</w:t>
      </w:r>
    </w:p>
    <w:p w14:paraId="24888D2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其他关于分包的约定：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1D6C8C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3.5.4 分包合同价款</w:t>
      </w:r>
    </w:p>
    <w:p w14:paraId="196DC476">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关于分包合同价款支付的约定：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34"/>
    <w:bookmarkEnd w:id="535"/>
    <w:p w14:paraId="159AEDD7">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3.6 工程照管与成品、半成品保护</w:t>
      </w:r>
    </w:p>
    <w:p w14:paraId="1498E834">
      <w:pPr>
        <w:spacing w:before="120" w:after="120" w:line="480" w:lineRule="exact"/>
        <w:ind w:firstLine="420" w:firstLineChars="200"/>
        <w:rPr>
          <w:rFonts w:hint="eastAsia" w:ascii="宋体" w:hAnsi="宋体"/>
          <w:color w:val="auto"/>
          <w:kern w:val="0"/>
          <w:szCs w:val="21"/>
          <w:highlight w:val="none"/>
          <w:u w:val="single"/>
        </w:rPr>
      </w:pPr>
      <w:r>
        <w:rPr>
          <w:rFonts w:ascii="宋体" w:hAnsi="宋体"/>
          <w:color w:val="auto"/>
          <w:kern w:val="0"/>
          <w:szCs w:val="21"/>
          <w:highlight w:val="none"/>
        </w:rPr>
        <w:t>承包人负责照管工程及工程相关的材料、工程设备的起始时间：</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E0A473B">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3.7 履约担保</w:t>
      </w:r>
    </w:p>
    <w:p w14:paraId="1EF12845">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承包人是否提供履约担保：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810B9F6">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承包人提供履约担保的形式</w:t>
      </w:r>
      <w:r>
        <w:rPr>
          <w:rFonts w:hint="eastAsia" w:ascii="宋体" w:hAnsi="宋体"/>
          <w:color w:val="auto"/>
          <w:szCs w:val="21"/>
          <w:highlight w:val="none"/>
        </w:rPr>
        <w:t>、金额及期限</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907BA19">
      <w:pPr>
        <w:spacing w:line="480" w:lineRule="exact"/>
        <w:rPr>
          <w:rFonts w:hint="eastAsia" w:ascii="宋体" w:hAnsi="宋体"/>
          <w:color w:val="auto"/>
          <w:szCs w:val="21"/>
          <w:highlight w:val="none"/>
        </w:rPr>
      </w:pPr>
      <w:bookmarkStart w:id="536" w:name="_Toc351203636"/>
      <w:r>
        <w:rPr>
          <w:rFonts w:ascii="宋体" w:hAnsi="宋体"/>
          <w:color w:val="auto"/>
          <w:szCs w:val="21"/>
          <w:highlight w:val="none"/>
        </w:rPr>
        <w:t>4</w:t>
      </w:r>
      <w:bookmarkStart w:id="537" w:name="_Toc297120462"/>
      <w:bookmarkStart w:id="538" w:name="_Toc297048348"/>
      <w:bookmarkStart w:id="539" w:name="_Toc296944501"/>
      <w:bookmarkStart w:id="540" w:name="_Toc292559366"/>
      <w:bookmarkStart w:id="541" w:name="_Toc296890990"/>
      <w:bookmarkStart w:id="542" w:name="_Toc296347161"/>
      <w:bookmarkStart w:id="543" w:name="_Toc296503162"/>
      <w:bookmarkStart w:id="544" w:name="_Toc296346663"/>
      <w:bookmarkStart w:id="545" w:name="_Toc292559871"/>
      <w:bookmarkStart w:id="546" w:name="_Toc267251413"/>
      <w:bookmarkStart w:id="547" w:name="_Toc296891202"/>
      <w:r>
        <w:rPr>
          <w:rFonts w:ascii="宋体" w:hAnsi="宋体"/>
          <w:color w:val="auto"/>
          <w:szCs w:val="21"/>
          <w:highlight w:val="none"/>
        </w:rPr>
        <w:t>. 监</w:t>
      </w:r>
      <w:bookmarkEnd w:id="537"/>
      <w:bookmarkEnd w:id="538"/>
      <w:bookmarkEnd w:id="539"/>
      <w:bookmarkEnd w:id="540"/>
      <w:bookmarkEnd w:id="541"/>
      <w:bookmarkEnd w:id="542"/>
      <w:bookmarkEnd w:id="543"/>
      <w:bookmarkEnd w:id="544"/>
      <w:bookmarkEnd w:id="545"/>
      <w:bookmarkEnd w:id="546"/>
      <w:bookmarkEnd w:id="547"/>
      <w:r>
        <w:rPr>
          <w:rFonts w:ascii="宋体" w:hAnsi="宋体"/>
          <w:color w:val="auto"/>
          <w:szCs w:val="21"/>
          <w:highlight w:val="none"/>
        </w:rPr>
        <w:t>理人</w:t>
      </w:r>
      <w:bookmarkEnd w:id="536"/>
    </w:p>
    <w:p w14:paraId="0FE1FEE5">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4.1监理人的一般规定</w:t>
      </w:r>
    </w:p>
    <w:p w14:paraId="224931D8">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关于监理人的监理内容：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42A39C2">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关于监理人的监理权限：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5DBC8F5A">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关于监理人在施工现场的办公场所、生活场所的提供和费用承担的约定：</w:t>
      </w:r>
      <w:r>
        <w:rPr>
          <w:rFonts w:ascii="宋体" w:hAnsi="宋体"/>
          <w:color w:val="auto"/>
          <w:szCs w:val="21"/>
          <w:highlight w:val="none"/>
          <w:u w:val="single"/>
        </w:rPr>
        <w:t xml:space="preserve">     </w:t>
      </w:r>
      <w:r>
        <w:rPr>
          <w:rFonts w:ascii="宋体" w:hAnsi="宋体"/>
          <w:color w:val="auto"/>
          <w:szCs w:val="21"/>
          <w:highlight w:val="none"/>
        </w:rPr>
        <w:t>。</w:t>
      </w:r>
    </w:p>
    <w:p w14:paraId="30950E3C">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4.2 监理人员</w:t>
      </w:r>
    </w:p>
    <w:p w14:paraId="1FF75CD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总监理工程师：</w:t>
      </w:r>
    </w:p>
    <w:p w14:paraId="21AAB41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 </w:t>
      </w:r>
      <w:r>
        <w:rPr>
          <w:rFonts w:ascii="宋体" w:hAnsi="宋体"/>
          <w:color w:val="auto"/>
          <w:szCs w:val="21"/>
          <w:highlight w:val="none"/>
        </w:rPr>
        <w:t>；</w:t>
      </w:r>
    </w:p>
    <w:p w14:paraId="43E71F0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752484D6">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监理工程师执业资格证书号：</w:t>
      </w:r>
      <w:r>
        <w:rPr>
          <w:rFonts w:ascii="宋体" w:hAnsi="宋体"/>
          <w:color w:val="auto"/>
          <w:szCs w:val="21"/>
          <w:highlight w:val="none"/>
          <w:u w:val="single"/>
        </w:rPr>
        <w:t> </w:t>
      </w:r>
      <w:r>
        <w:rPr>
          <w:rFonts w:ascii="宋体" w:hAnsi="宋体"/>
          <w:color w:val="auto"/>
          <w:szCs w:val="21"/>
          <w:highlight w:val="none"/>
        </w:rPr>
        <w:t>；</w:t>
      </w:r>
    </w:p>
    <w:p w14:paraId="254A617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112346D4">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2BEB04C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1E6D04A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关于监理人的其他约定：</w:t>
      </w:r>
      <w:r>
        <w:rPr>
          <w:rFonts w:ascii="宋体" w:hAnsi="宋体"/>
          <w:color w:val="auto"/>
          <w:szCs w:val="21"/>
          <w:highlight w:val="none"/>
          <w:u w:val="single"/>
        </w:rPr>
        <w:t>   </w:t>
      </w:r>
      <w:r>
        <w:rPr>
          <w:rFonts w:ascii="宋体" w:hAnsi="宋体"/>
          <w:color w:val="auto"/>
          <w:szCs w:val="21"/>
          <w:highlight w:val="none"/>
        </w:rPr>
        <w:t>。</w:t>
      </w:r>
    </w:p>
    <w:p w14:paraId="41B098E1">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4.4 商定或确定</w:t>
      </w:r>
    </w:p>
    <w:p w14:paraId="777CA021">
      <w:pPr>
        <w:spacing w:line="480" w:lineRule="exact"/>
        <w:ind w:firstLine="420" w:firstLineChars="200"/>
        <w:rPr>
          <w:rFonts w:hint="eastAsia" w:ascii="宋体" w:hAnsi="宋体"/>
          <w:color w:val="auto"/>
          <w:szCs w:val="21"/>
          <w:highlight w:val="none"/>
        </w:rPr>
      </w:pPr>
      <w:bookmarkStart w:id="548" w:name="_Toc267251418"/>
      <w:r>
        <w:rPr>
          <w:rFonts w:ascii="宋体" w:hAnsi="宋体"/>
          <w:color w:val="auto"/>
          <w:szCs w:val="21"/>
          <w:highlight w:val="none"/>
        </w:rPr>
        <w:t>在发包人和承包人不能通过协商达成一致意见时，发包人授权监理人对以下事项进行确定：</w:t>
      </w:r>
    </w:p>
    <w:p w14:paraId="34A73A82">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15D5031">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21922B3">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404C515">
      <w:pPr>
        <w:spacing w:line="480" w:lineRule="exact"/>
        <w:rPr>
          <w:rFonts w:hint="eastAsia" w:ascii="宋体" w:hAnsi="宋体"/>
          <w:color w:val="auto"/>
          <w:szCs w:val="21"/>
          <w:highlight w:val="none"/>
        </w:rPr>
      </w:pPr>
      <w:bookmarkStart w:id="549" w:name="_Toc351203637"/>
      <w:r>
        <w:rPr>
          <w:rFonts w:ascii="宋体" w:hAnsi="宋体"/>
          <w:color w:val="auto"/>
          <w:szCs w:val="21"/>
          <w:highlight w:val="none"/>
        </w:rPr>
        <w:t>5</w:t>
      </w:r>
      <w:bookmarkEnd w:id="548"/>
      <w:bookmarkStart w:id="550" w:name="_Toc296347162"/>
      <w:bookmarkStart w:id="551" w:name="_Toc296346664"/>
      <w:bookmarkStart w:id="552" w:name="_Toc296503163"/>
      <w:bookmarkStart w:id="553" w:name="_Toc296944502"/>
      <w:bookmarkStart w:id="554" w:name="_Toc296890991"/>
      <w:bookmarkStart w:id="555" w:name="_Toc292559367"/>
      <w:bookmarkStart w:id="556" w:name="_Toc297048349"/>
      <w:bookmarkStart w:id="557" w:name="_Toc296891203"/>
      <w:bookmarkStart w:id="558" w:name="_Toc297120463"/>
      <w:bookmarkStart w:id="559" w:name="_Toc292559872"/>
      <w:r>
        <w:rPr>
          <w:rFonts w:ascii="宋体" w:hAnsi="宋体"/>
          <w:color w:val="auto"/>
          <w:szCs w:val="21"/>
          <w:highlight w:val="none"/>
        </w:rPr>
        <w:t>. 工程质量</w:t>
      </w:r>
      <w:bookmarkEnd w:id="549"/>
    </w:p>
    <w:p w14:paraId="0150F423">
      <w:pPr>
        <w:spacing w:line="480" w:lineRule="exact"/>
        <w:rPr>
          <w:rFonts w:hint="eastAsia" w:ascii="宋体" w:hAnsi="宋体"/>
          <w:color w:val="auto"/>
          <w:szCs w:val="21"/>
          <w:highlight w:val="none"/>
        </w:rPr>
      </w:pPr>
      <w:r>
        <w:rPr>
          <w:rFonts w:ascii="宋体" w:hAnsi="宋体"/>
          <w:color w:val="auto"/>
          <w:szCs w:val="21"/>
          <w:highlight w:val="none"/>
        </w:rPr>
        <w:t>5.1 质量要求</w:t>
      </w:r>
    </w:p>
    <w:p w14:paraId="7414AE74">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5</w:t>
      </w:r>
      <w:bookmarkStart w:id="560" w:name="_Toc303539106"/>
      <w:bookmarkStart w:id="561" w:name="_Toc318581164"/>
      <w:bookmarkStart w:id="562" w:name="_Toc297216155"/>
      <w:bookmarkStart w:id="563" w:name="_Toc304295527"/>
      <w:bookmarkStart w:id="564" w:name="_Toc312677997"/>
      <w:bookmarkStart w:id="565" w:name="_Toc300934949"/>
      <w:bookmarkStart w:id="566" w:name="_Toc297123496"/>
      <w:r>
        <w:rPr>
          <w:rFonts w:ascii="宋体" w:hAnsi="宋体"/>
          <w:color w:val="auto"/>
          <w:szCs w:val="21"/>
          <w:highlight w:val="none"/>
        </w:rPr>
        <w:t>.1.1 特殊质量标准和要求：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0C01430">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关于工程奖项的约定：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0223D55">
      <w:pPr>
        <w:spacing w:line="480" w:lineRule="exact"/>
        <w:rPr>
          <w:rFonts w:hint="eastAsia" w:ascii="宋体" w:hAnsi="宋体"/>
          <w:color w:val="auto"/>
          <w:szCs w:val="21"/>
          <w:highlight w:val="none"/>
        </w:rPr>
      </w:pPr>
      <w:r>
        <w:rPr>
          <w:rFonts w:ascii="宋体" w:hAnsi="宋体"/>
          <w:color w:val="auto"/>
          <w:szCs w:val="21"/>
          <w:highlight w:val="none"/>
        </w:rPr>
        <w:t>5.3 隐蔽工程检查</w:t>
      </w:r>
    </w:p>
    <w:p w14:paraId="1D4F2577">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5.3.2承包人提前通知监理人隐蔽工程检查的期限的约定：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6595A49">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监理人不能按时进行检查时，应提前</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291A80FB">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ascii="宋体" w:hAnsi="宋体"/>
          <w:color w:val="auto"/>
          <w:szCs w:val="21"/>
          <w:highlight w:val="none"/>
        </w:rPr>
        <w:t>小时。</w:t>
      </w:r>
    </w:p>
    <w:p w14:paraId="76C748E1">
      <w:pPr>
        <w:spacing w:line="480" w:lineRule="exact"/>
        <w:rPr>
          <w:rFonts w:hint="eastAsia" w:ascii="宋体" w:hAnsi="宋体"/>
          <w:color w:val="auto"/>
          <w:szCs w:val="21"/>
          <w:highlight w:val="none"/>
        </w:rPr>
      </w:pPr>
      <w:bookmarkStart w:id="567" w:name="_Toc351203638"/>
      <w:r>
        <w:rPr>
          <w:rFonts w:ascii="宋体" w:hAnsi="宋体"/>
          <w:color w:val="auto"/>
          <w:szCs w:val="21"/>
          <w:highlight w:val="none"/>
        </w:rPr>
        <w:t>6. 安全文明施工与环境保护</w:t>
      </w:r>
      <w:bookmarkEnd w:id="567"/>
    </w:p>
    <w:p w14:paraId="0339A8C5">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6.1安全文明施工</w:t>
      </w:r>
    </w:p>
    <w:p w14:paraId="74ED967B">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6.1.1 项目安全生产的达标目标及相应事项的约定：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59689EA">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6.1.4 关于治安保卫的特别约定：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44266C7">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关于编制施工场地治安管理计划的约定：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EC764CB">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6.1.5 文明施工</w:t>
      </w:r>
    </w:p>
    <w:p w14:paraId="175338BA">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合同当事人对文明施工的要求：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5DFE84A">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6.1.6 关于安全文明施工费支付比例和支付期限的约定：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60"/>
    <w:bookmarkEnd w:id="561"/>
    <w:bookmarkEnd w:id="562"/>
    <w:bookmarkEnd w:id="563"/>
    <w:bookmarkEnd w:id="564"/>
    <w:bookmarkEnd w:id="565"/>
    <w:bookmarkEnd w:id="566"/>
    <w:p w14:paraId="5F20F0F0">
      <w:pPr>
        <w:spacing w:line="480" w:lineRule="exact"/>
        <w:rPr>
          <w:rFonts w:hint="eastAsia" w:ascii="宋体" w:hAnsi="宋体"/>
          <w:color w:val="auto"/>
          <w:szCs w:val="21"/>
          <w:highlight w:val="none"/>
        </w:rPr>
      </w:pPr>
      <w:bookmarkStart w:id="568" w:name="_Toc351203639"/>
      <w:r>
        <w:rPr>
          <w:rFonts w:ascii="宋体" w:hAnsi="宋体"/>
          <w:color w:val="auto"/>
          <w:szCs w:val="21"/>
          <w:highlight w:val="none"/>
        </w:rPr>
        <w:t>7. 工期和进度</w:t>
      </w:r>
      <w:bookmarkEnd w:id="568"/>
    </w:p>
    <w:p w14:paraId="7FB687AD">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7.1 施工组织设计</w:t>
      </w:r>
    </w:p>
    <w:p w14:paraId="774EEA79">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szCs w:val="21"/>
          <w:highlight w:val="none"/>
        </w:rPr>
        <w:t>7.1.</w:t>
      </w:r>
      <w:r>
        <w:rPr>
          <w:rFonts w:hint="eastAsia" w:ascii="宋体" w:hAnsi="宋体"/>
          <w:color w:val="auto"/>
          <w:szCs w:val="21"/>
          <w:highlight w:val="none"/>
        </w:rPr>
        <w:t>1 合</w:t>
      </w:r>
      <w:r>
        <w:rPr>
          <w:rFonts w:hint="eastAsia" w:ascii="宋体" w:hAnsi="宋体"/>
          <w:color w:val="auto"/>
          <w:kern w:val="0"/>
          <w:szCs w:val="21"/>
          <w:highlight w:val="none"/>
        </w:rPr>
        <w:t>同当事人约定的</w:t>
      </w:r>
      <w:r>
        <w:rPr>
          <w:rFonts w:ascii="宋体" w:hAnsi="宋体"/>
          <w:color w:val="auto"/>
          <w:kern w:val="0"/>
          <w:szCs w:val="21"/>
          <w:highlight w:val="none"/>
        </w:rPr>
        <w:t>施工组织设计</w:t>
      </w:r>
      <w:r>
        <w:rPr>
          <w:rFonts w:hint="eastAsia" w:ascii="宋体" w:hAnsi="宋体"/>
          <w:color w:val="auto"/>
          <w:kern w:val="0"/>
          <w:szCs w:val="21"/>
          <w:highlight w:val="none"/>
        </w:rPr>
        <w:t>应包括的其他内容</w:t>
      </w:r>
      <w:r>
        <w:rPr>
          <w:rFonts w:ascii="宋体" w:hAnsi="宋体"/>
          <w:color w:val="auto"/>
          <w:kern w:val="0"/>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80A59C7">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szCs w:val="21"/>
          <w:highlight w:val="none"/>
        </w:rPr>
        <w:t xml:space="preserve">7.1.2 </w:t>
      </w:r>
      <w:r>
        <w:rPr>
          <w:rFonts w:ascii="宋体" w:hAnsi="宋体"/>
          <w:color w:val="auto"/>
          <w:kern w:val="0"/>
          <w:szCs w:val="21"/>
          <w:highlight w:val="none"/>
        </w:rPr>
        <w:t>施工组织设计的提交和修改</w:t>
      </w:r>
    </w:p>
    <w:p w14:paraId="5191F6EC">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kern w:val="0"/>
          <w:szCs w:val="21"/>
          <w:highlight w:val="none"/>
        </w:rPr>
        <w:t>承包人提交详细施工组织设计的期限的约定：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91E397F">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发包人和监理人在收到</w:t>
      </w:r>
      <w:r>
        <w:rPr>
          <w:rFonts w:hint="eastAsia" w:ascii="宋体" w:hAnsi="宋体"/>
          <w:color w:val="auto"/>
          <w:szCs w:val="21"/>
          <w:highlight w:val="none"/>
        </w:rPr>
        <w:t>详细的施工组织设计</w:t>
      </w:r>
      <w:r>
        <w:rPr>
          <w:rFonts w:ascii="宋体" w:hAnsi="宋体"/>
          <w:color w:val="auto"/>
          <w:szCs w:val="21"/>
          <w:highlight w:val="none"/>
        </w:rPr>
        <w:t>后确认或提出修改意见的期限：</w:t>
      </w:r>
      <w:r>
        <w:rPr>
          <w:rFonts w:ascii="宋体" w:hAnsi="宋体"/>
          <w:color w:val="auto"/>
          <w:szCs w:val="21"/>
          <w:highlight w:val="none"/>
          <w:u w:val="single"/>
        </w:rPr>
        <w:t xml:space="preserve">   </w:t>
      </w:r>
      <w:r>
        <w:rPr>
          <w:rFonts w:ascii="宋体" w:hAnsi="宋体"/>
          <w:color w:val="auto"/>
          <w:szCs w:val="21"/>
          <w:highlight w:val="none"/>
        </w:rPr>
        <w:t>。</w:t>
      </w:r>
    </w:p>
    <w:p w14:paraId="76B3D1C6">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w:t>
      </w:r>
      <w:bookmarkStart w:id="569" w:name="_Toc303539123"/>
      <w:bookmarkStart w:id="570" w:name="_Toc312677479"/>
      <w:bookmarkStart w:id="571" w:name="_Toc300934966"/>
      <w:bookmarkStart w:id="572" w:name="_Toc304295541"/>
      <w:bookmarkStart w:id="573" w:name="_Toc297123514"/>
      <w:bookmarkStart w:id="574" w:name="_Toc297216173"/>
      <w:bookmarkStart w:id="575" w:name="_Toc312678005"/>
      <w:r>
        <w:rPr>
          <w:rFonts w:ascii="宋体" w:hAnsi="宋体"/>
          <w:color w:val="auto"/>
          <w:szCs w:val="21"/>
          <w:highlight w:val="none"/>
        </w:rPr>
        <w:t>.2 施工进度计划</w:t>
      </w:r>
    </w:p>
    <w:p w14:paraId="3BBE948C">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7.2.2 施工进度计划的修订</w:t>
      </w:r>
    </w:p>
    <w:p w14:paraId="3D61F1B3">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ascii="宋体" w:hAnsi="宋体"/>
          <w:color w:val="auto"/>
          <w:szCs w:val="21"/>
          <w:highlight w:val="none"/>
          <w:u w:val="single"/>
        </w:rPr>
        <w:t xml:space="preserve">   </w:t>
      </w:r>
      <w:r>
        <w:rPr>
          <w:rFonts w:ascii="宋体" w:hAnsi="宋体"/>
          <w:color w:val="auto"/>
          <w:szCs w:val="21"/>
          <w:highlight w:val="none"/>
        </w:rPr>
        <w:t>。</w:t>
      </w:r>
    </w:p>
    <w:p w14:paraId="20FD5F6F">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7.3 开工</w:t>
      </w:r>
    </w:p>
    <w:p w14:paraId="58628B76">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7.3.1 开工准备</w:t>
      </w:r>
    </w:p>
    <w:p w14:paraId="2F957471">
      <w:pPr>
        <w:spacing w:line="480" w:lineRule="exact"/>
        <w:ind w:firstLine="645"/>
        <w:jc w:val="left"/>
        <w:rPr>
          <w:rFonts w:hint="eastAsia"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24E0DD8">
      <w:pPr>
        <w:spacing w:line="480" w:lineRule="exact"/>
        <w:ind w:firstLine="645"/>
        <w:jc w:val="left"/>
        <w:rPr>
          <w:rFonts w:hint="eastAsia" w:ascii="宋体" w:hAnsi="宋体"/>
          <w:color w:val="auto"/>
          <w:szCs w:val="21"/>
          <w:highlight w:val="none"/>
        </w:rPr>
      </w:pPr>
      <w:r>
        <w:rPr>
          <w:rFonts w:ascii="宋体" w:hAnsi="宋体"/>
          <w:color w:val="auto"/>
          <w:szCs w:val="21"/>
          <w:highlight w:val="none"/>
        </w:rPr>
        <w:t>关于发包人应完成的其他开工准备工作及期限：</w:t>
      </w:r>
      <w:r>
        <w:rPr>
          <w:rFonts w:ascii="宋体" w:hAnsi="宋体"/>
          <w:color w:val="auto"/>
          <w:szCs w:val="21"/>
          <w:highlight w:val="none"/>
          <w:u w:val="single"/>
        </w:rPr>
        <w:t xml:space="preserve">            </w:t>
      </w:r>
      <w:r>
        <w:rPr>
          <w:rFonts w:ascii="宋体" w:hAnsi="宋体"/>
          <w:color w:val="auto"/>
          <w:szCs w:val="21"/>
          <w:highlight w:val="none"/>
        </w:rPr>
        <w:t>。</w:t>
      </w:r>
    </w:p>
    <w:p w14:paraId="3F8C33C8">
      <w:pPr>
        <w:spacing w:line="480" w:lineRule="exact"/>
        <w:ind w:firstLine="525" w:firstLineChars="250"/>
        <w:jc w:val="left"/>
        <w:rPr>
          <w:rFonts w:hint="eastAsia" w:ascii="宋体" w:hAnsi="宋体"/>
          <w:color w:val="auto"/>
          <w:szCs w:val="21"/>
          <w:highlight w:val="none"/>
        </w:rPr>
      </w:pPr>
      <w:r>
        <w:rPr>
          <w:rFonts w:ascii="宋体" w:hAnsi="宋体"/>
          <w:color w:val="auto"/>
          <w:szCs w:val="21"/>
          <w:highlight w:val="none"/>
        </w:rPr>
        <w:t>关于承包人应完成的其他开工准备工作及期限：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313A5BF5">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7.3.2开工通知</w:t>
      </w:r>
    </w:p>
    <w:p w14:paraId="25995089">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因发包人原因造成监理人未能在计划开工日期之日起</w:t>
      </w:r>
      <w:r>
        <w:rPr>
          <w:rFonts w:ascii="宋体" w:hAnsi="宋体"/>
          <w:color w:val="auto"/>
          <w:szCs w:val="21"/>
          <w:highlight w:val="none"/>
          <w:u w:val="single"/>
        </w:rPr>
        <w:t xml:space="preserve">     </w:t>
      </w:r>
      <w:r>
        <w:rPr>
          <w:rFonts w:ascii="宋体" w:hAnsi="宋体"/>
          <w:color w:val="auto"/>
          <w:szCs w:val="21"/>
          <w:highlight w:val="none"/>
        </w:rPr>
        <w:t>天内发出开工通知的，承包人有权提出价格调整要求，或者解除合同。</w:t>
      </w:r>
    </w:p>
    <w:bookmarkEnd w:id="569"/>
    <w:bookmarkEnd w:id="570"/>
    <w:bookmarkEnd w:id="571"/>
    <w:bookmarkEnd w:id="572"/>
    <w:bookmarkEnd w:id="573"/>
    <w:bookmarkEnd w:id="574"/>
    <w:bookmarkEnd w:id="575"/>
    <w:p w14:paraId="20DD6466">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7.4 测量放线</w:t>
      </w:r>
    </w:p>
    <w:p w14:paraId="7B3CD782">
      <w:pPr>
        <w:spacing w:line="480" w:lineRule="exact"/>
        <w:ind w:firstLine="420" w:firstLineChars="200"/>
        <w:jc w:val="left"/>
        <w:rPr>
          <w:rFonts w:hint="eastAsia" w:ascii="宋体" w:hAnsi="宋体"/>
          <w:color w:val="auto"/>
          <w:szCs w:val="21"/>
          <w:highlight w:val="none"/>
          <w:u w:val="single"/>
        </w:rPr>
      </w:pPr>
      <w:r>
        <w:rPr>
          <w:rFonts w:ascii="宋体" w:hAnsi="宋体"/>
          <w:color w:val="auto"/>
          <w:szCs w:val="21"/>
          <w:highlight w:val="none"/>
        </w:rPr>
        <w:t>7.4.1发包人通过监理人向承包人提供测量基准点、基准线和水准点及其书面资料的期限：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714BFD2A">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w:t>
      </w:r>
      <w:bookmarkStart w:id="576" w:name="_Toc297216175"/>
      <w:bookmarkStart w:id="577" w:name="_Toc304295546"/>
      <w:bookmarkStart w:id="578" w:name="_Toc312678010"/>
      <w:bookmarkStart w:id="579" w:name="_Toc303539125"/>
      <w:bookmarkStart w:id="580" w:name="_Toc312677484"/>
      <w:bookmarkStart w:id="581" w:name="_Toc297123516"/>
      <w:bookmarkStart w:id="582" w:name="_Toc300934968"/>
      <w:r>
        <w:rPr>
          <w:rFonts w:ascii="宋体" w:hAnsi="宋体"/>
          <w:color w:val="auto"/>
          <w:szCs w:val="21"/>
          <w:highlight w:val="none"/>
        </w:rPr>
        <w:t>.5 工期延误</w:t>
      </w:r>
    </w:p>
    <w:bookmarkEnd w:id="576"/>
    <w:bookmarkEnd w:id="577"/>
    <w:bookmarkEnd w:id="578"/>
    <w:bookmarkEnd w:id="579"/>
    <w:bookmarkEnd w:id="580"/>
    <w:bookmarkEnd w:id="581"/>
    <w:bookmarkEnd w:id="582"/>
    <w:p w14:paraId="4A81C674">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7.5.1 因发包人原因导致工期延误</w:t>
      </w:r>
    </w:p>
    <w:p w14:paraId="7106D685">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（7）因发包人原因导致工期延误的其他情形：</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8E5286A">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w:t>
      </w:r>
      <w:bookmarkStart w:id="583" w:name="_Toc318581169"/>
      <w:bookmarkStart w:id="584" w:name="_Toc312678012"/>
      <w:bookmarkStart w:id="585" w:name="_Toc312677486"/>
      <w:bookmarkStart w:id="586" w:name="_Toc297216177"/>
      <w:bookmarkStart w:id="587" w:name="_Toc297123518"/>
      <w:bookmarkStart w:id="588" w:name="_Toc303539127"/>
      <w:bookmarkStart w:id="589" w:name="_Toc300934970"/>
      <w:bookmarkStart w:id="590" w:name="_Toc304295548"/>
      <w:r>
        <w:rPr>
          <w:rFonts w:ascii="宋体" w:hAnsi="宋体"/>
          <w:color w:val="auto"/>
          <w:szCs w:val="21"/>
          <w:highlight w:val="none"/>
        </w:rPr>
        <w:t>.5.2 因承包人原因导致工期延误</w:t>
      </w:r>
    </w:p>
    <w:bookmarkEnd w:id="583"/>
    <w:bookmarkEnd w:id="584"/>
    <w:bookmarkEnd w:id="585"/>
    <w:p w14:paraId="3CAA40B8">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因</w:t>
      </w:r>
      <w:bookmarkStart w:id="591" w:name="_Toc312678013"/>
      <w:bookmarkStart w:id="592" w:name="_Toc312677487"/>
      <w:bookmarkStart w:id="593" w:name="_Toc318581170"/>
      <w:r>
        <w:rPr>
          <w:rFonts w:ascii="宋体" w:hAnsi="宋体"/>
          <w:color w:val="auto"/>
          <w:szCs w:val="21"/>
          <w:highlight w:val="none"/>
        </w:rPr>
        <w:t>承包人原因造成工期延误，逾期竣工违约金的计算方法为：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586"/>
      <w:bookmarkEnd w:id="587"/>
      <w:bookmarkEnd w:id="588"/>
      <w:bookmarkEnd w:id="589"/>
      <w:bookmarkEnd w:id="590"/>
      <w:bookmarkEnd w:id="591"/>
      <w:bookmarkEnd w:id="592"/>
    </w:p>
    <w:bookmarkEnd w:id="593"/>
    <w:p w14:paraId="22672451">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因承包人原因造成工期延误，逾</w:t>
      </w:r>
      <w:bookmarkStart w:id="594" w:name="_Toc318581171"/>
      <w:bookmarkStart w:id="595" w:name="_Toc312678014"/>
      <w:r>
        <w:rPr>
          <w:rFonts w:ascii="宋体" w:hAnsi="宋体"/>
          <w:color w:val="auto"/>
          <w:szCs w:val="21"/>
          <w:highlight w:val="none"/>
        </w:rPr>
        <w:t>期竣工违约金的上限：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94"/>
    <w:bookmarkEnd w:id="595"/>
    <w:p w14:paraId="0F30E6DF">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w:t>
      </w:r>
      <w:bookmarkStart w:id="596" w:name="_Toc312678015"/>
      <w:bookmarkStart w:id="597" w:name="_Toc304295549"/>
      <w:bookmarkStart w:id="598" w:name="_Toc300934971"/>
      <w:bookmarkStart w:id="599" w:name="_Toc303539128"/>
      <w:bookmarkStart w:id="600" w:name="_Toc297123519"/>
      <w:bookmarkStart w:id="601" w:name="_Toc297216178"/>
      <w:r>
        <w:rPr>
          <w:rFonts w:ascii="宋体" w:hAnsi="宋体"/>
          <w:color w:val="auto"/>
          <w:szCs w:val="21"/>
          <w:highlight w:val="none"/>
        </w:rPr>
        <w:t>.6 不</w:t>
      </w:r>
      <w:bookmarkEnd w:id="596"/>
      <w:bookmarkEnd w:id="597"/>
      <w:bookmarkEnd w:id="598"/>
      <w:bookmarkEnd w:id="599"/>
      <w:bookmarkEnd w:id="600"/>
      <w:bookmarkEnd w:id="601"/>
      <w:r>
        <w:rPr>
          <w:rFonts w:ascii="宋体" w:hAnsi="宋体"/>
          <w:color w:val="auto"/>
          <w:szCs w:val="21"/>
          <w:highlight w:val="none"/>
        </w:rPr>
        <w:t>利物质条件</w:t>
      </w:r>
    </w:p>
    <w:p w14:paraId="396B75AA">
      <w:pPr>
        <w:spacing w:line="480" w:lineRule="exact"/>
        <w:ind w:firstLine="420" w:firstLineChars="200"/>
        <w:jc w:val="left"/>
        <w:rPr>
          <w:rFonts w:hint="eastAsia" w:ascii="宋体" w:hAnsi="宋体"/>
          <w:color w:val="auto"/>
          <w:szCs w:val="21"/>
          <w:highlight w:val="none"/>
        </w:rPr>
      </w:pPr>
      <w:bookmarkStart w:id="602" w:name="_Toc303539129"/>
      <w:bookmarkStart w:id="603" w:name="_Toc304295550"/>
      <w:bookmarkStart w:id="604" w:name="_Toc297216179"/>
      <w:bookmarkStart w:id="605" w:name="_Toc318581172"/>
      <w:bookmarkStart w:id="606" w:name="_Toc312678016"/>
      <w:bookmarkStart w:id="607" w:name="_Toc297123520"/>
      <w:bookmarkStart w:id="608" w:name="_Toc300934972"/>
      <w:r>
        <w:rPr>
          <w:rFonts w:ascii="宋体" w:hAnsi="宋体"/>
          <w:color w:val="auto"/>
          <w:szCs w:val="21"/>
          <w:highlight w:val="none"/>
        </w:rPr>
        <w:t>不利物质条件的其他情形和有关约定：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602"/>
    <w:bookmarkEnd w:id="603"/>
    <w:bookmarkEnd w:id="604"/>
    <w:bookmarkEnd w:id="605"/>
    <w:bookmarkEnd w:id="606"/>
    <w:bookmarkEnd w:id="607"/>
    <w:bookmarkEnd w:id="608"/>
    <w:p w14:paraId="7B958605">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w:t>
      </w:r>
      <w:bookmarkStart w:id="609" w:name="_Toc297123521"/>
      <w:bookmarkStart w:id="610" w:name="_Toc303539130"/>
      <w:bookmarkStart w:id="611" w:name="_Toc304295551"/>
      <w:bookmarkStart w:id="612" w:name="_Toc300934973"/>
      <w:bookmarkStart w:id="613" w:name="_Toc297216180"/>
      <w:bookmarkStart w:id="614" w:name="_Toc312678017"/>
      <w:r>
        <w:rPr>
          <w:rFonts w:ascii="宋体" w:hAnsi="宋体"/>
          <w:color w:val="auto"/>
          <w:szCs w:val="21"/>
          <w:highlight w:val="none"/>
        </w:rPr>
        <w:t>.7异常恶劣的气候条件</w:t>
      </w:r>
    </w:p>
    <w:bookmarkEnd w:id="609"/>
    <w:bookmarkEnd w:id="610"/>
    <w:bookmarkEnd w:id="611"/>
    <w:bookmarkEnd w:id="612"/>
    <w:bookmarkEnd w:id="613"/>
    <w:bookmarkEnd w:id="614"/>
    <w:p w14:paraId="610C4F80">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发包人和承包人同意以下情形视为异常恶劣的气候条件：</w:t>
      </w:r>
    </w:p>
    <w:p w14:paraId="23814EEF">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r>
        <w:rPr>
          <w:rFonts w:ascii="宋体" w:hAnsi="宋体"/>
          <w:color w:val="auto"/>
          <w:szCs w:val="21"/>
          <w:highlight w:val="none"/>
        </w:rPr>
        <w:t>；</w:t>
      </w:r>
    </w:p>
    <w:p w14:paraId="5016C9AB">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r>
        <w:rPr>
          <w:rFonts w:ascii="宋体" w:hAnsi="宋体"/>
          <w:color w:val="auto"/>
          <w:szCs w:val="21"/>
          <w:highlight w:val="none"/>
        </w:rPr>
        <w:t>；</w:t>
      </w:r>
    </w:p>
    <w:p w14:paraId="7B5EBC57">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（3）</w:t>
      </w:r>
      <w:r>
        <w:rPr>
          <w:rFonts w:ascii="宋体" w:hAnsi="宋体"/>
          <w:color w:val="auto"/>
          <w:szCs w:val="21"/>
          <w:highlight w:val="none"/>
          <w:u w:val="single"/>
        </w:rPr>
        <w:t xml:space="preserve">                                           </w:t>
      </w:r>
      <w:r>
        <w:rPr>
          <w:rFonts w:ascii="宋体" w:hAnsi="宋体"/>
          <w:color w:val="auto"/>
          <w:szCs w:val="21"/>
          <w:highlight w:val="none"/>
        </w:rPr>
        <w:t>。</w:t>
      </w:r>
    </w:p>
    <w:p w14:paraId="379FB1EA">
      <w:pPr>
        <w:spacing w:line="480" w:lineRule="exact"/>
        <w:rPr>
          <w:rFonts w:hint="eastAsia" w:ascii="宋体" w:hAnsi="宋体"/>
          <w:color w:val="auto"/>
          <w:szCs w:val="21"/>
          <w:highlight w:val="none"/>
        </w:rPr>
      </w:pPr>
      <w:r>
        <w:rPr>
          <w:rFonts w:ascii="宋体" w:hAnsi="宋体"/>
          <w:color w:val="auto"/>
          <w:szCs w:val="21"/>
          <w:highlight w:val="none"/>
        </w:rPr>
        <w:t>7.9 提前竣工的奖励</w:t>
      </w:r>
    </w:p>
    <w:p w14:paraId="198D8B0F">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7.9.2提前竣工的奖励：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5CE1147">
      <w:pPr>
        <w:spacing w:line="480" w:lineRule="exact"/>
        <w:rPr>
          <w:rFonts w:hint="eastAsia" w:ascii="宋体" w:hAnsi="宋体"/>
          <w:color w:val="auto"/>
          <w:szCs w:val="21"/>
          <w:highlight w:val="none"/>
        </w:rPr>
      </w:pPr>
      <w:bookmarkStart w:id="615" w:name="_Toc351203640"/>
      <w:r>
        <w:rPr>
          <w:rFonts w:ascii="宋体" w:hAnsi="宋体"/>
          <w:color w:val="auto"/>
          <w:szCs w:val="21"/>
          <w:highlight w:val="none"/>
        </w:rPr>
        <w:t>8. 材料与设备</w:t>
      </w:r>
      <w:bookmarkEnd w:id="615"/>
    </w:p>
    <w:bookmarkEnd w:id="550"/>
    <w:bookmarkEnd w:id="551"/>
    <w:bookmarkEnd w:id="552"/>
    <w:bookmarkEnd w:id="553"/>
    <w:bookmarkEnd w:id="554"/>
    <w:bookmarkEnd w:id="555"/>
    <w:bookmarkEnd w:id="556"/>
    <w:bookmarkEnd w:id="557"/>
    <w:bookmarkEnd w:id="558"/>
    <w:bookmarkEnd w:id="559"/>
    <w:p w14:paraId="59FDC802">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8</w:t>
      </w:r>
      <w:bookmarkStart w:id="616" w:name="_Toc297048353"/>
      <w:bookmarkStart w:id="617" w:name="_Toc296890995"/>
      <w:bookmarkStart w:id="618" w:name="_Toc300934979"/>
      <w:bookmarkStart w:id="619" w:name="_Toc297216186"/>
      <w:bookmarkStart w:id="620" w:name="_Toc303539136"/>
      <w:bookmarkStart w:id="621" w:name="_Toc297120467"/>
      <w:bookmarkStart w:id="622" w:name="_Toc296346668"/>
      <w:bookmarkStart w:id="623" w:name="_Toc292559372"/>
      <w:bookmarkStart w:id="624" w:name="_Toc296503167"/>
      <w:bookmarkStart w:id="625" w:name="_Toc292559877"/>
      <w:bookmarkStart w:id="626" w:name="_Toc296347166"/>
      <w:bookmarkStart w:id="627" w:name="_Toc312678019"/>
      <w:bookmarkStart w:id="628" w:name="_Toc280868654"/>
      <w:bookmarkStart w:id="629" w:name="_Toc297123527"/>
      <w:bookmarkStart w:id="630" w:name="_Toc312677493"/>
      <w:bookmarkStart w:id="631" w:name="_Toc304295556"/>
      <w:bookmarkStart w:id="632" w:name="_Toc296891207"/>
      <w:bookmarkStart w:id="633" w:name="_Toc296944506"/>
      <w:bookmarkStart w:id="634" w:name="_Toc280868656"/>
      <w:bookmarkStart w:id="635" w:name="_Toc280868655"/>
      <w:bookmarkStart w:id="636" w:name="_Toc267251424"/>
      <w:r>
        <w:rPr>
          <w:rFonts w:ascii="宋体" w:hAnsi="宋体"/>
          <w:color w:val="auto"/>
          <w:szCs w:val="21"/>
          <w:highlight w:val="none"/>
        </w:rPr>
        <w:t>.4材料与工程设备的保管与使用</w:t>
      </w:r>
    </w:p>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2C1AC715">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8</w:t>
      </w:r>
      <w:bookmarkStart w:id="637" w:name="_Toc292559373"/>
      <w:bookmarkStart w:id="638" w:name="_Toc292559878"/>
      <w:bookmarkStart w:id="639" w:name="_Toc296944507"/>
      <w:bookmarkStart w:id="640" w:name="_Toc296891208"/>
      <w:bookmarkStart w:id="641" w:name="_Toc318581173"/>
      <w:bookmarkStart w:id="642" w:name="_Toc296890996"/>
      <w:bookmarkStart w:id="643" w:name="_Toc312677494"/>
      <w:bookmarkStart w:id="644" w:name="_Toc297216187"/>
      <w:bookmarkStart w:id="645" w:name="_Toc296503168"/>
      <w:bookmarkStart w:id="646" w:name="_Toc312678020"/>
      <w:bookmarkStart w:id="647" w:name="_Toc304295557"/>
      <w:bookmarkStart w:id="648" w:name="_Toc303539137"/>
      <w:bookmarkStart w:id="649" w:name="_Toc297048354"/>
      <w:bookmarkStart w:id="650" w:name="_Toc296347167"/>
      <w:bookmarkStart w:id="651" w:name="_Toc297123528"/>
      <w:bookmarkStart w:id="652" w:name="_Toc296346669"/>
      <w:bookmarkStart w:id="653" w:name="_Toc300934980"/>
      <w:bookmarkStart w:id="654" w:name="_Toc297120468"/>
      <w:r>
        <w:rPr>
          <w:rFonts w:ascii="宋体" w:hAnsi="宋体"/>
          <w:color w:val="auto"/>
          <w:szCs w:val="21"/>
          <w:highlight w:val="none"/>
        </w:rPr>
        <w:t>.4.1发包人供应的材料设备的保管费用的承担：</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637"/>
      <w:bookmarkEnd w:id="638"/>
    </w:p>
    <w:p w14:paraId="38B54C1B">
      <w:pPr>
        <w:spacing w:line="480" w:lineRule="exact"/>
        <w:rPr>
          <w:rFonts w:hint="eastAsia" w:ascii="宋体" w:hAnsi="宋体"/>
          <w:color w:val="auto"/>
          <w:szCs w:val="21"/>
          <w:highlight w:val="none"/>
        </w:rPr>
      </w:pPr>
      <w:r>
        <w:rPr>
          <w:rFonts w:ascii="宋体" w:hAnsi="宋体"/>
          <w:color w:val="auto"/>
          <w:szCs w:val="21"/>
          <w:highlight w:val="none"/>
        </w:rPr>
        <w:t>8.6 样品</w:t>
      </w:r>
    </w:p>
    <w:p w14:paraId="305DC6F3">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8.6.1</w:t>
      </w:r>
      <w:r>
        <w:rPr>
          <w:rFonts w:ascii="宋体" w:hAnsi="宋体"/>
          <w:color w:val="auto"/>
          <w:kern w:val="0"/>
          <w:szCs w:val="21"/>
          <w:highlight w:val="none"/>
        </w:rPr>
        <w:tab/>
      </w:r>
      <w:r>
        <w:rPr>
          <w:rFonts w:ascii="宋体" w:hAnsi="宋体"/>
          <w:color w:val="auto"/>
          <w:kern w:val="0"/>
          <w:szCs w:val="21"/>
          <w:highlight w:val="none"/>
        </w:rPr>
        <w:t>样品的报送</w:t>
      </w:r>
      <w:r>
        <w:rPr>
          <w:rFonts w:hint="eastAsia" w:ascii="宋体" w:hAnsi="宋体"/>
          <w:color w:val="auto"/>
          <w:kern w:val="0"/>
          <w:szCs w:val="21"/>
          <w:highlight w:val="none"/>
        </w:rPr>
        <w:t>与封存</w:t>
      </w:r>
    </w:p>
    <w:p w14:paraId="76195762">
      <w:pPr>
        <w:autoSpaceDE w:val="0"/>
        <w:autoSpaceDN w:val="0"/>
        <w:adjustRightInd w:val="0"/>
        <w:spacing w:line="480" w:lineRule="exact"/>
        <w:ind w:firstLine="420" w:firstLineChars="200"/>
        <w:jc w:val="left"/>
        <w:rPr>
          <w:rFonts w:hint="eastAsia" w:ascii="宋体" w:hAnsi="宋体"/>
          <w:color w:val="auto"/>
          <w:szCs w:val="21"/>
          <w:highlight w:val="none"/>
          <w:u w:val="single"/>
        </w:rPr>
      </w:pPr>
      <w:r>
        <w:rPr>
          <w:rFonts w:ascii="宋体" w:hAnsi="宋体"/>
          <w:color w:val="auto"/>
          <w:kern w:val="0"/>
          <w:szCs w:val="21"/>
          <w:highlight w:val="none"/>
        </w:rPr>
        <w:t>需要承包人报送样品的材料或工程设备，样品的种类、名称、规格、数量要求：</w:t>
      </w:r>
      <w:r>
        <w:rPr>
          <w:rFonts w:ascii="宋体" w:hAnsi="宋体"/>
          <w:color w:val="auto"/>
          <w:szCs w:val="21"/>
          <w:highlight w:val="none"/>
          <w:u w:val="single"/>
        </w:rPr>
        <w:t xml:space="preserve"> </w:t>
      </w:r>
    </w:p>
    <w:p w14:paraId="4643736C">
      <w:pPr>
        <w:autoSpaceDE w:val="0"/>
        <w:autoSpaceDN w:val="0"/>
        <w:adjustRightInd w:val="0"/>
        <w:spacing w:line="480" w:lineRule="exact"/>
        <w:jc w:val="lef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A017121">
      <w:pPr>
        <w:spacing w:line="480" w:lineRule="exact"/>
        <w:rPr>
          <w:rFonts w:hint="eastAsia" w:ascii="宋体" w:hAnsi="宋体"/>
          <w:color w:val="auto"/>
          <w:szCs w:val="21"/>
          <w:highlight w:val="none"/>
        </w:rPr>
      </w:pPr>
      <w:r>
        <w:rPr>
          <w:rFonts w:ascii="宋体" w:hAnsi="宋体"/>
          <w:color w:val="auto"/>
          <w:szCs w:val="21"/>
          <w:highlight w:val="none"/>
        </w:rPr>
        <w:t>8.8 施工设备和临时设施</w:t>
      </w:r>
    </w:p>
    <w:p w14:paraId="1A7D9884">
      <w:pPr>
        <w:spacing w:line="480" w:lineRule="exact"/>
        <w:rPr>
          <w:rFonts w:hint="eastAsia" w:ascii="宋体" w:hAnsi="宋体"/>
          <w:color w:val="auto"/>
          <w:szCs w:val="21"/>
          <w:highlight w:val="none"/>
        </w:rPr>
      </w:pPr>
      <w:r>
        <w:rPr>
          <w:rFonts w:ascii="宋体" w:hAnsi="宋体"/>
          <w:color w:val="auto"/>
          <w:szCs w:val="21"/>
          <w:highlight w:val="none"/>
        </w:rPr>
        <w:t>8.8.1 承包人提供的施工设备和临时设施</w:t>
      </w:r>
    </w:p>
    <w:p w14:paraId="13CEC41A">
      <w:pPr>
        <w:spacing w:line="480" w:lineRule="exact"/>
        <w:rPr>
          <w:rFonts w:hint="eastAsia" w:ascii="宋体" w:hAnsi="宋体"/>
          <w:color w:val="auto"/>
          <w:szCs w:val="21"/>
          <w:highlight w:val="none"/>
        </w:rPr>
      </w:pPr>
      <w:r>
        <w:rPr>
          <w:rFonts w:ascii="宋体" w:hAnsi="宋体"/>
          <w:color w:val="auto"/>
          <w:szCs w:val="21"/>
          <w:highlight w:val="none"/>
        </w:rPr>
        <w:t>关于修建临时设施费用承担的约定：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14:paraId="47C7D670">
      <w:pPr>
        <w:spacing w:line="480" w:lineRule="exact"/>
        <w:rPr>
          <w:rFonts w:hint="eastAsia" w:ascii="宋体" w:hAnsi="宋体"/>
          <w:color w:val="auto"/>
          <w:szCs w:val="21"/>
          <w:highlight w:val="none"/>
        </w:rPr>
      </w:pPr>
      <w:bookmarkStart w:id="655" w:name="_Toc351203641"/>
      <w:r>
        <w:rPr>
          <w:rFonts w:ascii="宋体" w:hAnsi="宋体"/>
          <w:color w:val="auto"/>
          <w:szCs w:val="21"/>
          <w:highlight w:val="none"/>
        </w:rPr>
        <w:t>9</w:t>
      </w:r>
      <w:bookmarkEnd w:id="634"/>
      <w:bookmarkEnd w:id="635"/>
      <w:bookmarkEnd w:id="636"/>
      <w:bookmarkStart w:id="656" w:name="_Toc303539139"/>
      <w:bookmarkStart w:id="657" w:name="_Toc304295559"/>
      <w:bookmarkStart w:id="658" w:name="_Toc297216192"/>
      <w:bookmarkStart w:id="659" w:name="_Toc312677495"/>
      <w:bookmarkStart w:id="660" w:name="_Toc297123533"/>
      <w:bookmarkStart w:id="661" w:name="_Toc300934982"/>
      <w:bookmarkStart w:id="662" w:name="_Toc312678021"/>
      <w:bookmarkStart w:id="663" w:name="_Toc296891001"/>
      <w:bookmarkStart w:id="664" w:name="_Toc296944512"/>
      <w:bookmarkStart w:id="665" w:name="_Toc297120473"/>
      <w:bookmarkStart w:id="666" w:name="_Toc267251428"/>
      <w:bookmarkStart w:id="667" w:name="_Toc296503173"/>
      <w:bookmarkStart w:id="668" w:name="_Toc267251427"/>
      <w:bookmarkStart w:id="669" w:name="_Toc292559883"/>
      <w:bookmarkStart w:id="670" w:name="_Toc296346674"/>
      <w:bookmarkStart w:id="671" w:name="_Toc296891213"/>
      <w:bookmarkStart w:id="672" w:name="_Toc296347172"/>
      <w:bookmarkStart w:id="673" w:name="_Toc297048359"/>
      <w:bookmarkStart w:id="674" w:name="_Toc292559378"/>
      <w:r>
        <w:rPr>
          <w:rFonts w:ascii="宋体" w:hAnsi="宋体"/>
          <w:color w:val="auto"/>
          <w:szCs w:val="21"/>
          <w:highlight w:val="none"/>
        </w:rPr>
        <w:t>. 试验与检验</w:t>
      </w:r>
      <w:bookmarkEnd w:id="655"/>
    </w:p>
    <w:bookmarkEnd w:id="656"/>
    <w:bookmarkEnd w:id="657"/>
    <w:bookmarkEnd w:id="658"/>
    <w:bookmarkEnd w:id="659"/>
    <w:bookmarkEnd w:id="660"/>
    <w:bookmarkEnd w:id="661"/>
    <w:bookmarkEnd w:id="662"/>
    <w:p w14:paraId="14956227">
      <w:pPr>
        <w:spacing w:line="480" w:lineRule="exact"/>
        <w:rPr>
          <w:rFonts w:hint="eastAsia" w:ascii="宋体" w:hAnsi="宋体"/>
          <w:color w:val="auto"/>
          <w:szCs w:val="21"/>
          <w:highlight w:val="none"/>
        </w:rPr>
      </w:pPr>
      <w:r>
        <w:rPr>
          <w:rFonts w:ascii="宋体" w:hAnsi="宋体"/>
          <w:color w:val="auto"/>
          <w:szCs w:val="21"/>
          <w:highlight w:val="none"/>
        </w:rPr>
        <w:t>9</w:t>
      </w:r>
      <w:bookmarkStart w:id="675" w:name="_Toc312678022"/>
      <w:bookmarkStart w:id="676" w:name="_Toc300934983"/>
      <w:bookmarkStart w:id="677" w:name="_Toc304295560"/>
      <w:bookmarkStart w:id="678" w:name="_Toc303539140"/>
      <w:bookmarkStart w:id="679" w:name="_Toc297216193"/>
      <w:bookmarkStart w:id="680" w:name="_Toc312677496"/>
      <w:bookmarkStart w:id="681" w:name="_Toc297123534"/>
      <w:r>
        <w:rPr>
          <w:rFonts w:ascii="宋体" w:hAnsi="宋体"/>
          <w:color w:val="auto"/>
          <w:szCs w:val="21"/>
          <w:highlight w:val="none"/>
        </w:rPr>
        <w:t>.1试验设备与试验人员</w:t>
      </w:r>
    </w:p>
    <w:bookmarkEnd w:id="675"/>
    <w:bookmarkEnd w:id="676"/>
    <w:bookmarkEnd w:id="677"/>
    <w:bookmarkEnd w:id="678"/>
    <w:bookmarkEnd w:id="679"/>
    <w:bookmarkEnd w:id="680"/>
    <w:bookmarkEnd w:id="681"/>
    <w:p w14:paraId="3586B652">
      <w:pPr>
        <w:spacing w:line="480" w:lineRule="exact"/>
        <w:rPr>
          <w:rFonts w:hint="eastAsia" w:ascii="宋体" w:hAnsi="宋体"/>
          <w:color w:val="auto"/>
          <w:szCs w:val="21"/>
          <w:highlight w:val="none"/>
        </w:rPr>
      </w:pPr>
      <w:r>
        <w:rPr>
          <w:rFonts w:ascii="宋体" w:hAnsi="宋体"/>
          <w:color w:val="auto"/>
          <w:szCs w:val="21"/>
          <w:highlight w:val="none"/>
        </w:rPr>
        <w:t>9</w:t>
      </w:r>
      <w:bookmarkStart w:id="682" w:name="_Toc297123535"/>
      <w:bookmarkStart w:id="683" w:name="_Toc312678023"/>
      <w:bookmarkStart w:id="684" w:name="_Toc297216194"/>
      <w:bookmarkStart w:id="685" w:name="_Toc303539141"/>
      <w:bookmarkStart w:id="686" w:name="_Toc304295561"/>
      <w:bookmarkStart w:id="687" w:name="_Toc312677497"/>
      <w:bookmarkStart w:id="688" w:name="_Toc300934984"/>
      <w:bookmarkStart w:id="689" w:name="_Toc318581174"/>
      <w:r>
        <w:rPr>
          <w:rFonts w:ascii="宋体" w:hAnsi="宋体"/>
          <w:color w:val="auto"/>
          <w:szCs w:val="21"/>
          <w:highlight w:val="none"/>
        </w:rPr>
        <w:t>.1.2 试验设备</w:t>
      </w:r>
    </w:p>
    <w:p w14:paraId="63420DDF">
      <w:pPr>
        <w:spacing w:line="480" w:lineRule="exact"/>
        <w:rPr>
          <w:rFonts w:hint="eastAsia" w:ascii="宋体" w:hAnsi="宋体"/>
          <w:color w:val="auto"/>
          <w:szCs w:val="21"/>
          <w:highlight w:val="none"/>
        </w:rPr>
      </w:pPr>
      <w:r>
        <w:rPr>
          <w:rFonts w:ascii="宋体" w:hAnsi="宋体"/>
          <w:color w:val="auto"/>
          <w:szCs w:val="21"/>
          <w:highlight w:val="none"/>
        </w:rPr>
        <w:t>施工现场需要配置的试验场所：</w:t>
      </w:r>
      <w:bookmarkEnd w:id="682"/>
      <w:bookmarkEnd w:id="683"/>
      <w:bookmarkEnd w:id="684"/>
      <w:bookmarkEnd w:id="685"/>
      <w:bookmarkEnd w:id="686"/>
      <w:bookmarkEnd w:id="687"/>
      <w:bookmarkEnd w:id="688"/>
      <w:bookmarkStart w:id="690" w:name="_Toc303539142"/>
      <w:bookmarkStart w:id="691" w:name="_Toc304295562"/>
      <w:bookmarkStart w:id="692" w:name="_Toc297216195"/>
      <w:bookmarkStart w:id="693" w:name="_Toc297123536"/>
      <w:bookmarkStart w:id="694" w:name="_Toc312677498"/>
      <w:bookmarkStart w:id="695" w:name="_Toc300934985"/>
      <w:bookmarkStart w:id="696" w:name="_Toc312678024"/>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 xml:space="preserve"> </w:t>
      </w:r>
    </w:p>
    <w:p w14:paraId="472F3373">
      <w:pPr>
        <w:spacing w:line="480" w:lineRule="exact"/>
        <w:rPr>
          <w:rFonts w:hint="eastAsia" w:ascii="宋体" w:hAnsi="宋体"/>
          <w:color w:val="auto"/>
          <w:szCs w:val="21"/>
          <w:highlight w:val="none"/>
        </w:rPr>
      </w:pPr>
      <w:r>
        <w:rPr>
          <w:rFonts w:ascii="宋体" w:hAnsi="宋体"/>
          <w:color w:val="auto"/>
          <w:szCs w:val="21"/>
          <w:highlight w:val="none"/>
        </w:rPr>
        <w:t>施工现场需要配备的试验设备：</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7C3B771">
      <w:pPr>
        <w:spacing w:line="480" w:lineRule="exact"/>
        <w:rPr>
          <w:rFonts w:hint="eastAsia" w:ascii="宋体" w:hAnsi="宋体"/>
          <w:color w:val="auto"/>
          <w:szCs w:val="21"/>
          <w:highlight w:val="none"/>
        </w:rPr>
      </w:pPr>
      <w:r>
        <w:rPr>
          <w:rFonts w:ascii="宋体" w:hAnsi="宋体"/>
          <w:color w:val="auto"/>
          <w:szCs w:val="21"/>
          <w:highlight w:val="none"/>
        </w:rPr>
        <w:t>施工现场需要具备的其他试验条件：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971F5E3">
      <w:pPr>
        <w:spacing w:line="480" w:lineRule="exact"/>
        <w:rPr>
          <w:rFonts w:hint="eastAsia" w:ascii="宋体" w:hAnsi="宋体"/>
          <w:color w:val="auto"/>
          <w:szCs w:val="21"/>
          <w:highlight w:val="none"/>
        </w:rPr>
      </w:pPr>
      <w:r>
        <w:rPr>
          <w:rFonts w:ascii="宋体" w:hAnsi="宋体"/>
          <w:color w:val="auto"/>
          <w:szCs w:val="21"/>
          <w:highlight w:val="none"/>
        </w:rPr>
        <w:t>9.4 现场工艺试验</w:t>
      </w:r>
      <w:r>
        <w:rPr>
          <w:rFonts w:hint="eastAsia" w:ascii="宋体" w:hAnsi="宋体"/>
          <w:color w:val="auto"/>
          <w:szCs w:val="21"/>
          <w:highlight w:val="none"/>
        </w:rPr>
        <w:t xml:space="preserve"> </w:t>
      </w:r>
    </w:p>
    <w:p w14:paraId="4D39C510">
      <w:pPr>
        <w:spacing w:line="480" w:lineRule="exact"/>
        <w:rPr>
          <w:rFonts w:hint="eastAsia" w:ascii="宋体" w:hAnsi="宋体"/>
          <w:color w:val="auto"/>
          <w:szCs w:val="21"/>
          <w:highlight w:val="none"/>
        </w:rPr>
      </w:pPr>
      <w:r>
        <w:rPr>
          <w:rFonts w:ascii="宋体" w:hAnsi="宋体"/>
          <w:color w:val="auto"/>
          <w:szCs w:val="21"/>
          <w:highlight w:val="none"/>
        </w:rPr>
        <w:t>现场工艺试验的有关约定：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689"/>
    <w:bookmarkEnd w:id="690"/>
    <w:bookmarkEnd w:id="691"/>
    <w:bookmarkEnd w:id="692"/>
    <w:bookmarkEnd w:id="693"/>
    <w:bookmarkEnd w:id="694"/>
    <w:bookmarkEnd w:id="695"/>
    <w:bookmarkEnd w:id="696"/>
    <w:p w14:paraId="0EC6BF9C">
      <w:pPr>
        <w:spacing w:line="480" w:lineRule="exact"/>
        <w:rPr>
          <w:rFonts w:hint="eastAsia" w:ascii="宋体" w:hAnsi="宋体"/>
          <w:color w:val="auto"/>
          <w:szCs w:val="21"/>
          <w:highlight w:val="none"/>
        </w:rPr>
      </w:pPr>
      <w:bookmarkStart w:id="697" w:name="_Toc351203642"/>
      <w:r>
        <w:rPr>
          <w:rFonts w:ascii="宋体" w:hAnsi="宋体"/>
          <w:color w:val="auto"/>
          <w:szCs w:val="21"/>
          <w:highlight w:val="none"/>
        </w:rPr>
        <w:t>1</w:t>
      </w:r>
      <w:bookmarkEnd w:id="663"/>
      <w:bookmarkEnd w:id="664"/>
      <w:bookmarkEnd w:id="665"/>
      <w:bookmarkEnd w:id="666"/>
      <w:bookmarkEnd w:id="667"/>
      <w:bookmarkEnd w:id="668"/>
      <w:bookmarkEnd w:id="669"/>
      <w:bookmarkEnd w:id="670"/>
      <w:bookmarkEnd w:id="671"/>
      <w:bookmarkEnd w:id="672"/>
      <w:bookmarkEnd w:id="673"/>
      <w:bookmarkEnd w:id="674"/>
      <w:bookmarkStart w:id="698" w:name="_Toc297048379"/>
      <w:bookmarkStart w:id="699" w:name="_Toc292559903"/>
      <w:bookmarkStart w:id="700" w:name="_Toc296891233"/>
      <w:bookmarkStart w:id="701" w:name="_Toc297120493"/>
      <w:bookmarkStart w:id="702" w:name="_Toc296503193"/>
      <w:bookmarkStart w:id="703" w:name="_Toc296891021"/>
      <w:bookmarkStart w:id="704" w:name="_Toc296347192"/>
      <w:bookmarkStart w:id="705" w:name="_Toc304295566"/>
      <w:bookmarkStart w:id="706" w:name="_Toc296346694"/>
      <w:bookmarkStart w:id="707" w:name="_Toc296944532"/>
      <w:bookmarkStart w:id="708" w:name="_Toc297123540"/>
      <w:bookmarkStart w:id="709" w:name="_Toc300934989"/>
      <w:bookmarkStart w:id="710" w:name="_Toc297216199"/>
      <w:bookmarkStart w:id="711" w:name="_Toc292559398"/>
      <w:bookmarkStart w:id="712" w:name="_Toc303539146"/>
      <w:bookmarkStart w:id="713" w:name="_Toc312677499"/>
      <w:bookmarkStart w:id="714" w:name="_Toc312678025"/>
      <w:bookmarkStart w:id="715" w:name="_Toc267251433"/>
      <w:bookmarkStart w:id="716" w:name="_Toc267251437"/>
      <w:bookmarkStart w:id="717" w:name="_Toc267251435"/>
      <w:bookmarkStart w:id="718" w:name="_Toc267251439"/>
      <w:bookmarkStart w:id="719" w:name="_Toc267251441"/>
      <w:bookmarkStart w:id="720" w:name="_Toc267251440"/>
      <w:bookmarkStart w:id="721" w:name="_Toc267251442"/>
      <w:r>
        <w:rPr>
          <w:rFonts w:ascii="宋体" w:hAnsi="宋体"/>
          <w:color w:val="auto"/>
          <w:szCs w:val="21"/>
          <w:highlight w:val="none"/>
        </w:rPr>
        <w:t>0. 变更</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bookmarkEnd w:id="713"/>
    <w:bookmarkEnd w:id="714"/>
    <w:p w14:paraId="0A6A99A8">
      <w:pPr>
        <w:spacing w:line="480" w:lineRule="exact"/>
        <w:rPr>
          <w:rFonts w:hint="eastAsia" w:ascii="宋体" w:hAnsi="宋体"/>
          <w:color w:val="auto"/>
          <w:szCs w:val="21"/>
          <w:highlight w:val="none"/>
        </w:rPr>
      </w:pPr>
      <w:r>
        <w:rPr>
          <w:rFonts w:ascii="宋体" w:hAnsi="宋体"/>
          <w:color w:val="auto"/>
          <w:szCs w:val="21"/>
          <w:highlight w:val="none"/>
        </w:rPr>
        <w:t>1</w:t>
      </w:r>
      <w:bookmarkStart w:id="722" w:name="_Toc296503194"/>
      <w:bookmarkStart w:id="723" w:name="_Toc312678026"/>
      <w:bookmarkStart w:id="724" w:name="_Toc296891234"/>
      <w:bookmarkStart w:id="725" w:name="_Toc312677500"/>
      <w:bookmarkStart w:id="726" w:name="_Toc292559904"/>
      <w:bookmarkStart w:id="727" w:name="_Toc296891022"/>
      <w:bookmarkStart w:id="728" w:name="_Toc297048380"/>
      <w:bookmarkStart w:id="729" w:name="_Toc296346695"/>
      <w:bookmarkStart w:id="730" w:name="_Toc296944533"/>
      <w:bookmarkStart w:id="731" w:name="_Toc292559399"/>
      <w:bookmarkStart w:id="732" w:name="_Toc297216200"/>
      <w:bookmarkStart w:id="733" w:name="_Toc303539147"/>
      <w:bookmarkStart w:id="734" w:name="_Toc297123541"/>
      <w:bookmarkStart w:id="735" w:name="_Toc300934990"/>
      <w:bookmarkStart w:id="736" w:name="_Toc297120494"/>
      <w:bookmarkStart w:id="737" w:name="_Toc296347193"/>
      <w:bookmarkStart w:id="738" w:name="_Toc304295567"/>
      <w:r>
        <w:rPr>
          <w:rFonts w:ascii="宋体" w:hAnsi="宋体"/>
          <w:color w:val="auto"/>
          <w:szCs w:val="21"/>
          <w:highlight w:val="none"/>
        </w:rPr>
        <w:t>0.1变更的范围</w:t>
      </w:r>
    </w:p>
    <w:p w14:paraId="69FC7DA0">
      <w:pPr>
        <w:spacing w:line="480" w:lineRule="exact"/>
        <w:rPr>
          <w:rFonts w:hint="eastAsia" w:ascii="宋体" w:hAnsi="宋体"/>
          <w:color w:val="auto"/>
          <w:szCs w:val="21"/>
          <w:highlight w:val="none"/>
        </w:rPr>
      </w:pPr>
      <w:r>
        <w:rPr>
          <w:rFonts w:ascii="宋体" w:hAnsi="宋体"/>
          <w:color w:val="auto"/>
          <w:szCs w:val="21"/>
          <w:highlight w:val="none"/>
        </w:rPr>
        <w:t>关于变更的范围的约定：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79ED1C1B">
      <w:pPr>
        <w:spacing w:line="480" w:lineRule="exact"/>
        <w:rPr>
          <w:rFonts w:hint="eastAsia" w:ascii="宋体" w:hAnsi="宋体"/>
          <w:color w:val="auto"/>
          <w:szCs w:val="21"/>
          <w:highlight w:val="none"/>
        </w:rPr>
      </w:pPr>
      <w:r>
        <w:rPr>
          <w:rFonts w:ascii="宋体" w:hAnsi="宋体"/>
          <w:color w:val="auto"/>
          <w:szCs w:val="21"/>
          <w:highlight w:val="none"/>
        </w:rPr>
        <w:t>10.4 变更估价</w:t>
      </w:r>
    </w:p>
    <w:p w14:paraId="10AA894B">
      <w:pPr>
        <w:spacing w:line="480" w:lineRule="exact"/>
        <w:rPr>
          <w:rFonts w:hint="eastAsia" w:ascii="宋体" w:hAnsi="宋体"/>
          <w:color w:val="auto"/>
          <w:szCs w:val="21"/>
          <w:highlight w:val="none"/>
        </w:rPr>
      </w:pPr>
      <w:r>
        <w:rPr>
          <w:rFonts w:hint="eastAsia" w:ascii="宋体" w:hAnsi="宋体"/>
          <w:color w:val="auto"/>
          <w:szCs w:val="21"/>
          <w:highlight w:val="none"/>
        </w:rPr>
        <w:t>10.4.1 变更估价原则</w:t>
      </w:r>
    </w:p>
    <w:p w14:paraId="00077F41">
      <w:pPr>
        <w:spacing w:line="480" w:lineRule="exact"/>
        <w:rPr>
          <w:rFonts w:hint="eastAsia" w:ascii="宋体" w:hAnsi="宋体"/>
          <w:color w:val="auto"/>
          <w:szCs w:val="21"/>
          <w:highlight w:val="none"/>
          <w:u w:val="single"/>
        </w:rPr>
      </w:pPr>
      <w:r>
        <w:rPr>
          <w:rFonts w:ascii="宋体" w:hAnsi="宋体"/>
          <w:color w:val="auto"/>
          <w:szCs w:val="21"/>
          <w:highlight w:val="none"/>
        </w:rPr>
        <w:t xml:space="preserve">关于变更估价的约定: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81C297B">
      <w:pPr>
        <w:spacing w:line="480" w:lineRule="exact"/>
        <w:rPr>
          <w:rFonts w:hint="eastAsia" w:ascii="宋体" w:hAnsi="宋体"/>
          <w:color w:val="auto"/>
          <w:szCs w:val="21"/>
          <w:highlight w:val="none"/>
        </w:rPr>
      </w:pPr>
      <w:r>
        <w:rPr>
          <w:rFonts w:ascii="宋体" w:hAnsi="宋体"/>
          <w:color w:val="auto"/>
          <w:szCs w:val="21"/>
          <w:highlight w:val="none"/>
        </w:rPr>
        <w:t>1</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Start w:id="739" w:name="_Toc296891025"/>
      <w:bookmarkStart w:id="740" w:name="_Toc296347196"/>
      <w:bookmarkStart w:id="741" w:name="_Toc297123544"/>
      <w:bookmarkStart w:id="742" w:name="_Toc292559402"/>
      <w:bookmarkStart w:id="743" w:name="_Toc296503197"/>
      <w:bookmarkStart w:id="744" w:name="_Toc292559907"/>
      <w:bookmarkStart w:id="745" w:name="_Toc300934993"/>
      <w:bookmarkStart w:id="746" w:name="_Toc297048383"/>
      <w:bookmarkStart w:id="747" w:name="_Toc296891237"/>
      <w:bookmarkStart w:id="748" w:name="_Toc297120497"/>
      <w:bookmarkStart w:id="749" w:name="_Toc303539150"/>
      <w:bookmarkStart w:id="750" w:name="_Toc297216203"/>
      <w:bookmarkStart w:id="751" w:name="_Toc296944536"/>
      <w:bookmarkStart w:id="752" w:name="_Toc296346698"/>
      <w:bookmarkStart w:id="753" w:name="_Toc312677503"/>
      <w:bookmarkStart w:id="754" w:name="_Toc312678029"/>
      <w:bookmarkStart w:id="755" w:name="_Toc304295570"/>
      <w:r>
        <w:rPr>
          <w:rFonts w:ascii="宋体" w:hAnsi="宋体"/>
          <w:color w:val="auto"/>
          <w:szCs w:val="21"/>
          <w:highlight w:val="none"/>
        </w:rPr>
        <w:t>0.5承</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Start w:id="756" w:name="_Toc303539151"/>
      <w:bookmarkStart w:id="757" w:name="_Toc292559913"/>
      <w:bookmarkStart w:id="758" w:name="_Toc296346704"/>
      <w:bookmarkStart w:id="759" w:name="_Toc292559408"/>
      <w:bookmarkStart w:id="760" w:name="_Toc297048389"/>
      <w:bookmarkStart w:id="761" w:name="_Toc297123545"/>
      <w:bookmarkStart w:id="762" w:name="_Toc296347202"/>
      <w:bookmarkStart w:id="763" w:name="_Toc300934994"/>
      <w:bookmarkStart w:id="764" w:name="_Toc296503203"/>
      <w:bookmarkStart w:id="765" w:name="_Toc296891031"/>
      <w:bookmarkStart w:id="766" w:name="_Toc297216204"/>
      <w:bookmarkStart w:id="767" w:name="_Toc296944542"/>
      <w:bookmarkStart w:id="768" w:name="_Toc296891243"/>
      <w:bookmarkStart w:id="769" w:name="_Toc297120503"/>
      <w:r>
        <w:rPr>
          <w:rFonts w:ascii="宋体" w:hAnsi="宋体"/>
          <w:color w:val="auto"/>
          <w:szCs w:val="21"/>
          <w:highlight w:val="none"/>
        </w:rPr>
        <w:t>包人的合理化建议</w:t>
      </w:r>
    </w:p>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14:paraId="6AACDDDE">
      <w:pPr>
        <w:spacing w:line="480" w:lineRule="exact"/>
        <w:rPr>
          <w:rFonts w:hint="eastAsia" w:ascii="宋体" w:hAnsi="宋体"/>
          <w:color w:val="auto"/>
          <w:szCs w:val="21"/>
          <w:highlight w:val="none"/>
        </w:rPr>
      </w:pPr>
      <w:r>
        <w:rPr>
          <w:rFonts w:ascii="宋体" w:hAnsi="宋体"/>
          <w:color w:val="auto"/>
          <w:szCs w:val="21"/>
          <w:highlight w:val="none"/>
        </w:rPr>
        <w:t>监理人审查承包人合理化建议的期限：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67958E2">
      <w:pPr>
        <w:spacing w:line="480" w:lineRule="exact"/>
        <w:rPr>
          <w:rFonts w:hint="eastAsia" w:ascii="宋体" w:hAnsi="宋体"/>
          <w:color w:val="auto"/>
          <w:szCs w:val="21"/>
          <w:highlight w:val="none"/>
        </w:rPr>
      </w:pPr>
      <w:r>
        <w:rPr>
          <w:rFonts w:ascii="宋体" w:hAnsi="宋体"/>
          <w:color w:val="auto"/>
          <w:szCs w:val="21"/>
          <w:highlight w:val="none"/>
        </w:rPr>
        <w:t>发包人审批承包人合理化建议的期限：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7D95F26">
      <w:pPr>
        <w:spacing w:line="480" w:lineRule="exact"/>
        <w:rPr>
          <w:rFonts w:hint="eastAsia" w:ascii="宋体" w:hAnsi="宋体"/>
          <w:color w:val="auto"/>
          <w:szCs w:val="21"/>
          <w:highlight w:val="none"/>
          <w:u w:val="single"/>
        </w:rPr>
      </w:pPr>
      <w:r>
        <w:rPr>
          <w:rFonts w:ascii="宋体" w:hAnsi="宋体"/>
          <w:color w:val="auto"/>
          <w:szCs w:val="21"/>
          <w:highlight w:val="none"/>
        </w:rPr>
        <w:t>承</w:t>
      </w:r>
      <w:bookmarkStart w:id="770" w:name="_Toc303539152"/>
      <w:bookmarkStart w:id="771" w:name="_Toc296891032"/>
      <w:bookmarkStart w:id="772" w:name="_Toc292559409"/>
      <w:bookmarkStart w:id="773" w:name="_Toc300934995"/>
      <w:bookmarkStart w:id="774" w:name="_Toc297048390"/>
      <w:bookmarkStart w:id="775" w:name="_Toc297120504"/>
      <w:bookmarkStart w:id="776" w:name="_Toc304295571"/>
      <w:bookmarkStart w:id="777" w:name="_Toc296347203"/>
      <w:bookmarkStart w:id="778" w:name="_Toc312678030"/>
      <w:bookmarkStart w:id="779" w:name="_Toc296944543"/>
      <w:bookmarkStart w:id="780" w:name="_Toc312677504"/>
      <w:bookmarkStart w:id="781" w:name="_Toc297123546"/>
      <w:bookmarkStart w:id="782" w:name="_Toc296891244"/>
      <w:bookmarkStart w:id="783" w:name="_Toc297216205"/>
      <w:bookmarkStart w:id="784" w:name="_Toc296346705"/>
      <w:bookmarkStart w:id="785" w:name="_Toc292559914"/>
      <w:bookmarkStart w:id="786" w:name="_Toc296503204"/>
      <w:bookmarkStart w:id="787" w:name="_Toc318581175"/>
      <w:r>
        <w:rPr>
          <w:rFonts w:ascii="宋体" w:hAnsi="宋体"/>
          <w:color w:val="auto"/>
          <w:szCs w:val="21"/>
          <w:highlight w:val="none"/>
        </w:rPr>
        <w:t>包人提出的合理化建议降低了合同价格或者提高了工程经济效益的奖励的方法和金额为：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38230A8">
      <w:pPr>
        <w:spacing w:line="480" w:lineRule="exact"/>
        <w:rPr>
          <w:rFonts w:hint="eastAsia" w:ascii="宋体" w:hAnsi="宋体"/>
          <w:color w:val="auto"/>
          <w:szCs w:val="21"/>
          <w:highlight w:val="none"/>
        </w:rPr>
      </w:pPr>
      <w:r>
        <w:rPr>
          <w:rFonts w:ascii="宋体" w:hAnsi="宋体"/>
          <w:color w:val="auto"/>
          <w:szCs w:val="21"/>
          <w:highlight w:val="none"/>
        </w:rPr>
        <w:t>1</w:t>
      </w:r>
      <w:bookmarkStart w:id="788" w:name="_Toc312677507"/>
      <w:bookmarkStart w:id="789" w:name="_Toc300934997"/>
      <w:bookmarkStart w:id="790" w:name="_Toc296347198"/>
      <w:bookmarkStart w:id="791" w:name="_Toc296891027"/>
      <w:bookmarkStart w:id="792" w:name="_Toc304295574"/>
      <w:bookmarkStart w:id="793" w:name="_Toc292559404"/>
      <w:bookmarkStart w:id="794" w:name="_Toc312678033"/>
      <w:bookmarkStart w:id="795" w:name="_Toc303539154"/>
      <w:bookmarkStart w:id="796" w:name="_Toc297216207"/>
      <w:bookmarkStart w:id="797" w:name="_Toc296944538"/>
      <w:bookmarkStart w:id="798" w:name="_Toc297048385"/>
      <w:bookmarkStart w:id="799" w:name="_Toc297120499"/>
      <w:bookmarkStart w:id="800" w:name="_Toc296346700"/>
      <w:bookmarkStart w:id="801" w:name="_Toc297123548"/>
      <w:bookmarkStart w:id="802" w:name="_Toc296891239"/>
      <w:bookmarkStart w:id="803" w:name="_Toc292559909"/>
      <w:bookmarkStart w:id="804" w:name="_Toc296503199"/>
      <w:r>
        <w:rPr>
          <w:rFonts w:ascii="宋体" w:hAnsi="宋体"/>
          <w:color w:val="auto"/>
          <w:szCs w:val="21"/>
          <w:highlight w:val="none"/>
        </w:rPr>
        <w:t>0.7 暂估价</w:t>
      </w:r>
    </w:p>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14:paraId="2D3C9DF3">
      <w:pPr>
        <w:spacing w:line="480" w:lineRule="exact"/>
        <w:rPr>
          <w:rFonts w:hint="eastAsia" w:ascii="宋体" w:hAnsi="宋体"/>
          <w:color w:val="auto"/>
          <w:szCs w:val="21"/>
          <w:highlight w:val="none"/>
        </w:rPr>
      </w:pPr>
      <w:r>
        <w:rPr>
          <w:rFonts w:ascii="宋体" w:hAnsi="宋体"/>
          <w:color w:val="auto"/>
          <w:kern w:val="0"/>
          <w:szCs w:val="21"/>
          <w:highlight w:val="none"/>
        </w:rPr>
        <w:t>暂</w:t>
      </w:r>
      <w:bookmarkStart w:id="805" w:name="_Toc312678034"/>
      <w:bookmarkStart w:id="806" w:name="_Toc312677508"/>
      <w:bookmarkStart w:id="807" w:name="_Toc318581176"/>
      <w:r>
        <w:rPr>
          <w:rFonts w:ascii="宋体" w:hAnsi="宋体"/>
          <w:color w:val="auto"/>
          <w:kern w:val="0"/>
          <w:szCs w:val="21"/>
          <w:highlight w:val="none"/>
        </w:rPr>
        <w:t>估价材料和工程设备的明细详见附件</w:t>
      </w:r>
      <w:r>
        <w:rPr>
          <w:rFonts w:hint="eastAsia" w:ascii="宋体" w:hAnsi="宋体"/>
          <w:color w:val="auto"/>
          <w:kern w:val="0"/>
          <w:szCs w:val="21"/>
          <w:highlight w:val="none"/>
        </w:rPr>
        <w:t>11：《</w:t>
      </w:r>
      <w:r>
        <w:rPr>
          <w:rFonts w:ascii="宋体" w:hAnsi="宋体"/>
          <w:color w:val="auto"/>
          <w:szCs w:val="21"/>
          <w:highlight w:val="none"/>
        </w:rPr>
        <w:t>暂估价一览表</w:t>
      </w:r>
      <w:r>
        <w:rPr>
          <w:rFonts w:hint="eastAsia" w:ascii="宋体" w:hAnsi="宋体"/>
          <w:color w:val="auto"/>
          <w:szCs w:val="21"/>
          <w:highlight w:val="none"/>
        </w:rPr>
        <w:t>》</w:t>
      </w:r>
      <w:r>
        <w:rPr>
          <w:rFonts w:hint="eastAsia" w:ascii="宋体" w:hAnsi="宋体"/>
          <w:color w:val="auto"/>
          <w:kern w:val="0"/>
          <w:szCs w:val="21"/>
          <w:highlight w:val="none"/>
        </w:rPr>
        <w:t>。</w:t>
      </w:r>
    </w:p>
    <w:bookmarkEnd w:id="805"/>
    <w:bookmarkEnd w:id="806"/>
    <w:bookmarkEnd w:id="807"/>
    <w:p w14:paraId="41C0E448">
      <w:pPr>
        <w:spacing w:line="480" w:lineRule="exact"/>
        <w:rPr>
          <w:rFonts w:hint="eastAsia" w:ascii="宋体" w:hAnsi="宋体"/>
          <w:color w:val="auto"/>
          <w:szCs w:val="21"/>
          <w:highlight w:val="none"/>
        </w:rPr>
      </w:pPr>
      <w:r>
        <w:rPr>
          <w:rFonts w:ascii="宋体" w:hAnsi="宋体"/>
          <w:color w:val="auto"/>
          <w:szCs w:val="21"/>
          <w:highlight w:val="none"/>
        </w:rPr>
        <w:t>1</w:t>
      </w:r>
      <w:bookmarkStart w:id="808" w:name="_Toc312677509"/>
      <w:bookmarkStart w:id="809" w:name="_Toc318581177"/>
      <w:bookmarkStart w:id="810" w:name="_Toc312678035"/>
      <w:r>
        <w:rPr>
          <w:rFonts w:ascii="宋体" w:hAnsi="宋体"/>
          <w:color w:val="auto"/>
          <w:szCs w:val="21"/>
          <w:highlight w:val="none"/>
        </w:rPr>
        <w:t>0.7.1 依法必须招标的暂估价项目</w:t>
      </w:r>
    </w:p>
    <w:bookmarkEnd w:id="808"/>
    <w:bookmarkEnd w:id="809"/>
    <w:bookmarkEnd w:id="810"/>
    <w:p w14:paraId="13611058">
      <w:pPr>
        <w:spacing w:line="480" w:lineRule="exact"/>
        <w:rPr>
          <w:rFonts w:hint="eastAsia" w:ascii="宋体" w:hAnsi="宋体"/>
          <w:color w:val="auto"/>
          <w:szCs w:val="21"/>
          <w:highlight w:val="none"/>
        </w:rPr>
      </w:pPr>
      <w:r>
        <w:rPr>
          <w:rFonts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    </w:t>
      </w:r>
      <w:r>
        <w:rPr>
          <w:rFonts w:ascii="宋体" w:hAnsi="宋体"/>
          <w:color w:val="auto"/>
          <w:szCs w:val="21"/>
          <w:highlight w:val="none"/>
        </w:rPr>
        <w:t>种方式确定。</w:t>
      </w:r>
    </w:p>
    <w:p w14:paraId="7816357A">
      <w:pPr>
        <w:spacing w:line="480" w:lineRule="exact"/>
        <w:rPr>
          <w:rFonts w:hint="eastAsia" w:ascii="宋体" w:hAnsi="宋体"/>
          <w:color w:val="auto"/>
          <w:szCs w:val="21"/>
          <w:highlight w:val="none"/>
        </w:rPr>
      </w:pPr>
      <w:r>
        <w:rPr>
          <w:rFonts w:ascii="宋体" w:hAnsi="宋体"/>
          <w:color w:val="auto"/>
          <w:szCs w:val="21"/>
          <w:highlight w:val="none"/>
        </w:rPr>
        <w:t>10.7.2 不属于依法必须招标的暂估价项目</w:t>
      </w:r>
    </w:p>
    <w:p w14:paraId="38D3E4A7">
      <w:pPr>
        <w:spacing w:line="480" w:lineRule="exact"/>
        <w:rPr>
          <w:rFonts w:hint="eastAsia" w:ascii="宋体" w:hAnsi="宋体"/>
          <w:color w:val="auto"/>
          <w:szCs w:val="21"/>
          <w:highlight w:val="none"/>
        </w:rPr>
      </w:pPr>
      <w:r>
        <w:rPr>
          <w:rFonts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ascii="宋体" w:hAnsi="宋体"/>
          <w:color w:val="auto"/>
          <w:szCs w:val="21"/>
          <w:highlight w:val="none"/>
        </w:rPr>
        <w:t xml:space="preserve"> 种方式确定。</w:t>
      </w:r>
    </w:p>
    <w:p w14:paraId="17CF3912">
      <w:pPr>
        <w:spacing w:line="480" w:lineRule="exact"/>
        <w:rPr>
          <w:rFonts w:hint="eastAsia"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14:paraId="66D858B3">
      <w:pPr>
        <w:spacing w:line="480" w:lineRule="exact"/>
        <w:rPr>
          <w:rFonts w:hint="eastAsia" w:ascii="宋体" w:hAnsi="宋体"/>
          <w:color w:val="auto"/>
          <w:szCs w:val="21"/>
          <w:highlight w:val="none"/>
        </w:rPr>
      </w:pPr>
      <w:r>
        <w:rPr>
          <w:rFonts w:ascii="宋体" w:hAnsi="宋体"/>
          <w:color w:val="auto"/>
          <w:szCs w:val="21"/>
          <w:highlight w:val="none"/>
        </w:rPr>
        <w:t>承包人直接实施的暂估价项目的约定：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58537BB">
      <w:pPr>
        <w:spacing w:line="480" w:lineRule="exact"/>
        <w:rPr>
          <w:rFonts w:hint="eastAsia" w:ascii="宋体" w:hAnsi="宋体"/>
          <w:color w:val="auto"/>
          <w:szCs w:val="21"/>
          <w:highlight w:val="none"/>
        </w:rPr>
      </w:pPr>
      <w:r>
        <w:rPr>
          <w:rFonts w:ascii="宋体" w:hAnsi="宋体"/>
          <w:color w:val="auto"/>
          <w:szCs w:val="21"/>
          <w:highlight w:val="none"/>
        </w:rPr>
        <w:t>10.8 暂列金额</w:t>
      </w:r>
    </w:p>
    <w:p w14:paraId="7E193422">
      <w:pPr>
        <w:spacing w:line="480" w:lineRule="exact"/>
        <w:rPr>
          <w:rFonts w:hint="eastAsia" w:ascii="宋体" w:hAnsi="宋体"/>
          <w:color w:val="auto"/>
          <w:kern w:val="0"/>
          <w:szCs w:val="21"/>
          <w:highlight w:val="none"/>
        </w:rPr>
      </w:pPr>
      <w:r>
        <w:rPr>
          <w:rFonts w:hint="eastAsia" w:ascii="宋体" w:hAnsi="宋体"/>
          <w:color w:val="auto"/>
          <w:kern w:val="0"/>
          <w:szCs w:val="21"/>
          <w:highlight w:val="none"/>
        </w:rPr>
        <w:t>合同当事人关于暂列金额使用的约定：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6EF54C1B">
      <w:pPr>
        <w:spacing w:line="480" w:lineRule="exact"/>
        <w:rPr>
          <w:rFonts w:hint="eastAsia" w:ascii="宋体" w:hAnsi="宋体"/>
          <w:color w:val="auto"/>
          <w:szCs w:val="21"/>
          <w:highlight w:val="none"/>
        </w:rPr>
      </w:pPr>
      <w:bookmarkStart w:id="811" w:name="_Toc351203643"/>
      <w:r>
        <w:rPr>
          <w:rFonts w:ascii="宋体" w:hAnsi="宋体"/>
          <w:color w:val="auto"/>
          <w:szCs w:val="21"/>
          <w:highlight w:val="none"/>
        </w:rPr>
        <w:t>11. 价格调整</w:t>
      </w:r>
      <w:bookmarkEnd w:id="811"/>
    </w:p>
    <w:p w14:paraId="57D4C86B">
      <w:pPr>
        <w:spacing w:line="480" w:lineRule="exact"/>
        <w:rPr>
          <w:rFonts w:hint="eastAsia" w:ascii="宋体" w:hAnsi="宋体"/>
          <w:color w:val="auto"/>
          <w:szCs w:val="21"/>
          <w:highlight w:val="none"/>
        </w:rPr>
      </w:pPr>
      <w:bookmarkStart w:id="812" w:name="_Toc297120501"/>
      <w:bookmarkStart w:id="813" w:name="_Toc297123550"/>
      <w:bookmarkStart w:id="814" w:name="_Toc292559406"/>
      <w:bookmarkStart w:id="815" w:name="_Toc303539157"/>
      <w:bookmarkStart w:id="816" w:name="_Toc296347200"/>
      <w:bookmarkStart w:id="817" w:name="_Toc296944540"/>
      <w:bookmarkStart w:id="818" w:name="_Toc296891029"/>
      <w:bookmarkStart w:id="819" w:name="_Toc296503201"/>
      <w:bookmarkStart w:id="820" w:name="_Toc296346702"/>
      <w:bookmarkStart w:id="821" w:name="_Toc296891241"/>
      <w:bookmarkStart w:id="822" w:name="_Toc304295577"/>
      <w:bookmarkStart w:id="823" w:name="_Toc297048387"/>
      <w:bookmarkStart w:id="824" w:name="_Toc292559911"/>
      <w:bookmarkStart w:id="825" w:name="_Toc312678039"/>
      <w:bookmarkStart w:id="826" w:name="_Toc297216209"/>
      <w:bookmarkStart w:id="827" w:name="_Toc300935000"/>
      <w:r>
        <w:rPr>
          <w:rFonts w:ascii="宋体" w:hAnsi="宋体"/>
          <w:color w:val="auto"/>
          <w:szCs w:val="21"/>
          <w:highlight w:val="none"/>
        </w:rPr>
        <w:t>11.1 市场价格波动引起的调整</w:t>
      </w:r>
    </w:p>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14:paraId="4D04E951">
      <w:pPr>
        <w:spacing w:line="480" w:lineRule="exact"/>
        <w:rPr>
          <w:rFonts w:hint="eastAsia" w:ascii="宋体" w:hAnsi="宋体"/>
          <w:color w:val="auto"/>
          <w:szCs w:val="21"/>
          <w:highlight w:val="none"/>
        </w:rPr>
      </w:pPr>
      <w:r>
        <w:rPr>
          <w:rFonts w:ascii="宋体" w:hAnsi="宋体"/>
          <w:color w:val="auto"/>
          <w:kern w:val="0"/>
          <w:szCs w:val="21"/>
          <w:highlight w:val="none"/>
        </w:rPr>
        <w:t>市场价格波动是否调整合同价格的约定：</w:t>
      </w:r>
      <w:r>
        <w:rPr>
          <w:rFonts w:ascii="宋体" w:hAnsi="宋体"/>
          <w:color w:val="auto"/>
          <w:szCs w:val="21"/>
          <w:highlight w:val="none"/>
          <w:u w:val="single"/>
        </w:rPr>
        <w:t xml:space="preserve">                 </w:t>
      </w:r>
      <w:r>
        <w:rPr>
          <w:rFonts w:ascii="宋体" w:hAnsi="宋体"/>
          <w:color w:val="auto"/>
          <w:szCs w:val="21"/>
          <w:highlight w:val="none"/>
        </w:rPr>
        <w:t>。</w:t>
      </w:r>
    </w:p>
    <w:p w14:paraId="3DE36A5C">
      <w:pPr>
        <w:spacing w:line="480" w:lineRule="exact"/>
        <w:rPr>
          <w:rFonts w:hint="eastAsia" w:ascii="宋体" w:hAnsi="宋体"/>
          <w:color w:val="auto"/>
          <w:szCs w:val="21"/>
          <w:highlight w:val="none"/>
        </w:rPr>
      </w:pPr>
      <w:r>
        <w:rPr>
          <w:rFonts w:ascii="宋体" w:hAnsi="宋体"/>
          <w:color w:val="auto"/>
          <w:szCs w:val="21"/>
          <w:highlight w:val="none"/>
        </w:rPr>
        <w:t>因市场价格波动调整合同价格，采用以下第</w:t>
      </w:r>
      <w:r>
        <w:rPr>
          <w:rFonts w:ascii="宋体" w:hAnsi="宋体"/>
          <w:color w:val="auto"/>
          <w:szCs w:val="21"/>
          <w:highlight w:val="none"/>
          <w:u w:val="single"/>
        </w:rPr>
        <w:t xml:space="preserve">    </w:t>
      </w:r>
      <w:r>
        <w:rPr>
          <w:rFonts w:ascii="宋体" w:hAnsi="宋体"/>
          <w:color w:val="auto"/>
          <w:szCs w:val="21"/>
          <w:highlight w:val="none"/>
        </w:rPr>
        <w:t>种方式对合同价格进行调整：</w:t>
      </w:r>
    </w:p>
    <w:p w14:paraId="54883C0C">
      <w:pPr>
        <w:spacing w:line="480" w:lineRule="exact"/>
        <w:rPr>
          <w:rFonts w:hint="eastAsia" w:ascii="宋体" w:hAnsi="宋体"/>
          <w:color w:val="auto"/>
          <w:szCs w:val="21"/>
          <w:highlight w:val="none"/>
        </w:rPr>
      </w:pPr>
      <w:r>
        <w:rPr>
          <w:rFonts w:ascii="宋体" w:hAnsi="宋体"/>
          <w:color w:val="auto"/>
          <w:szCs w:val="21"/>
          <w:highlight w:val="none"/>
        </w:rPr>
        <w:t>第1种方式：采用价格指数</w:t>
      </w:r>
      <w:r>
        <w:rPr>
          <w:rFonts w:hint="eastAsia" w:ascii="宋体" w:hAnsi="宋体"/>
          <w:color w:val="auto"/>
          <w:szCs w:val="21"/>
          <w:highlight w:val="none"/>
        </w:rPr>
        <w:t>进行价格</w:t>
      </w:r>
      <w:r>
        <w:rPr>
          <w:rFonts w:ascii="宋体" w:hAnsi="宋体"/>
          <w:color w:val="auto"/>
          <w:szCs w:val="21"/>
          <w:highlight w:val="none"/>
        </w:rPr>
        <w:t>调整。</w:t>
      </w:r>
    </w:p>
    <w:p w14:paraId="5B5E82A4">
      <w:pPr>
        <w:spacing w:line="480" w:lineRule="exact"/>
        <w:rPr>
          <w:rFonts w:hint="eastAsia"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ascii="宋体" w:hAnsi="宋体"/>
          <w:color w:val="auto"/>
          <w:szCs w:val="21"/>
          <w:highlight w:val="none"/>
          <w:u w:val="single"/>
        </w:rPr>
        <w:t xml:space="preserve">       </w:t>
      </w:r>
      <w:r>
        <w:rPr>
          <w:rFonts w:ascii="宋体" w:hAnsi="宋体"/>
          <w:color w:val="auto"/>
          <w:szCs w:val="21"/>
          <w:highlight w:val="none"/>
        </w:rPr>
        <w:t>；</w:t>
      </w:r>
    </w:p>
    <w:p w14:paraId="6DE7F288">
      <w:pPr>
        <w:spacing w:line="480" w:lineRule="exact"/>
        <w:rPr>
          <w:rFonts w:hint="eastAsia" w:ascii="宋体" w:hAnsi="宋体"/>
          <w:color w:val="auto"/>
          <w:szCs w:val="21"/>
          <w:highlight w:val="none"/>
        </w:rPr>
      </w:pPr>
      <w:r>
        <w:rPr>
          <w:rFonts w:ascii="宋体" w:hAnsi="宋体"/>
          <w:color w:val="auto"/>
          <w:szCs w:val="21"/>
          <w:highlight w:val="none"/>
        </w:rPr>
        <w:t>第2种方式：采用造价信息</w:t>
      </w:r>
      <w:r>
        <w:rPr>
          <w:rFonts w:hint="eastAsia" w:ascii="宋体" w:hAnsi="宋体"/>
          <w:color w:val="auto"/>
          <w:szCs w:val="21"/>
          <w:highlight w:val="none"/>
        </w:rPr>
        <w:t>进行价格</w:t>
      </w:r>
      <w:r>
        <w:rPr>
          <w:rFonts w:ascii="宋体" w:hAnsi="宋体"/>
          <w:color w:val="auto"/>
          <w:szCs w:val="21"/>
          <w:highlight w:val="none"/>
        </w:rPr>
        <w:t>调整。</w:t>
      </w:r>
    </w:p>
    <w:p w14:paraId="1AA3CABA">
      <w:pPr>
        <w:spacing w:line="480" w:lineRule="exact"/>
        <w:rPr>
          <w:rFonts w:hint="eastAsia" w:ascii="宋体" w:hAnsi="宋体"/>
          <w:color w:val="auto"/>
          <w:szCs w:val="21"/>
          <w:highlight w:val="none"/>
        </w:rPr>
      </w:pPr>
      <w:r>
        <w:rPr>
          <w:rFonts w:ascii="宋体" w:hAnsi="宋体"/>
          <w:color w:val="auto"/>
          <w:szCs w:val="21"/>
          <w:highlight w:val="none"/>
        </w:rPr>
        <w:t>（2）关于基准价格的约定：</w:t>
      </w:r>
      <w:r>
        <w:rPr>
          <w:rFonts w:ascii="宋体" w:hAnsi="宋体"/>
          <w:color w:val="auto"/>
          <w:szCs w:val="21"/>
          <w:highlight w:val="none"/>
          <w:u w:val="single"/>
        </w:rPr>
        <w:t xml:space="preserve">                         </w:t>
      </w:r>
      <w:r>
        <w:rPr>
          <w:rFonts w:ascii="宋体" w:hAnsi="宋体"/>
          <w:color w:val="auto"/>
          <w:szCs w:val="21"/>
          <w:highlight w:val="none"/>
        </w:rPr>
        <w:t>。</w:t>
      </w:r>
    </w:p>
    <w:p w14:paraId="3696D55B">
      <w:pPr>
        <w:spacing w:line="480" w:lineRule="exact"/>
        <w:rPr>
          <w:rFonts w:hint="eastAsia" w:ascii="宋体" w:hAnsi="宋体"/>
          <w:color w:val="auto"/>
          <w:szCs w:val="21"/>
          <w:highlight w:val="none"/>
        </w:rPr>
      </w:pPr>
      <w:r>
        <w:rPr>
          <w:rFonts w:ascii="宋体" w:hAnsi="宋体"/>
          <w:color w:val="auto"/>
          <w:szCs w:val="21"/>
          <w:highlight w:val="none"/>
        </w:rPr>
        <w:t>专用合同条款</w:t>
      </w:r>
      <w:r>
        <w:rPr>
          <w:rFonts w:hint="eastAsia" w:ascii="宋体" w:hAnsi="宋体" w:cs="宋体"/>
          <w:color w:val="auto"/>
          <w:szCs w:val="21"/>
          <w:highlight w:val="none"/>
        </w:rPr>
        <w:t>①</w:t>
      </w:r>
      <w:r>
        <w:rPr>
          <w:rFonts w:ascii="宋体" w:hAnsi="宋体"/>
          <w:color w:val="auto"/>
          <w:szCs w:val="21"/>
          <w:highlight w:val="none"/>
        </w:rPr>
        <w:t>承包人在已标价工程量清单或预算书中载明的材料单价低于基准价格的：专用合同条款合同履行期间材料单价涨幅以基准价格为基础超过</w:t>
      </w:r>
      <w:r>
        <w:rPr>
          <w:rFonts w:ascii="宋体" w:hAnsi="宋体"/>
          <w:color w:val="auto"/>
          <w:szCs w:val="21"/>
          <w:highlight w:val="none"/>
          <w:u w:val="single"/>
        </w:rPr>
        <w:t xml:space="preserve">   </w:t>
      </w:r>
      <w:r>
        <w:rPr>
          <w:rFonts w:ascii="宋体" w:hAnsi="宋体"/>
          <w:color w:val="auto"/>
          <w:szCs w:val="21"/>
          <w:highlight w:val="none"/>
        </w:rPr>
        <w:t>%时，或材料单价跌幅以已标价工程量清单或预算书中载明材料单价为基础超过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14:paraId="33201BD1">
      <w:pPr>
        <w:spacing w:line="480" w:lineRule="exact"/>
        <w:rPr>
          <w:rFonts w:hint="eastAsia"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承包人在已标价工程量清单或预算书中载明的材料单价高于基准价格的：专用合同条款合同履行期间材料单价跌幅以基准价格为基础超过</w:t>
      </w:r>
      <w:r>
        <w:rPr>
          <w:rFonts w:ascii="宋体" w:hAnsi="宋体"/>
          <w:color w:val="auto"/>
          <w:szCs w:val="21"/>
          <w:highlight w:val="none"/>
          <w:u w:val="single"/>
        </w:rPr>
        <w:t xml:space="preserve">   </w:t>
      </w:r>
      <w:r>
        <w:rPr>
          <w:rFonts w:ascii="宋体" w:hAnsi="宋体"/>
          <w:color w:val="auto"/>
          <w:szCs w:val="21"/>
          <w:highlight w:val="none"/>
        </w:rPr>
        <w:t>%时，材料单价涨幅以已标价工程量清单或预算书中载明材料单价为基础超过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14:paraId="4B060CBF">
      <w:pPr>
        <w:spacing w:line="480" w:lineRule="exact"/>
        <w:rPr>
          <w:rFonts w:hint="eastAsia"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承包人在已标价工程量清单或预算书中载明的材料单价等于基准单价的：专用合同条款合同履行期间材料单价涨跌幅以基准单价为基础超过±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14:paraId="204DC120">
      <w:pPr>
        <w:spacing w:line="480" w:lineRule="exact"/>
        <w:rPr>
          <w:rFonts w:hint="eastAsia" w:ascii="宋体" w:hAnsi="宋体"/>
          <w:color w:val="auto"/>
          <w:szCs w:val="21"/>
          <w:highlight w:val="none"/>
        </w:rPr>
      </w:pPr>
      <w:r>
        <w:rPr>
          <w:rFonts w:ascii="宋体" w:hAnsi="宋体"/>
          <w:color w:val="auto"/>
          <w:szCs w:val="21"/>
          <w:highlight w:val="none"/>
        </w:rPr>
        <w:t>第3种方式：其他价格调整方式：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15"/>
    <w:bookmarkEnd w:id="716"/>
    <w:bookmarkEnd w:id="717"/>
    <w:bookmarkEnd w:id="718"/>
    <w:bookmarkEnd w:id="719"/>
    <w:bookmarkEnd w:id="720"/>
    <w:p w14:paraId="46F37652">
      <w:pPr>
        <w:spacing w:line="480" w:lineRule="exact"/>
        <w:rPr>
          <w:rFonts w:hint="eastAsia" w:ascii="宋体" w:hAnsi="宋体"/>
          <w:color w:val="auto"/>
          <w:szCs w:val="21"/>
          <w:highlight w:val="none"/>
        </w:rPr>
      </w:pPr>
      <w:bookmarkStart w:id="828" w:name="_Toc296891245"/>
      <w:bookmarkStart w:id="829" w:name="_Toc296346706"/>
      <w:bookmarkStart w:id="830" w:name="_Toc296944544"/>
      <w:bookmarkStart w:id="831" w:name="_Toc296503205"/>
      <w:bookmarkStart w:id="832" w:name="_Toc296347204"/>
      <w:bookmarkStart w:id="833" w:name="_Toc297120505"/>
      <w:bookmarkStart w:id="834" w:name="_Toc297048391"/>
      <w:bookmarkStart w:id="835" w:name="_Toc292559915"/>
      <w:bookmarkStart w:id="836" w:name="_Toc296891033"/>
      <w:bookmarkStart w:id="837" w:name="_Toc292559410"/>
      <w:bookmarkStart w:id="838" w:name="_Toc351203644"/>
      <w:bookmarkStart w:id="839" w:name="_Toc312678040"/>
      <w:bookmarkStart w:id="840" w:name="_Toc300935002"/>
      <w:bookmarkStart w:id="841" w:name="_Toc304295579"/>
      <w:bookmarkStart w:id="842" w:name="_Toc303539159"/>
      <w:bookmarkStart w:id="843" w:name="_Toc297216211"/>
      <w:bookmarkStart w:id="844" w:name="_Toc297123552"/>
      <w:r>
        <w:rPr>
          <w:rFonts w:ascii="宋体" w:hAnsi="宋体"/>
          <w:color w:val="auto"/>
          <w:szCs w:val="21"/>
          <w:highlight w:val="none"/>
        </w:rPr>
        <w:t xml:space="preserve">12. </w:t>
      </w:r>
      <w:bookmarkEnd w:id="828"/>
      <w:bookmarkEnd w:id="829"/>
      <w:bookmarkEnd w:id="830"/>
      <w:bookmarkEnd w:id="831"/>
      <w:bookmarkEnd w:id="832"/>
      <w:bookmarkEnd w:id="833"/>
      <w:bookmarkEnd w:id="834"/>
      <w:bookmarkEnd w:id="835"/>
      <w:bookmarkEnd w:id="836"/>
      <w:bookmarkEnd w:id="837"/>
      <w:r>
        <w:rPr>
          <w:rFonts w:ascii="宋体" w:hAnsi="宋体"/>
          <w:color w:val="auto"/>
          <w:szCs w:val="21"/>
          <w:highlight w:val="none"/>
        </w:rPr>
        <w:t>合同价格、计量与支付</w:t>
      </w:r>
      <w:bookmarkEnd w:id="838"/>
    </w:p>
    <w:bookmarkEnd w:id="839"/>
    <w:bookmarkEnd w:id="840"/>
    <w:bookmarkEnd w:id="841"/>
    <w:bookmarkEnd w:id="842"/>
    <w:bookmarkEnd w:id="843"/>
    <w:bookmarkEnd w:id="844"/>
    <w:p w14:paraId="018C8AEF">
      <w:pPr>
        <w:spacing w:line="480" w:lineRule="exact"/>
        <w:rPr>
          <w:rFonts w:hint="eastAsia" w:ascii="宋体" w:hAnsi="宋体"/>
          <w:color w:val="auto"/>
          <w:szCs w:val="21"/>
          <w:highlight w:val="none"/>
        </w:rPr>
      </w:pPr>
      <w:bookmarkStart w:id="845" w:name="_Toc292559411"/>
      <w:bookmarkStart w:id="846" w:name="_Toc292559916"/>
      <w:bookmarkStart w:id="847" w:name="_Toc267251461"/>
      <w:bookmarkStart w:id="848" w:name="_Toc297048392"/>
      <w:bookmarkStart w:id="849" w:name="_Toc296944545"/>
      <w:bookmarkStart w:id="850" w:name="_Toc296891246"/>
      <w:bookmarkStart w:id="851" w:name="_Toc296503206"/>
      <w:bookmarkStart w:id="852" w:name="_Toc296891034"/>
      <w:bookmarkStart w:id="853" w:name="_Toc297120506"/>
      <w:bookmarkStart w:id="854" w:name="_Toc296346707"/>
      <w:bookmarkStart w:id="855" w:name="_Toc296347205"/>
      <w:bookmarkStart w:id="856" w:name="_Toc297123553"/>
      <w:bookmarkStart w:id="857" w:name="_Toc297216212"/>
      <w:bookmarkStart w:id="858" w:name="_Toc303539160"/>
      <w:bookmarkStart w:id="859" w:name="_Toc300935003"/>
      <w:bookmarkStart w:id="860" w:name="_Toc304295580"/>
      <w:bookmarkStart w:id="861" w:name="_Toc312678041"/>
      <w:r>
        <w:rPr>
          <w:rFonts w:ascii="宋体" w:hAnsi="宋体"/>
          <w:color w:val="auto"/>
          <w:szCs w:val="21"/>
          <w:highlight w:val="none"/>
        </w:rPr>
        <w:t>12.1 合</w:t>
      </w:r>
      <w:bookmarkEnd w:id="845"/>
      <w:bookmarkEnd w:id="846"/>
      <w:bookmarkEnd w:id="847"/>
      <w:r>
        <w:rPr>
          <w:rFonts w:ascii="宋体" w:hAnsi="宋体"/>
          <w:color w:val="auto"/>
          <w:szCs w:val="21"/>
          <w:highlight w:val="none"/>
        </w:rPr>
        <w:t>同价</w:t>
      </w:r>
      <w:bookmarkEnd w:id="848"/>
      <w:bookmarkEnd w:id="849"/>
      <w:bookmarkEnd w:id="850"/>
      <w:bookmarkEnd w:id="851"/>
      <w:bookmarkEnd w:id="852"/>
      <w:bookmarkEnd w:id="853"/>
      <w:bookmarkEnd w:id="854"/>
      <w:bookmarkEnd w:id="855"/>
      <w:r>
        <w:rPr>
          <w:rFonts w:ascii="宋体" w:hAnsi="宋体"/>
          <w:color w:val="auto"/>
          <w:szCs w:val="21"/>
          <w:highlight w:val="none"/>
        </w:rPr>
        <w:t>格形式</w:t>
      </w:r>
    </w:p>
    <w:bookmarkEnd w:id="856"/>
    <w:bookmarkEnd w:id="857"/>
    <w:bookmarkEnd w:id="858"/>
    <w:bookmarkEnd w:id="859"/>
    <w:bookmarkEnd w:id="860"/>
    <w:bookmarkEnd w:id="861"/>
    <w:p w14:paraId="54B6B412">
      <w:pPr>
        <w:spacing w:line="480" w:lineRule="exact"/>
        <w:rPr>
          <w:rFonts w:hint="eastAsia" w:ascii="宋体" w:hAnsi="宋体"/>
          <w:color w:val="auto"/>
          <w:szCs w:val="21"/>
          <w:highlight w:val="none"/>
        </w:rPr>
      </w:pPr>
      <w:r>
        <w:rPr>
          <w:rFonts w:ascii="宋体" w:hAnsi="宋体"/>
          <w:color w:val="auto"/>
          <w:szCs w:val="21"/>
          <w:highlight w:val="none"/>
        </w:rPr>
        <w:t>1、单价合同。</w:t>
      </w:r>
    </w:p>
    <w:p w14:paraId="52C74089">
      <w:pPr>
        <w:spacing w:line="480" w:lineRule="exact"/>
        <w:rPr>
          <w:rFonts w:hint="eastAsia" w:ascii="宋体" w:hAnsi="宋体"/>
          <w:color w:val="auto"/>
          <w:szCs w:val="21"/>
          <w:highlight w:val="none"/>
        </w:rPr>
      </w:pPr>
      <w:r>
        <w:rPr>
          <w:rFonts w:ascii="宋体" w:hAnsi="宋体"/>
          <w:color w:val="auto"/>
          <w:szCs w:val="21"/>
          <w:highlight w:val="none"/>
        </w:rPr>
        <w:t>综合单价包含的风险范围：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5D493B7">
      <w:pPr>
        <w:spacing w:line="480" w:lineRule="exact"/>
        <w:rPr>
          <w:rFonts w:hint="eastAsia"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801884A">
      <w:pPr>
        <w:spacing w:line="480" w:lineRule="exact"/>
        <w:rPr>
          <w:rFonts w:hint="eastAsia"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F82B05E">
      <w:pPr>
        <w:spacing w:line="480" w:lineRule="exact"/>
        <w:rPr>
          <w:rFonts w:hint="eastAsia" w:ascii="宋体" w:hAnsi="宋体"/>
          <w:color w:val="auto"/>
          <w:szCs w:val="21"/>
          <w:highlight w:val="none"/>
        </w:rPr>
      </w:pPr>
      <w:r>
        <w:rPr>
          <w:rFonts w:ascii="宋体" w:hAnsi="宋体"/>
          <w:color w:val="auto"/>
          <w:szCs w:val="21"/>
          <w:highlight w:val="none"/>
        </w:rPr>
        <w:t>2、总价合同。</w:t>
      </w:r>
    </w:p>
    <w:p w14:paraId="10A44016">
      <w:pPr>
        <w:spacing w:line="480" w:lineRule="exact"/>
        <w:rPr>
          <w:rFonts w:hint="eastAsia" w:ascii="宋体" w:hAnsi="宋体"/>
          <w:color w:val="auto"/>
          <w:szCs w:val="21"/>
          <w:highlight w:val="none"/>
        </w:rPr>
      </w:pPr>
      <w:r>
        <w:rPr>
          <w:rFonts w:ascii="宋体" w:hAnsi="宋体"/>
          <w:color w:val="auto"/>
          <w:szCs w:val="21"/>
          <w:highlight w:val="none"/>
        </w:rPr>
        <w:t>总价包含的风险范围：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EF6406C">
      <w:pPr>
        <w:spacing w:line="480" w:lineRule="exact"/>
        <w:rPr>
          <w:rFonts w:hint="eastAsia"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DA0056D">
      <w:pPr>
        <w:spacing w:line="480" w:lineRule="exact"/>
        <w:rPr>
          <w:rFonts w:hint="eastAsia"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BC91CE1">
      <w:pPr>
        <w:spacing w:line="480" w:lineRule="exact"/>
        <w:rPr>
          <w:rFonts w:hint="eastAsia" w:ascii="宋体" w:hAnsi="宋体"/>
          <w:color w:val="auto"/>
          <w:szCs w:val="21"/>
          <w:highlight w:val="none"/>
        </w:rPr>
      </w:pPr>
      <w:r>
        <w:rPr>
          <w:rFonts w:ascii="宋体" w:hAnsi="宋体"/>
          <w:color w:val="auto"/>
          <w:szCs w:val="21"/>
          <w:highlight w:val="none"/>
        </w:rPr>
        <w:t>3、其他价格方式：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B0F1B96">
      <w:pPr>
        <w:spacing w:line="480" w:lineRule="exact"/>
        <w:rPr>
          <w:rFonts w:hint="eastAsia" w:ascii="宋体" w:hAnsi="宋体"/>
          <w:color w:val="auto"/>
          <w:szCs w:val="21"/>
          <w:highlight w:val="none"/>
        </w:rPr>
      </w:pPr>
      <w:bookmarkStart w:id="862" w:name="_Toc304295581"/>
      <w:bookmarkStart w:id="863" w:name="_Toc300935004"/>
      <w:bookmarkStart w:id="864" w:name="_Toc312678042"/>
      <w:bookmarkStart w:id="865" w:name="_Toc297216213"/>
      <w:bookmarkStart w:id="866" w:name="_Toc303539161"/>
      <w:bookmarkStart w:id="867" w:name="_Toc297123554"/>
      <w:bookmarkStart w:id="868" w:name="_Toc296347206"/>
      <w:bookmarkStart w:id="869" w:name="_Toc297048393"/>
      <w:bookmarkStart w:id="870" w:name="_Toc296944546"/>
      <w:bookmarkStart w:id="871" w:name="_Toc296346708"/>
      <w:bookmarkStart w:id="872" w:name="_Toc296891247"/>
      <w:bookmarkStart w:id="873" w:name="_Toc292559917"/>
      <w:bookmarkStart w:id="874" w:name="_Toc296503207"/>
      <w:bookmarkStart w:id="875" w:name="_Toc296891035"/>
      <w:bookmarkStart w:id="876" w:name="_Toc297120507"/>
      <w:bookmarkStart w:id="877" w:name="_Toc292559412"/>
      <w:r>
        <w:rPr>
          <w:rFonts w:ascii="宋体" w:hAnsi="宋体"/>
          <w:color w:val="auto"/>
          <w:szCs w:val="21"/>
          <w:highlight w:val="none"/>
        </w:rPr>
        <w:t>12.2 预付款</w:t>
      </w:r>
    </w:p>
    <w:bookmarkEnd w:id="862"/>
    <w:bookmarkEnd w:id="863"/>
    <w:bookmarkEnd w:id="864"/>
    <w:bookmarkEnd w:id="865"/>
    <w:bookmarkEnd w:id="866"/>
    <w:bookmarkEnd w:id="867"/>
    <w:p w14:paraId="60711580">
      <w:pPr>
        <w:spacing w:line="480" w:lineRule="exact"/>
        <w:rPr>
          <w:rFonts w:hint="eastAsia" w:ascii="宋体" w:hAnsi="宋体"/>
          <w:color w:val="auto"/>
          <w:szCs w:val="21"/>
          <w:highlight w:val="none"/>
        </w:rPr>
      </w:pPr>
      <w:r>
        <w:rPr>
          <w:rFonts w:ascii="宋体" w:hAnsi="宋体"/>
          <w:color w:val="auto"/>
          <w:szCs w:val="21"/>
          <w:highlight w:val="none"/>
        </w:rPr>
        <w:t>12.2.1 预付款的支付</w:t>
      </w:r>
    </w:p>
    <w:p w14:paraId="2D52D435">
      <w:pPr>
        <w:spacing w:line="480" w:lineRule="exact"/>
        <w:rPr>
          <w:rFonts w:hint="eastAsia" w:ascii="宋体" w:hAnsi="宋体"/>
          <w:color w:val="auto"/>
          <w:szCs w:val="21"/>
          <w:highlight w:val="none"/>
        </w:rPr>
      </w:pPr>
      <w:r>
        <w:rPr>
          <w:rFonts w:ascii="宋体" w:hAnsi="宋体"/>
          <w:color w:val="auto"/>
          <w:szCs w:val="21"/>
          <w:highlight w:val="none"/>
        </w:rPr>
        <w:t>预付款支付比例或金额：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F9F9970">
      <w:pPr>
        <w:spacing w:line="480" w:lineRule="exact"/>
        <w:rPr>
          <w:rFonts w:hint="eastAsia" w:ascii="宋体" w:hAnsi="宋体"/>
          <w:color w:val="auto"/>
          <w:szCs w:val="21"/>
          <w:highlight w:val="none"/>
        </w:rPr>
      </w:pPr>
      <w:r>
        <w:rPr>
          <w:rFonts w:ascii="宋体" w:hAnsi="宋体"/>
          <w:color w:val="auto"/>
          <w:szCs w:val="21"/>
          <w:highlight w:val="none"/>
        </w:rPr>
        <w:t>预付款支付期限：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98F1154">
      <w:pPr>
        <w:spacing w:line="480" w:lineRule="exact"/>
        <w:rPr>
          <w:rFonts w:hint="eastAsia" w:ascii="宋体" w:hAnsi="宋体"/>
          <w:color w:val="auto"/>
          <w:szCs w:val="21"/>
          <w:highlight w:val="none"/>
        </w:rPr>
      </w:pPr>
      <w:r>
        <w:rPr>
          <w:rFonts w:ascii="宋体" w:hAnsi="宋体"/>
          <w:color w:val="auto"/>
          <w:szCs w:val="21"/>
          <w:highlight w:val="none"/>
        </w:rPr>
        <w:t>预付款扣回的方式：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F5CFD63">
      <w:pPr>
        <w:spacing w:line="480" w:lineRule="exact"/>
        <w:rPr>
          <w:rFonts w:hint="eastAsia" w:ascii="宋体" w:hAnsi="宋体"/>
          <w:color w:val="auto"/>
          <w:szCs w:val="21"/>
          <w:highlight w:val="none"/>
        </w:rPr>
      </w:pPr>
      <w:r>
        <w:rPr>
          <w:rFonts w:ascii="宋体" w:hAnsi="宋体"/>
          <w:color w:val="auto"/>
          <w:szCs w:val="21"/>
          <w:highlight w:val="none"/>
        </w:rPr>
        <w:t>12.2.2 预付款担保</w:t>
      </w:r>
    </w:p>
    <w:p w14:paraId="2C2F4418">
      <w:pPr>
        <w:spacing w:line="480" w:lineRule="exact"/>
        <w:rPr>
          <w:rFonts w:hint="eastAsia" w:ascii="宋体" w:hAnsi="宋体"/>
          <w:color w:val="auto"/>
          <w:szCs w:val="21"/>
          <w:highlight w:val="none"/>
        </w:rPr>
      </w:pPr>
      <w:r>
        <w:rPr>
          <w:rFonts w:ascii="宋体" w:hAnsi="宋体"/>
          <w:color w:val="auto"/>
          <w:szCs w:val="21"/>
          <w:highlight w:val="none"/>
        </w:rPr>
        <w:t>承包人提交预付款担保的期限：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73D82B9">
      <w:pPr>
        <w:spacing w:line="480" w:lineRule="exact"/>
        <w:rPr>
          <w:rFonts w:hint="eastAsia" w:ascii="宋体" w:hAnsi="宋体"/>
          <w:color w:val="auto"/>
          <w:szCs w:val="21"/>
          <w:highlight w:val="none"/>
        </w:rPr>
      </w:pPr>
      <w:r>
        <w:rPr>
          <w:rFonts w:ascii="宋体" w:hAnsi="宋体"/>
          <w:color w:val="auto"/>
          <w:szCs w:val="21"/>
          <w:highlight w:val="none"/>
        </w:rPr>
        <w:t>预付款担保的形式为：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868"/>
    <w:bookmarkEnd w:id="869"/>
    <w:bookmarkEnd w:id="870"/>
    <w:bookmarkEnd w:id="871"/>
    <w:bookmarkEnd w:id="872"/>
    <w:bookmarkEnd w:id="873"/>
    <w:bookmarkEnd w:id="874"/>
    <w:bookmarkEnd w:id="875"/>
    <w:bookmarkEnd w:id="876"/>
    <w:bookmarkEnd w:id="877"/>
    <w:p w14:paraId="4961BCA1">
      <w:pPr>
        <w:spacing w:line="480" w:lineRule="exact"/>
        <w:rPr>
          <w:rFonts w:hint="eastAsia" w:ascii="宋体" w:hAnsi="宋体"/>
          <w:color w:val="auto"/>
          <w:szCs w:val="21"/>
          <w:highlight w:val="none"/>
        </w:rPr>
      </w:pPr>
      <w:r>
        <w:rPr>
          <w:rFonts w:ascii="宋体" w:hAnsi="宋体"/>
          <w:color w:val="auto"/>
          <w:szCs w:val="21"/>
          <w:highlight w:val="none"/>
        </w:rPr>
        <w:t>12.3 计量</w:t>
      </w:r>
    </w:p>
    <w:p w14:paraId="7A2C7CF1">
      <w:pPr>
        <w:spacing w:line="480" w:lineRule="exact"/>
        <w:rPr>
          <w:rFonts w:hint="eastAsia" w:ascii="宋体" w:hAnsi="宋体"/>
          <w:color w:val="auto"/>
          <w:szCs w:val="21"/>
          <w:highlight w:val="none"/>
        </w:rPr>
      </w:pPr>
      <w:r>
        <w:rPr>
          <w:rFonts w:ascii="宋体" w:hAnsi="宋体"/>
          <w:color w:val="auto"/>
          <w:szCs w:val="21"/>
          <w:highlight w:val="none"/>
        </w:rPr>
        <w:t>12.3.1 计量原则</w:t>
      </w:r>
    </w:p>
    <w:p w14:paraId="1F3F921D">
      <w:pPr>
        <w:spacing w:line="480" w:lineRule="exact"/>
        <w:rPr>
          <w:rFonts w:hint="eastAsia" w:ascii="宋体" w:hAnsi="宋体"/>
          <w:color w:val="auto"/>
          <w:szCs w:val="21"/>
          <w:highlight w:val="none"/>
        </w:rPr>
      </w:pPr>
      <w:r>
        <w:rPr>
          <w:rFonts w:ascii="宋体" w:hAnsi="宋体"/>
          <w:color w:val="auto"/>
          <w:szCs w:val="21"/>
          <w:highlight w:val="none"/>
        </w:rPr>
        <w:t>工程量计算规则：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6DFF12D">
      <w:pPr>
        <w:spacing w:line="480" w:lineRule="exact"/>
        <w:rPr>
          <w:rFonts w:hint="eastAsia" w:ascii="宋体" w:hAnsi="宋体"/>
          <w:color w:val="auto"/>
          <w:szCs w:val="21"/>
          <w:highlight w:val="none"/>
        </w:rPr>
      </w:pPr>
      <w:r>
        <w:rPr>
          <w:rFonts w:ascii="宋体" w:hAnsi="宋体"/>
          <w:color w:val="auto"/>
          <w:szCs w:val="21"/>
          <w:highlight w:val="none"/>
        </w:rPr>
        <w:t>12.3.2 计量周期</w:t>
      </w:r>
    </w:p>
    <w:p w14:paraId="7F817C54">
      <w:pPr>
        <w:spacing w:line="480" w:lineRule="exact"/>
        <w:rPr>
          <w:rFonts w:hint="eastAsia" w:ascii="宋体" w:hAnsi="宋体"/>
          <w:color w:val="auto"/>
          <w:szCs w:val="21"/>
          <w:highlight w:val="none"/>
        </w:rPr>
      </w:pPr>
      <w:r>
        <w:rPr>
          <w:rFonts w:ascii="宋体" w:hAnsi="宋体"/>
          <w:color w:val="auto"/>
          <w:szCs w:val="21"/>
          <w:highlight w:val="none"/>
        </w:rPr>
        <w:t>关于计量周期的约定：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5AFA48C">
      <w:pPr>
        <w:spacing w:line="480" w:lineRule="exact"/>
        <w:rPr>
          <w:rFonts w:hint="eastAsia" w:ascii="宋体" w:hAnsi="宋体"/>
          <w:color w:val="auto"/>
          <w:szCs w:val="21"/>
          <w:highlight w:val="none"/>
        </w:rPr>
      </w:pPr>
      <w:r>
        <w:rPr>
          <w:rFonts w:ascii="宋体" w:hAnsi="宋体"/>
          <w:color w:val="auto"/>
          <w:szCs w:val="21"/>
          <w:highlight w:val="none"/>
        </w:rPr>
        <w:t>12.3.3 单价合同的计量</w:t>
      </w:r>
    </w:p>
    <w:p w14:paraId="7B780573">
      <w:pPr>
        <w:spacing w:line="480" w:lineRule="exact"/>
        <w:rPr>
          <w:rFonts w:hint="eastAsia" w:ascii="宋体" w:hAnsi="宋体"/>
          <w:color w:val="auto"/>
          <w:szCs w:val="21"/>
          <w:highlight w:val="none"/>
        </w:rPr>
      </w:pPr>
      <w:r>
        <w:rPr>
          <w:rFonts w:ascii="宋体" w:hAnsi="宋体"/>
          <w:color w:val="auto"/>
          <w:szCs w:val="21"/>
          <w:highlight w:val="none"/>
        </w:rPr>
        <w:t>关于单价合同计量的约定：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FCDBDF0">
      <w:pPr>
        <w:spacing w:line="480" w:lineRule="exact"/>
        <w:rPr>
          <w:rFonts w:hint="eastAsia" w:ascii="宋体" w:hAnsi="宋体"/>
          <w:color w:val="auto"/>
          <w:szCs w:val="21"/>
          <w:highlight w:val="none"/>
        </w:rPr>
      </w:pPr>
      <w:r>
        <w:rPr>
          <w:rFonts w:ascii="宋体" w:hAnsi="宋体"/>
          <w:color w:val="auto"/>
          <w:szCs w:val="21"/>
          <w:highlight w:val="none"/>
        </w:rPr>
        <w:t>12.3.4 总价合同的计量</w:t>
      </w:r>
    </w:p>
    <w:p w14:paraId="28EB4F89">
      <w:pPr>
        <w:spacing w:line="480" w:lineRule="exact"/>
        <w:rPr>
          <w:rFonts w:hint="eastAsia" w:ascii="宋体" w:hAnsi="宋体"/>
          <w:color w:val="auto"/>
          <w:szCs w:val="21"/>
          <w:highlight w:val="none"/>
        </w:rPr>
      </w:pPr>
      <w:r>
        <w:rPr>
          <w:rFonts w:ascii="宋体" w:hAnsi="宋体"/>
          <w:color w:val="auto"/>
          <w:szCs w:val="21"/>
          <w:highlight w:val="none"/>
        </w:rPr>
        <w:t>关于总价合同计量的约定：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ABB3AF9">
      <w:pPr>
        <w:spacing w:line="480" w:lineRule="exact"/>
        <w:rPr>
          <w:rFonts w:hint="eastAsia" w:ascii="宋体" w:hAnsi="宋体"/>
          <w:color w:val="auto"/>
          <w:szCs w:val="21"/>
          <w:highlight w:val="none"/>
        </w:rPr>
      </w:pPr>
      <w:r>
        <w:rPr>
          <w:rFonts w:ascii="宋体" w:hAnsi="宋体"/>
          <w:color w:val="auto"/>
          <w:szCs w:val="21"/>
          <w:highlight w:val="none"/>
        </w:rPr>
        <w:t>12.3.5总价合同采用支付分解表计量支付的，是否适用第</w:t>
      </w:r>
      <w:r>
        <w:rPr>
          <w:rFonts w:ascii="宋体" w:hAnsi="宋体"/>
          <w:color w:val="auto"/>
          <w:kern w:val="0"/>
          <w:szCs w:val="21"/>
          <w:highlight w:val="none"/>
        </w:rPr>
        <w:t xml:space="preserve">12.3.4 </w:t>
      </w:r>
      <w:r>
        <w:rPr>
          <w:rFonts w:ascii="宋体" w:hAnsi="宋体"/>
          <w:color w:val="auto"/>
          <w:szCs w:val="21"/>
          <w:highlight w:val="none"/>
        </w:rPr>
        <w:t>项</w:t>
      </w:r>
      <w:r>
        <w:rPr>
          <w:rFonts w:hint="eastAsia" w:ascii="宋体" w:hAnsi="宋体"/>
          <w:color w:val="auto"/>
          <w:kern w:val="0"/>
          <w:szCs w:val="21"/>
          <w:highlight w:val="none"/>
        </w:rPr>
        <w:t>〔</w:t>
      </w:r>
      <w:r>
        <w:rPr>
          <w:rFonts w:ascii="宋体" w:hAnsi="宋体"/>
          <w:color w:val="auto"/>
          <w:kern w:val="0"/>
          <w:szCs w:val="21"/>
          <w:highlight w:val="none"/>
        </w:rPr>
        <w:t>总价合同的计量</w:t>
      </w:r>
      <w:r>
        <w:rPr>
          <w:rFonts w:hint="eastAsia" w:ascii="宋体" w:hAnsi="宋体"/>
          <w:color w:val="auto"/>
          <w:kern w:val="0"/>
          <w:szCs w:val="21"/>
          <w:highlight w:val="none"/>
        </w:rPr>
        <w:t>〕</w:t>
      </w:r>
      <w:r>
        <w:rPr>
          <w:rFonts w:ascii="宋体" w:hAnsi="宋体"/>
          <w:color w:val="auto"/>
          <w:szCs w:val="21"/>
          <w:highlight w:val="none"/>
        </w:rPr>
        <w:t>约定</w:t>
      </w:r>
      <w:r>
        <w:rPr>
          <w:rFonts w:hint="eastAsia" w:ascii="宋体" w:hAnsi="宋体"/>
          <w:color w:val="auto"/>
          <w:szCs w:val="21"/>
          <w:highlight w:val="none"/>
        </w:rPr>
        <w:t>进行计量：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15ECB8A1">
      <w:pPr>
        <w:spacing w:line="480" w:lineRule="exact"/>
        <w:rPr>
          <w:rFonts w:hint="eastAsia" w:ascii="宋体" w:hAnsi="宋体"/>
          <w:color w:val="auto"/>
          <w:szCs w:val="21"/>
          <w:highlight w:val="none"/>
        </w:rPr>
      </w:pPr>
      <w:r>
        <w:rPr>
          <w:rFonts w:ascii="宋体" w:hAnsi="宋体"/>
          <w:color w:val="auto"/>
          <w:szCs w:val="21"/>
          <w:highlight w:val="none"/>
        </w:rPr>
        <w:t>12.3.6 其他价格形式合同的计量</w:t>
      </w:r>
    </w:p>
    <w:p w14:paraId="530DAC30">
      <w:pPr>
        <w:spacing w:line="480" w:lineRule="exact"/>
        <w:rPr>
          <w:rFonts w:hint="eastAsia" w:ascii="宋体" w:hAnsi="宋体"/>
          <w:color w:val="auto"/>
          <w:szCs w:val="21"/>
          <w:highlight w:val="none"/>
        </w:rPr>
      </w:pPr>
      <w:r>
        <w:rPr>
          <w:rFonts w:ascii="宋体" w:hAnsi="宋体"/>
          <w:color w:val="auto"/>
          <w:szCs w:val="21"/>
          <w:highlight w:val="none"/>
        </w:rPr>
        <w:t>其他价格形式的计量方式和程序：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E9BF92F">
      <w:pPr>
        <w:spacing w:line="480" w:lineRule="exact"/>
        <w:rPr>
          <w:rFonts w:hint="eastAsia" w:ascii="宋体" w:hAnsi="宋体"/>
          <w:color w:val="auto"/>
          <w:szCs w:val="21"/>
          <w:highlight w:val="none"/>
        </w:rPr>
      </w:pPr>
      <w:r>
        <w:rPr>
          <w:rFonts w:ascii="宋体" w:hAnsi="宋体"/>
          <w:color w:val="auto"/>
          <w:szCs w:val="21"/>
          <w:highlight w:val="none"/>
        </w:rPr>
        <w:t>12.4 工程进度款支付</w:t>
      </w:r>
    </w:p>
    <w:p w14:paraId="10AFC785">
      <w:pPr>
        <w:spacing w:line="480" w:lineRule="exact"/>
        <w:rPr>
          <w:rFonts w:hint="eastAsia" w:ascii="宋体" w:hAnsi="宋体"/>
          <w:color w:val="auto"/>
          <w:szCs w:val="21"/>
          <w:highlight w:val="none"/>
        </w:rPr>
      </w:pPr>
      <w:bookmarkStart w:id="878" w:name="_Toc296944550"/>
      <w:bookmarkStart w:id="879" w:name="_Toc292559921"/>
      <w:bookmarkStart w:id="880" w:name="_Toc303539163"/>
      <w:bookmarkStart w:id="881" w:name="_Toc296347210"/>
      <w:bookmarkStart w:id="882" w:name="_Toc297123556"/>
      <w:bookmarkStart w:id="883" w:name="_Toc296891251"/>
      <w:bookmarkStart w:id="884" w:name="_Toc297048397"/>
      <w:bookmarkStart w:id="885" w:name="_Toc297216215"/>
      <w:bookmarkStart w:id="886" w:name="_Toc297120511"/>
      <w:bookmarkStart w:id="887" w:name="_Toc292559416"/>
      <w:bookmarkStart w:id="888" w:name="_Toc296891039"/>
      <w:bookmarkStart w:id="889" w:name="_Toc296503211"/>
      <w:bookmarkStart w:id="890" w:name="_Toc296346712"/>
      <w:bookmarkStart w:id="891" w:name="_Toc300935006"/>
      <w:r>
        <w:rPr>
          <w:rFonts w:ascii="宋体" w:hAnsi="宋体"/>
          <w:color w:val="auto"/>
          <w:szCs w:val="21"/>
          <w:highlight w:val="none"/>
        </w:rPr>
        <w:t>12.4.1 付款周期</w:t>
      </w:r>
    </w:p>
    <w:p w14:paraId="3A10511F">
      <w:pPr>
        <w:spacing w:line="480" w:lineRule="exact"/>
        <w:rPr>
          <w:rFonts w:hint="eastAsia" w:ascii="宋体" w:hAnsi="宋体"/>
          <w:color w:val="auto"/>
          <w:szCs w:val="21"/>
          <w:highlight w:val="none"/>
        </w:rPr>
      </w:pPr>
      <w:r>
        <w:rPr>
          <w:rFonts w:ascii="宋体" w:hAnsi="宋体"/>
          <w:color w:val="auto"/>
          <w:szCs w:val="21"/>
          <w:highlight w:val="none"/>
        </w:rPr>
        <w:t>关于付款周期的约定：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7B850FA">
      <w:pPr>
        <w:spacing w:line="480" w:lineRule="exact"/>
        <w:rPr>
          <w:rFonts w:hint="eastAsia" w:ascii="宋体" w:hAnsi="宋体"/>
          <w:color w:val="auto"/>
          <w:szCs w:val="21"/>
          <w:highlight w:val="none"/>
        </w:rPr>
      </w:pPr>
      <w:r>
        <w:rPr>
          <w:rFonts w:ascii="宋体" w:hAnsi="宋体"/>
          <w:color w:val="auto"/>
          <w:szCs w:val="21"/>
          <w:highlight w:val="none"/>
        </w:rPr>
        <w:t>12.4.2 进度付款申请单的编制</w:t>
      </w:r>
    </w:p>
    <w:p w14:paraId="04CDA642">
      <w:pPr>
        <w:spacing w:line="480" w:lineRule="exact"/>
        <w:rPr>
          <w:rFonts w:hint="eastAsia" w:ascii="宋体" w:hAnsi="宋体"/>
          <w:color w:val="auto"/>
          <w:szCs w:val="21"/>
          <w:highlight w:val="none"/>
        </w:rPr>
      </w:pPr>
      <w:r>
        <w:rPr>
          <w:rFonts w:ascii="宋体" w:hAnsi="宋体"/>
          <w:color w:val="auto"/>
          <w:szCs w:val="21"/>
          <w:highlight w:val="none"/>
        </w:rPr>
        <w:t>关于进度付款申请单编制的约定：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673BA37">
      <w:pPr>
        <w:spacing w:line="480" w:lineRule="exact"/>
        <w:rPr>
          <w:rFonts w:hint="eastAsia" w:ascii="宋体" w:hAnsi="宋体"/>
          <w:color w:val="auto"/>
          <w:szCs w:val="21"/>
          <w:highlight w:val="none"/>
        </w:rPr>
      </w:pPr>
      <w:r>
        <w:rPr>
          <w:rFonts w:ascii="宋体" w:hAnsi="宋体"/>
          <w:color w:val="auto"/>
          <w:szCs w:val="21"/>
          <w:highlight w:val="none"/>
        </w:rPr>
        <w:t>1</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rFonts w:ascii="宋体" w:hAnsi="宋体"/>
          <w:color w:val="auto"/>
          <w:szCs w:val="21"/>
          <w:highlight w:val="none"/>
        </w:rPr>
        <w:t>2.4.3 进度付款申请单的提交</w:t>
      </w:r>
    </w:p>
    <w:p w14:paraId="5E3C9E3F">
      <w:pPr>
        <w:spacing w:line="480" w:lineRule="exact"/>
        <w:rPr>
          <w:rFonts w:hint="eastAsia"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E6558CE">
      <w:pPr>
        <w:spacing w:line="480" w:lineRule="exact"/>
        <w:rPr>
          <w:rFonts w:hint="eastAsia"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25A7421">
      <w:pPr>
        <w:spacing w:line="480" w:lineRule="exact"/>
        <w:rPr>
          <w:rFonts w:hint="eastAsia" w:ascii="宋体" w:hAnsi="宋体"/>
          <w:color w:val="auto"/>
          <w:szCs w:val="21"/>
          <w:highlight w:val="none"/>
        </w:rPr>
      </w:pPr>
      <w:r>
        <w:rPr>
          <w:rFonts w:ascii="宋体" w:hAnsi="宋体"/>
          <w:color w:val="auto"/>
          <w:szCs w:val="21"/>
          <w:highlight w:val="none"/>
        </w:rPr>
        <w:t>（3）其他价格形式合同进度付款申请单提交的约定：</w:t>
      </w:r>
      <w:r>
        <w:rPr>
          <w:rFonts w:ascii="宋体" w:hAnsi="宋体"/>
          <w:color w:val="auto"/>
          <w:szCs w:val="21"/>
          <w:highlight w:val="none"/>
          <w:u w:val="single"/>
        </w:rPr>
        <w:t xml:space="preserve">       </w:t>
      </w:r>
      <w:r>
        <w:rPr>
          <w:rFonts w:ascii="宋体" w:hAnsi="宋体"/>
          <w:color w:val="auto"/>
          <w:szCs w:val="21"/>
          <w:highlight w:val="none"/>
        </w:rPr>
        <w:t>。</w:t>
      </w:r>
    </w:p>
    <w:p w14:paraId="6120D63E">
      <w:pPr>
        <w:spacing w:line="480" w:lineRule="exact"/>
        <w:rPr>
          <w:rFonts w:hint="eastAsia" w:ascii="宋体" w:hAnsi="宋体"/>
          <w:color w:val="auto"/>
          <w:szCs w:val="21"/>
          <w:highlight w:val="none"/>
        </w:rPr>
      </w:pPr>
      <w:r>
        <w:rPr>
          <w:rFonts w:ascii="宋体" w:hAnsi="宋体"/>
          <w:color w:val="auto"/>
          <w:szCs w:val="21"/>
          <w:highlight w:val="none"/>
        </w:rPr>
        <w:t>12.4.4 进度款审核和支付</w:t>
      </w:r>
    </w:p>
    <w:p w14:paraId="5316DA7A">
      <w:pPr>
        <w:spacing w:line="480" w:lineRule="exact"/>
        <w:rPr>
          <w:rFonts w:hint="eastAsia" w:ascii="宋体" w:hAnsi="宋体"/>
          <w:color w:val="auto"/>
          <w:szCs w:val="21"/>
          <w:highlight w:val="none"/>
          <w:u w:val="single"/>
        </w:rPr>
      </w:pPr>
      <w:r>
        <w:rPr>
          <w:rFonts w:ascii="宋体" w:hAnsi="宋体"/>
          <w:color w:val="auto"/>
          <w:szCs w:val="21"/>
          <w:highlight w:val="none"/>
        </w:rPr>
        <w:t>（1）监理人审查并报送发包人的期限：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08E0DAD9">
      <w:pPr>
        <w:spacing w:line="480" w:lineRule="exact"/>
        <w:rPr>
          <w:rFonts w:hint="eastAsia" w:ascii="宋体" w:hAnsi="宋体"/>
          <w:color w:val="auto"/>
          <w:szCs w:val="21"/>
          <w:highlight w:val="none"/>
        </w:rPr>
      </w:pPr>
      <w:r>
        <w:rPr>
          <w:rFonts w:ascii="宋体" w:hAnsi="宋体"/>
          <w:color w:val="auto"/>
          <w:szCs w:val="21"/>
          <w:highlight w:val="none"/>
        </w:rPr>
        <w:t>发包人完成审批并签发进度款支付证书的期限：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6F51E6AF">
      <w:pPr>
        <w:spacing w:line="480" w:lineRule="exact"/>
        <w:rPr>
          <w:rFonts w:hint="eastAsia" w:ascii="宋体" w:hAnsi="宋体"/>
          <w:color w:val="auto"/>
          <w:szCs w:val="21"/>
          <w:highlight w:val="none"/>
        </w:rPr>
      </w:pPr>
      <w:r>
        <w:rPr>
          <w:rFonts w:ascii="宋体" w:hAnsi="宋体"/>
          <w:color w:val="auto"/>
          <w:szCs w:val="21"/>
          <w:highlight w:val="none"/>
        </w:rPr>
        <w:t>（2）发包人支付进度款的期限：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29F5B02">
      <w:pPr>
        <w:spacing w:line="480" w:lineRule="exact"/>
        <w:rPr>
          <w:rFonts w:hint="eastAsia" w:ascii="宋体" w:hAnsi="宋体"/>
          <w:color w:val="auto"/>
          <w:szCs w:val="21"/>
          <w:highlight w:val="none"/>
        </w:rPr>
      </w:pPr>
      <w:r>
        <w:rPr>
          <w:rFonts w:ascii="宋体" w:hAnsi="宋体"/>
          <w:color w:val="auto"/>
          <w:szCs w:val="21"/>
          <w:highlight w:val="none"/>
        </w:rPr>
        <w:t>发包人逾期支付进度款的违约金的计算方式：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D62344B">
      <w:pPr>
        <w:spacing w:line="480" w:lineRule="exact"/>
        <w:rPr>
          <w:rFonts w:hint="eastAsia" w:ascii="宋体" w:hAnsi="宋体"/>
          <w:color w:val="auto"/>
          <w:szCs w:val="21"/>
          <w:highlight w:val="none"/>
        </w:rPr>
      </w:pPr>
      <w:r>
        <w:rPr>
          <w:rFonts w:ascii="宋体" w:hAnsi="宋体"/>
          <w:color w:val="auto"/>
          <w:szCs w:val="21"/>
          <w:highlight w:val="none"/>
        </w:rPr>
        <w:t>12.4.6 支付分解表的编制</w:t>
      </w:r>
    </w:p>
    <w:p w14:paraId="59274C95">
      <w:pPr>
        <w:spacing w:line="480" w:lineRule="exact"/>
        <w:rPr>
          <w:rFonts w:hint="eastAsia" w:ascii="宋体" w:hAnsi="宋体"/>
          <w:color w:val="auto"/>
          <w:szCs w:val="21"/>
          <w:highlight w:val="none"/>
        </w:rPr>
      </w:pPr>
      <w:r>
        <w:rPr>
          <w:rFonts w:ascii="宋体" w:hAnsi="宋体"/>
          <w:color w:val="auto"/>
          <w:szCs w:val="21"/>
          <w:highlight w:val="none"/>
        </w:rPr>
        <w:t>2、总价合同支付分解表的编制与审批：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FCB4498">
      <w:pPr>
        <w:spacing w:line="480" w:lineRule="exact"/>
        <w:rPr>
          <w:rFonts w:hint="eastAsia" w:ascii="宋体" w:hAnsi="宋体"/>
          <w:color w:val="auto"/>
          <w:szCs w:val="21"/>
          <w:highlight w:val="none"/>
        </w:rPr>
      </w:pPr>
      <w:r>
        <w:rPr>
          <w:rFonts w:ascii="宋体" w:hAnsi="宋体"/>
          <w:color w:val="auto"/>
          <w:szCs w:val="21"/>
          <w:highlight w:val="none"/>
        </w:rPr>
        <w:t>3、单价合同的总价项目支付分解表的编制与审批：</w:t>
      </w:r>
      <w:r>
        <w:rPr>
          <w:rFonts w:ascii="宋体" w:hAnsi="宋体"/>
          <w:color w:val="auto"/>
          <w:szCs w:val="21"/>
          <w:highlight w:val="none"/>
          <w:u w:val="single"/>
        </w:rPr>
        <w:t xml:space="preserve">       </w:t>
      </w:r>
      <w:r>
        <w:rPr>
          <w:rFonts w:ascii="宋体" w:hAnsi="宋体"/>
          <w:color w:val="auto"/>
          <w:szCs w:val="21"/>
          <w:highlight w:val="none"/>
        </w:rPr>
        <w:t>。</w:t>
      </w:r>
    </w:p>
    <w:bookmarkEnd w:id="721"/>
    <w:p w14:paraId="563E328F">
      <w:pPr>
        <w:spacing w:line="480" w:lineRule="exact"/>
        <w:rPr>
          <w:rFonts w:hint="eastAsia" w:ascii="宋体" w:hAnsi="宋体"/>
          <w:color w:val="auto"/>
          <w:szCs w:val="21"/>
          <w:highlight w:val="none"/>
        </w:rPr>
      </w:pPr>
      <w:bookmarkStart w:id="892" w:name="_Toc351203645"/>
      <w:bookmarkStart w:id="893" w:name="_Toc297048405"/>
      <w:bookmarkStart w:id="894" w:name="_Toc297123564"/>
      <w:bookmarkStart w:id="895" w:name="_Toc297216223"/>
      <w:bookmarkStart w:id="896" w:name="_Toc296347218"/>
      <w:bookmarkStart w:id="897" w:name="_Toc297120519"/>
      <w:bookmarkStart w:id="898" w:name="_Toc304295593"/>
      <w:bookmarkStart w:id="899" w:name="_Toc300935015"/>
      <w:bookmarkStart w:id="900" w:name="_Toc296346720"/>
      <w:bookmarkStart w:id="901" w:name="_Toc296891047"/>
      <w:bookmarkStart w:id="902" w:name="_Toc296944558"/>
      <w:bookmarkStart w:id="903" w:name="_Toc296503219"/>
      <w:bookmarkStart w:id="904" w:name="_Toc312678053"/>
      <w:bookmarkStart w:id="905" w:name="_Toc303539172"/>
      <w:bookmarkStart w:id="906" w:name="_Toc296891259"/>
      <w:bookmarkStart w:id="907" w:name="_Toc292559929"/>
      <w:bookmarkStart w:id="908" w:name="_Toc292559424"/>
      <w:r>
        <w:rPr>
          <w:rFonts w:ascii="宋体" w:hAnsi="宋体"/>
          <w:color w:val="auto"/>
          <w:szCs w:val="21"/>
          <w:highlight w:val="none"/>
        </w:rPr>
        <w:t>13.</w:t>
      </w:r>
      <w:r>
        <w:rPr>
          <w:rFonts w:hint="eastAsia" w:ascii="宋体" w:hAnsi="宋体"/>
          <w:color w:val="auto"/>
          <w:szCs w:val="21"/>
          <w:highlight w:val="none"/>
        </w:rPr>
        <w:t xml:space="preserve"> </w:t>
      </w:r>
      <w:r>
        <w:rPr>
          <w:rFonts w:ascii="宋体" w:hAnsi="宋体"/>
          <w:color w:val="auto"/>
          <w:szCs w:val="21"/>
          <w:highlight w:val="none"/>
        </w:rPr>
        <w:t>验收和工程试车</w:t>
      </w:r>
      <w:bookmarkEnd w:id="892"/>
    </w:p>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14:paraId="09A98AB0">
      <w:pPr>
        <w:spacing w:line="480" w:lineRule="exact"/>
        <w:rPr>
          <w:rFonts w:hint="eastAsia" w:ascii="宋体" w:hAnsi="宋体"/>
          <w:color w:val="auto"/>
          <w:szCs w:val="21"/>
          <w:highlight w:val="none"/>
        </w:rPr>
      </w:pPr>
      <w:r>
        <w:rPr>
          <w:rFonts w:ascii="宋体" w:hAnsi="宋体"/>
          <w:color w:val="auto"/>
          <w:szCs w:val="21"/>
          <w:highlight w:val="none"/>
        </w:rPr>
        <w:t>13.1 分部分项工程验收</w:t>
      </w:r>
    </w:p>
    <w:p w14:paraId="441A198E">
      <w:pPr>
        <w:spacing w:line="480" w:lineRule="exact"/>
        <w:rPr>
          <w:rFonts w:hint="eastAsia" w:ascii="宋体" w:hAnsi="宋体"/>
          <w:color w:val="auto"/>
          <w:szCs w:val="21"/>
          <w:highlight w:val="none"/>
        </w:rPr>
      </w:pPr>
      <w:r>
        <w:rPr>
          <w:rFonts w:ascii="宋体" w:hAnsi="宋体"/>
          <w:color w:val="auto"/>
          <w:szCs w:val="21"/>
          <w:highlight w:val="none"/>
        </w:rPr>
        <w:t>13.1.2监理人不能按时进行验收时，应提前</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468B524D">
      <w:pPr>
        <w:spacing w:line="480" w:lineRule="exact"/>
        <w:rPr>
          <w:rFonts w:hint="eastAsia"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ascii="宋体" w:hAnsi="宋体"/>
          <w:color w:val="auto"/>
          <w:szCs w:val="21"/>
          <w:highlight w:val="none"/>
        </w:rPr>
        <w:t>小时。</w:t>
      </w:r>
    </w:p>
    <w:p w14:paraId="57CD64C7">
      <w:pPr>
        <w:spacing w:line="480" w:lineRule="exact"/>
        <w:rPr>
          <w:rFonts w:hint="eastAsia" w:ascii="宋体" w:hAnsi="宋体"/>
          <w:color w:val="auto"/>
          <w:szCs w:val="21"/>
          <w:highlight w:val="none"/>
        </w:rPr>
      </w:pPr>
      <w:bookmarkStart w:id="909" w:name="_Toc297120523"/>
      <w:bookmarkStart w:id="910" w:name="_Toc297123565"/>
      <w:bookmarkStart w:id="911" w:name="_Toc296503223"/>
      <w:bookmarkStart w:id="912" w:name="_Toc300935016"/>
      <w:bookmarkStart w:id="913" w:name="_Toc312678056"/>
      <w:bookmarkStart w:id="914" w:name="_Toc303539173"/>
      <w:bookmarkStart w:id="915" w:name="_Toc297216224"/>
      <w:bookmarkStart w:id="916" w:name="_Toc296346724"/>
      <w:bookmarkStart w:id="917" w:name="_Toc296891263"/>
      <w:bookmarkStart w:id="918" w:name="_Toc292559428"/>
      <w:bookmarkStart w:id="919" w:name="_Toc296347222"/>
      <w:bookmarkStart w:id="920" w:name="_Toc296944562"/>
      <w:bookmarkStart w:id="921" w:name="_Toc297048409"/>
      <w:bookmarkStart w:id="922" w:name="_Toc304295596"/>
      <w:bookmarkStart w:id="923" w:name="_Toc292559933"/>
      <w:bookmarkStart w:id="924" w:name="_Toc296891051"/>
      <w:bookmarkStart w:id="925" w:name="_Toc267251473"/>
      <w:bookmarkStart w:id="926" w:name="_Toc267251471"/>
      <w:bookmarkStart w:id="927" w:name="_Toc267251474"/>
      <w:bookmarkStart w:id="928" w:name="_Toc267251475"/>
      <w:bookmarkStart w:id="929" w:name="_Toc267251470"/>
      <w:bookmarkStart w:id="930" w:name="_Toc267251476"/>
      <w:bookmarkStart w:id="931" w:name="_Toc267251472"/>
      <w:r>
        <w:rPr>
          <w:rFonts w:ascii="宋体" w:hAnsi="宋体"/>
          <w:color w:val="auto"/>
          <w:szCs w:val="21"/>
          <w:highlight w:val="none"/>
        </w:rPr>
        <w:t>13.2 竣工验收</w:t>
      </w:r>
    </w:p>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14:paraId="617BE7D0">
      <w:pPr>
        <w:spacing w:line="480" w:lineRule="exact"/>
        <w:rPr>
          <w:rFonts w:hint="eastAsia" w:ascii="宋体" w:hAnsi="宋体"/>
          <w:color w:val="auto"/>
          <w:szCs w:val="21"/>
          <w:highlight w:val="none"/>
        </w:rPr>
      </w:pPr>
      <w:bookmarkStart w:id="932" w:name="_Toc280868704"/>
      <w:bookmarkStart w:id="933" w:name="_Toc280868705"/>
      <w:bookmarkStart w:id="934" w:name="_Toc280868706"/>
      <w:bookmarkStart w:id="935" w:name="_Toc280868707"/>
      <w:bookmarkStart w:id="936" w:name="_Toc280868708"/>
      <w:bookmarkStart w:id="937" w:name="_Toc280868709"/>
      <w:r>
        <w:rPr>
          <w:rFonts w:ascii="宋体" w:hAnsi="宋体"/>
          <w:color w:val="auto"/>
          <w:szCs w:val="21"/>
          <w:highlight w:val="none"/>
        </w:rPr>
        <w:t>13.2.2竣工验收程序</w:t>
      </w:r>
    </w:p>
    <w:bookmarkEnd w:id="932"/>
    <w:p w14:paraId="62151178">
      <w:pPr>
        <w:spacing w:line="480" w:lineRule="exact"/>
        <w:rPr>
          <w:rFonts w:hint="eastAsia" w:ascii="宋体" w:hAnsi="宋体"/>
          <w:color w:val="auto"/>
          <w:szCs w:val="21"/>
          <w:highlight w:val="none"/>
        </w:rPr>
      </w:pPr>
      <w:r>
        <w:rPr>
          <w:rFonts w:ascii="宋体" w:hAnsi="宋体"/>
          <w:color w:val="auto"/>
          <w:kern w:val="0"/>
          <w:szCs w:val="21"/>
          <w:highlight w:val="none"/>
        </w:rPr>
        <w:t>关于竣工验收程序的约定：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C097DBC">
      <w:pPr>
        <w:spacing w:line="480" w:lineRule="exact"/>
        <w:rPr>
          <w:rFonts w:hint="eastAsia" w:ascii="宋体" w:hAnsi="宋体"/>
          <w:color w:val="auto"/>
          <w:szCs w:val="21"/>
          <w:highlight w:val="none"/>
          <w:u w:val="single"/>
        </w:rPr>
      </w:pPr>
      <w:r>
        <w:rPr>
          <w:rFonts w:ascii="宋体" w:hAnsi="宋体"/>
          <w:color w:val="auto"/>
          <w:kern w:val="0"/>
          <w:szCs w:val="21"/>
          <w:highlight w:val="none"/>
        </w:rPr>
        <w:t>发包人不按照本项约定组织竣工验收、颁发工程接收证书的违约金的计算方法：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2A3C27D">
      <w:pPr>
        <w:spacing w:line="48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933"/>
    <w:p w14:paraId="60BA3ECE">
      <w:pPr>
        <w:spacing w:line="480" w:lineRule="exact"/>
        <w:rPr>
          <w:rFonts w:hint="eastAsia" w:ascii="宋体" w:hAnsi="宋体"/>
          <w:color w:val="auto"/>
          <w:szCs w:val="21"/>
          <w:highlight w:val="none"/>
        </w:rPr>
      </w:pPr>
      <w:r>
        <w:rPr>
          <w:rFonts w:ascii="宋体" w:hAnsi="宋体"/>
          <w:color w:val="auto"/>
          <w:szCs w:val="21"/>
          <w:highlight w:val="none"/>
        </w:rPr>
        <w:t>13.2.5移交、接收全部与部分工程</w:t>
      </w:r>
    </w:p>
    <w:bookmarkEnd w:id="934"/>
    <w:p w14:paraId="299DAA6D">
      <w:pPr>
        <w:spacing w:line="480" w:lineRule="exact"/>
        <w:rPr>
          <w:rFonts w:hint="eastAsia" w:ascii="宋体" w:hAnsi="宋体"/>
          <w:color w:val="auto"/>
          <w:kern w:val="0"/>
          <w:szCs w:val="21"/>
          <w:highlight w:val="none"/>
        </w:rPr>
      </w:pPr>
      <w:r>
        <w:rPr>
          <w:rFonts w:hint="eastAsia" w:ascii="宋体" w:hAnsi="宋体"/>
          <w:color w:val="auto"/>
          <w:kern w:val="0"/>
          <w:szCs w:val="21"/>
          <w:highlight w:val="none"/>
        </w:rPr>
        <w:t>承包人向发包人移交工程的期限：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1A3A1EC">
      <w:pPr>
        <w:spacing w:line="480" w:lineRule="exact"/>
        <w:rPr>
          <w:rFonts w:hint="eastAsia"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935"/>
    <w:p w14:paraId="2008D027">
      <w:pPr>
        <w:spacing w:line="480" w:lineRule="exact"/>
        <w:rPr>
          <w:rFonts w:hint="eastAsia" w:ascii="宋体" w:hAnsi="宋体"/>
          <w:color w:val="auto"/>
          <w:szCs w:val="21"/>
          <w:highlight w:val="none"/>
        </w:rPr>
      </w:pPr>
      <w:r>
        <w:rPr>
          <w:rFonts w:ascii="宋体" w:hAnsi="宋体"/>
          <w:color w:val="auto"/>
          <w:szCs w:val="21"/>
          <w:highlight w:val="none"/>
        </w:rPr>
        <w:t>承包人未按时移交工程的，违约金的计算方法为：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9A88DA7">
      <w:pPr>
        <w:spacing w:line="480" w:lineRule="exact"/>
        <w:rPr>
          <w:rFonts w:hint="eastAsia" w:ascii="宋体" w:hAnsi="宋体"/>
          <w:color w:val="auto"/>
          <w:szCs w:val="21"/>
          <w:highlight w:val="none"/>
        </w:rPr>
      </w:pPr>
      <w:r>
        <w:rPr>
          <w:rFonts w:ascii="宋体" w:hAnsi="宋体"/>
          <w:color w:val="auto"/>
          <w:szCs w:val="21"/>
          <w:highlight w:val="none"/>
        </w:rPr>
        <w:t>13.3 工程试车</w:t>
      </w:r>
    </w:p>
    <w:bookmarkEnd w:id="936"/>
    <w:p w14:paraId="65C6789B">
      <w:pPr>
        <w:spacing w:line="480" w:lineRule="exact"/>
        <w:rPr>
          <w:rFonts w:hint="eastAsia" w:ascii="宋体" w:hAnsi="宋体"/>
          <w:color w:val="auto"/>
          <w:kern w:val="0"/>
          <w:szCs w:val="21"/>
          <w:highlight w:val="none"/>
        </w:rPr>
      </w:pPr>
      <w:r>
        <w:rPr>
          <w:rFonts w:ascii="宋体" w:hAnsi="宋体"/>
          <w:color w:val="auto"/>
          <w:kern w:val="0"/>
          <w:szCs w:val="21"/>
          <w:highlight w:val="none"/>
        </w:rPr>
        <w:t>13.3.1 试车程序</w:t>
      </w:r>
    </w:p>
    <w:p w14:paraId="391C8A82">
      <w:pPr>
        <w:spacing w:line="480" w:lineRule="exact"/>
        <w:rPr>
          <w:rFonts w:hint="eastAsia" w:ascii="宋体" w:hAnsi="宋体"/>
          <w:color w:val="auto"/>
          <w:kern w:val="0"/>
          <w:szCs w:val="21"/>
          <w:highlight w:val="none"/>
        </w:rPr>
      </w:pPr>
      <w:r>
        <w:rPr>
          <w:rFonts w:ascii="宋体" w:hAnsi="宋体"/>
          <w:color w:val="auto"/>
          <w:kern w:val="0"/>
          <w:szCs w:val="21"/>
          <w:highlight w:val="none"/>
        </w:rPr>
        <w:t>工程试车内容：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AA5CADF">
      <w:pPr>
        <w:spacing w:line="480" w:lineRule="exact"/>
        <w:rPr>
          <w:rFonts w:hint="eastAsia" w:ascii="宋体" w:hAnsi="宋体"/>
          <w:color w:val="auto"/>
          <w:kern w:val="0"/>
          <w:szCs w:val="21"/>
          <w:highlight w:val="none"/>
        </w:rPr>
      </w:pPr>
      <w:r>
        <w:rPr>
          <w:rFonts w:ascii="宋体" w:hAnsi="宋体"/>
          <w:color w:val="auto"/>
          <w:kern w:val="0"/>
          <w:szCs w:val="21"/>
          <w:highlight w:val="none"/>
        </w:rPr>
        <w:t>（1）单机无负荷试车费用由</w:t>
      </w:r>
      <w:r>
        <w:rPr>
          <w:rFonts w:ascii="宋体" w:hAnsi="宋体"/>
          <w:color w:val="auto"/>
          <w:szCs w:val="21"/>
          <w:highlight w:val="none"/>
          <w:u w:val="single"/>
        </w:rPr>
        <w:t xml:space="preserve">                     </w:t>
      </w:r>
      <w:r>
        <w:rPr>
          <w:rFonts w:ascii="宋体" w:hAnsi="宋体"/>
          <w:color w:val="auto"/>
          <w:kern w:val="0"/>
          <w:szCs w:val="21"/>
          <w:highlight w:val="none"/>
        </w:rPr>
        <w:t>承担；</w:t>
      </w:r>
    </w:p>
    <w:p w14:paraId="0E78FB7E">
      <w:pPr>
        <w:spacing w:line="480" w:lineRule="exact"/>
        <w:rPr>
          <w:rFonts w:hint="eastAsia" w:ascii="宋体" w:hAnsi="宋体"/>
          <w:color w:val="auto"/>
          <w:kern w:val="0"/>
          <w:szCs w:val="21"/>
          <w:highlight w:val="none"/>
        </w:rPr>
      </w:pPr>
      <w:r>
        <w:rPr>
          <w:rFonts w:ascii="宋体" w:hAnsi="宋体"/>
          <w:color w:val="auto"/>
          <w:kern w:val="0"/>
          <w:szCs w:val="21"/>
          <w:highlight w:val="none"/>
        </w:rPr>
        <w:t>（2）无负荷联动试车费用由</w:t>
      </w:r>
      <w:r>
        <w:rPr>
          <w:rFonts w:ascii="宋体" w:hAnsi="宋体"/>
          <w:color w:val="auto"/>
          <w:szCs w:val="21"/>
          <w:highlight w:val="none"/>
          <w:u w:val="single"/>
        </w:rPr>
        <w:t xml:space="preserve">                     </w:t>
      </w:r>
      <w:r>
        <w:rPr>
          <w:rFonts w:ascii="宋体" w:hAnsi="宋体"/>
          <w:color w:val="auto"/>
          <w:kern w:val="0"/>
          <w:szCs w:val="21"/>
          <w:highlight w:val="none"/>
        </w:rPr>
        <w:t>承担。</w:t>
      </w:r>
    </w:p>
    <w:p w14:paraId="1AF016A5">
      <w:pPr>
        <w:spacing w:line="480" w:lineRule="exact"/>
        <w:rPr>
          <w:rFonts w:hint="eastAsia" w:ascii="宋体" w:hAnsi="宋体"/>
          <w:color w:val="auto"/>
          <w:kern w:val="0"/>
          <w:szCs w:val="21"/>
          <w:highlight w:val="none"/>
        </w:rPr>
      </w:pPr>
      <w:r>
        <w:rPr>
          <w:rFonts w:ascii="宋体" w:hAnsi="宋体"/>
          <w:color w:val="auto"/>
          <w:kern w:val="0"/>
          <w:szCs w:val="21"/>
          <w:highlight w:val="none"/>
        </w:rPr>
        <w:t>13.3.3 投料试车</w:t>
      </w:r>
    </w:p>
    <w:p w14:paraId="440E773B">
      <w:pPr>
        <w:spacing w:line="480" w:lineRule="exact"/>
        <w:rPr>
          <w:rFonts w:hint="eastAsia" w:ascii="宋体" w:hAnsi="宋体"/>
          <w:color w:val="auto"/>
          <w:kern w:val="0"/>
          <w:szCs w:val="21"/>
          <w:highlight w:val="none"/>
        </w:rPr>
      </w:pPr>
      <w:r>
        <w:rPr>
          <w:rFonts w:hint="eastAsia" w:ascii="宋体" w:hAnsi="宋体"/>
          <w:color w:val="auto"/>
          <w:kern w:val="0"/>
          <w:szCs w:val="21"/>
          <w:highlight w:val="none"/>
        </w:rPr>
        <w:t>关于投料试车相关事项的约定：</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EF714F0">
      <w:pPr>
        <w:spacing w:line="480" w:lineRule="exact"/>
        <w:rPr>
          <w:rFonts w:hint="eastAsia" w:ascii="宋体" w:hAnsi="宋体"/>
          <w:color w:val="auto"/>
          <w:szCs w:val="21"/>
          <w:highlight w:val="none"/>
        </w:rPr>
      </w:pPr>
      <w:r>
        <w:rPr>
          <w:rFonts w:ascii="宋体" w:hAnsi="宋体"/>
          <w:color w:val="auto"/>
          <w:szCs w:val="21"/>
          <w:highlight w:val="none"/>
        </w:rPr>
        <w:t>13.6 竣工退场</w:t>
      </w:r>
    </w:p>
    <w:p w14:paraId="6530EFEC">
      <w:pPr>
        <w:spacing w:line="480" w:lineRule="exact"/>
        <w:rPr>
          <w:rFonts w:hint="eastAsia" w:ascii="宋体" w:hAnsi="宋体"/>
          <w:color w:val="auto"/>
          <w:kern w:val="0"/>
          <w:szCs w:val="21"/>
          <w:highlight w:val="none"/>
        </w:rPr>
      </w:pPr>
      <w:r>
        <w:rPr>
          <w:rFonts w:ascii="宋体" w:hAnsi="宋体"/>
          <w:color w:val="auto"/>
          <w:kern w:val="0"/>
          <w:szCs w:val="21"/>
          <w:highlight w:val="none"/>
        </w:rPr>
        <w:t>13.6.1 竣工退场</w:t>
      </w:r>
    </w:p>
    <w:p w14:paraId="5FF82265">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承包人完成竣工退场的期限：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w:t>
      </w:r>
    </w:p>
    <w:p w14:paraId="725F0F6C">
      <w:pPr>
        <w:spacing w:line="480" w:lineRule="exact"/>
        <w:rPr>
          <w:rFonts w:hint="eastAsia" w:ascii="宋体" w:hAnsi="宋体"/>
          <w:color w:val="auto"/>
          <w:szCs w:val="21"/>
          <w:highlight w:val="none"/>
        </w:rPr>
      </w:pPr>
      <w:bookmarkStart w:id="938" w:name="_Toc351203646"/>
      <w:r>
        <w:rPr>
          <w:rFonts w:ascii="宋体" w:hAnsi="宋体"/>
          <w:color w:val="auto"/>
          <w:szCs w:val="21"/>
          <w:highlight w:val="none"/>
        </w:rPr>
        <w:t>14. 竣工结算</w:t>
      </w:r>
      <w:bookmarkEnd w:id="938"/>
    </w:p>
    <w:p w14:paraId="337703F1">
      <w:pPr>
        <w:spacing w:line="480" w:lineRule="exact"/>
        <w:rPr>
          <w:rFonts w:hint="eastAsia" w:ascii="宋体" w:hAnsi="宋体"/>
          <w:color w:val="auto"/>
          <w:szCs w:val="21"/>
          <w:highlight w:val="none"/>
        </w:rPr>
      </w:pPr>
      <w:r>
        <w:rPr>
          <w:rFonts w:ascii="宋体" w:hAnsi="宋体"/>
          <w:color w:val="auto"/>
          <w:szCs w:val="21"/>
          <w:highlight w:val="none"/>
        </w:rPr>
        <w:t>14.1 竣工</w:t>
      </w:r>
      <w:r>
        <w:rPr>
          <w:rFonts w:hint="eastAsia" w:ascii="宋体" w:hAnsi="宋体"/>
          <w:color w:val="auto"/>
          <w:szCs w:val="21"/>
          <w:highlight w:val="none"/>
        </w:rPr>
        <w:t>结算</w:t>
      </w:r>
      <w:r>
        <w:rPr>
          <w:rFonts w:ascii="宋体" w:hAnsi="宋体"/>
          <w:color w:val="auto"/>
          <w:szCs w:val="21"/>
          <w:highlight w:val="none"/>
        </w:rPr>
        <w:t>申请</w:t>
      </w:r>
    </w:p>
    <w:p w14:paraId="4E6B8849">
      <w:pPr>
        <w:spacing w:line="480" w:lineRule="exact"/>
        <w:rPr>
          <w:rFonts w:hint="eastAsia" w:ascii="宋体" w:hAnsi="宋体"/>
          <w:color w:val="auto"/>
          <w:szCs w:val="21"/>
          <w:highlight w:val="none"/>
        </w:rPr>
      </w:pPr>
      <w:r>
        <w:rPr>
          <w:rFonts w:ascii="宋体" w:hAnsi="宋体"/>
          <w:color w:val="auto"/>
          <w:szCs w:val="21"/>
          <w:highlight w:val="none"/>
        </w:rPr>
        <w:t>承包人提交竣工</w:t>
      </w:r>
      <w:r>
        <w:rPr>
          <w:rFonts w:hint="eastAsia" w:ascii="宋体" w:hAnsi="宋体"/>
          <w:color w:val="auto"/>
          <w:szCs w:val="21"/>
          <w:highlight w:val="none"/>
        </w:rPr>
        <w:t>结算</w:t>
      </w:r>
      <w:r>
        <w:rPr>
          <w:rFonts w:ascii="宋体" w:hAnsi="宋体"/>
          <w:color w:val="auto"/>
          <w:szCs w:val="21"/>
          <w:highlight w:val="none"/>
        </w:rPr>
        <w:t>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16DE9F0">
      <w:pPr>
        <w:spacing w:line="480" w:lineRule="exact"/>
        <w:rPr>
          <w:rFonts w:hint="eastAsia" w:ascii="宋体" w:hAnsi="宋体"/>
          <w:color w:val="auto"/>
          <w:szCs w:val="21"/>
          <w:highlight w:val="none"/>
        </w:rPr>
      </w:pPr>
      <w:r>
        <w:rPr>
          <w:rFonts w:ascii="宋体" w:hAnsi="宋体"/>
          <w:color w:val="auto"/>
          <w:szCs w:val="21"/>
          <w:highlight w:val="none"/>
        </w:rPr>
        <w:t>竣工</w:t>
      </w:r>
      <w:r>
        <w:rPr>
          <w:rFonts w:hint="eastAsia" w:ascii="宋体" w:hAnsi="宋体"/>
          <w:color w:val="auto"/>
          <w:szCs w:val="21"/>
          <w:highlight w:val="none"/>
        </w:rPr>
        <w:t>结算</w:t>
      </w:r>
      <w:r>
        <w:rPr>
          <w:rFonts w:ascii="宋体" w:hAnsi="宋体"/>
          <w:color w:val="auto"/>
          <w:szCs w:val="21"/>
          <w:highlight w:val="none"/>
        </w:rPr>
        <w:t>申请单应包括的内容：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874C5BD">
      <w:pPr>
        <w:spacing w:line="480" w:lineRule="exact"/>
        <w:rPr>
          <w:rFonts w:hint="eastAsia" w:ascii="宋体" w:hAnsi="宋体"/>
          <w:color w:val="auto"/>
          <w:szCs w:val="21"/>
          <w:highlight w:val="none"/>
        </w:rPr>
      </w:pPr>
      <w:r>
        <w:rPr>
          <w:rFonts w:ascii="宋体" w:hAnsi="宋体"/>
          <w:color w:val="auto"/>
          <w:szCs w:val="21"/>
          <w:highlight w:val="none"/>
        </w:rPr>
        <w:t>14.2 竣工结算审核</w:t>
      </w:r>
    </w:p>
    <w:p w14:paraId="70B8FA50">
      <w:pPr>
        <w:spacing w:line="480" w:lineRule="exact"/>
        <w:rPr>
          <w:rFonts w:hint="eastAsia"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审批</w:t>
      </w:r>
      <w:r>
        <w:rPr>
          <w:rFonts w:ascii="宋体" w:hAnsi="宋体"/>
          <w:color w:val="auto"/>
          <w:szCs w:val="21"/>
          <w:highlight w:val="none"/>
        </w:rPr>
        <w:t>竣工付款申请单的期限：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65AE933">
      <w:pPr>
        <w:spacing w:line="480" w:lineRule="exact"/>
        <w:rPr>
          <w:rFonts w:hint="eastAsia" w:ascii="宋体" w:hAnsi="宋体"/>
          <w:color w:val="auto"/>
          <w:szCs w:val="21"/>
          <w:highlight w:val="none"/>
        </w:rPr>
      </w:pPr>
      <w:r>
        <w:rPr>
          <w:rFonts w:ascii="宋体" w:hAnsi="宋体"/>
          <w:color w:val="auto"/>
          <w:szCs w:val="21"/>
          <w:highlight w:val="none"/>
        </w:rPr>
        <w:t>发包人完成竣工付款的期限：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19FE8DB">
      <w:pPr>
        <w:spacing w:line="480" w:lineRule="exact"/>
        <w:rPr>
          <w:rFonts w:hint="eastAsia" w:ascii="宋体" w:hAnsi="宋体"/>
          <w:color w:val="auto"/>
          <w:szCs w:val="21"/>
          <w:highlight w:val="none"/>
        </w:rPr>
      </w:pPr>
      <w:r>
        <w:rPr>
          <w:rFonts w:hint="eastAsia" w:ascii="宋体" w:hAnsi="宋体"/>
          <w:color w:val="auto"/>
          <w:szCs w:val="21"/>
          <w:highlight w:val="none"/>
        </w:rPr>
        <w:t>关于竣工付款证书异议部分复核的方式和程序：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77ECDE6">
      <w:pPr>
        <w:spacing w:line="480" w:lineRule="exact"/>
        <w:rPr>
          <w:rFonts w:hint="eastAsia" w:ascii="宋体" w:hAnsi="宋体"/>
          <w:color w:val="auto"/>
          <w:szCs w:val="21"/>
          <w:highlight w:val="none"/>
        </w:rPr>
      </w:pPr>
      <w:r>
        <w:rPr>
          <w:rFonts w:ascii="宋体" w:hAnsi="宋体"/>
          <w:color w:val="auto"/>
          <w:szCs w:val="21"/>
          <w:highlight w:val="none"/>
        </w:rPr>
        <w:t>14.4 最终结清</w:t>
      </w:r>
    </w:p>
    <w:p w14:paraId="640B35E9">
      <w:pPr>
        <w:spacing w:line="480" w:lineRule="exact"/>
        <w:rPr>
          <w:rFonts w:hint="eastAsia" w:ascii="宋体" w:hAnsi="宋体"/>
          <w:color w:val="auto"/>
          <w:kern w:val="0"/>
          <w:szCs w:val="21"/>
          <w:highlight w:val="none"/>
        </w:rPr>
      </w:pPr>
      <w:r>
        <w:rPr>
          <w:rFonts w:ascii="宋体" w:hAnsi="宋体"/>
          <w:color w:val="auto"/>
          <w:kern w:val="0"/>
          <w:szCs w:val="21"/>
          <w:highlight w:val="none"/>
        </w:rPr>
        <w:t>14.4.1 最终结清申请单</w:t>
      </w:r>
    </w:p>
    <w:p w14:paraId="682FBF80">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承包人提交最终结清申请单的份数：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2062987">
      <w:pPr>
        <w:spacing w:line="480" w:lineRule="exact"/>
        <w:rPr>
          <w:rFonts w:hint="eastAsia" w:ascii="宋体" w:hAnsi="宋体"/>
          <w:color w:val="auto"/>
          <w:szCs w:val="21"/>
          <w:highlight w:val="none"/>
        </w:rPr>
      </w:pPr>
      <w:r>
        <w:rPr>
          <w:rFonts w:ascii="宋体" w:hAnsi="宋体"/>
          <w:color w:val="auto"/>
          <w:kern w:val="0"/>
          <w:szCs w:val="21"/>
          <w:highlight w:val="none"/>
        </w:rPr>
        <w:t>承包人提交最终结算申请单的期限：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23B9ED32">
      <w:pPr>
        <w:spacing w:line="480" w:lineRule="exact"/>
        <w:rPr>
          <w:rFonts w:hint="eastAsia" w:ascii="宋体" w:hAnsi="宋体"/>
          <w:color w:val="auto"/>
          <w:szCs w:val="21"/>
          <w:highlight w:val="none"/>
        </w:rPr>
      </w:pPr>
      <w:r>
        <w:rPr>
          <w:rFonts w:ascii="宋体" w:hAnsi="宋体"/>
          <w:color w:val="auto"/>
          <w:szCs w:val="21"/>
          <w:highlight w:val="none"/>
        </w:rPr>
        <w:t>14.4.2 最终结清证书和支付</w:t>
      </w:r>
    </w:p>
    <w:p w14:paraId="765994DB">
      <w:pPr>
        <w:spacing w:line="480" w:lineRule="exact"/>
        <w:rPr>
          <w:rFonts w:hint="eastAsia" w:ascii="宋体" w:hAnsi="宋体"/>
          <w:color w:val="auto"/>
          <w:szCs w:val="21"/>
          <w:highlight w:val="none"/>
        </w:rPr>
      </w:pPr>
      <w:r>
        <w:rPr>
          <w:rFonts w:ascii="宋体" w:hAnsi="宋体"/>
          <w:color w:val="auto"/>
          <w:szCs w:val="21"/>
          <w:highlight w:val="none"/>
        </w:rPr>
        <w:t>（1）发包人完成最终结清申请单的</w:t>
      </w:r>
      <w:r>
        <w:rPr>
          <w:rFonts w:hint="eastAsia" w:ascii="宋体" w:hAnsi="宋体"/>
          <w:color w:val="auto"/>
          <w:szCs w:val="21"/>
          <w:highlight w:val="none"/>
        </w:rPr>
        <w:t>审批</w:t>
      </w:r>
      <w:r>
        <w:rPr>
          <w:rFonts w:ascii="宋体" w:hAnsi="宋体"/>
          <w:color w:val="auto"/>
          <w:szCs w:val="21"/>
          <w:highlight w:val="none"/>
        </w:rPr>
        <w:t>并颁发最终结清证书的期限：</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B8CD8A7">
      <w:pPr>
        <w:spacing w:line="480" w:lineRule="exact"/>
        <w:rPr>
          <w:rFonts w:hint="eastAsia" w:ascii="宋体" w:hAnsi="宋体"/>
          <w:color w:val="auto"/>
          <w:szCs w:val="21"/>
          <w:highlight w:val="none"/>
        </w:rPr>
      </w:pPr>
      <w:r>
        <w:rPr>
          <w:rFonts w:ascii="宋体" w:hAnsi="宋体"/>
          <w:color w:val="auto"/>
          <w:szCs w:val="21"/>
          <w:highlight w:val="none"/>
        </w:rPr>
        <w:t>（2）发包人完成支付的期限：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925"/>
    <w:bookmarkEnd w:id="926"/>
    <w:bookmarkEnd w:id="927"/>
    <w:bookmarkEnd w:id="928"/>
    <w:bookmarkEnd w:id="929"/>
    <w:bookmarkEnd w:id="930"/>
    <w:bookmarkEnd w:id="931"/>
    <w:bookmarkEnd w:id="937"/>
    <w:p w14:paraId="722680EA">
      <w:pPr>
        <w:spacing w:line="480" w:lineRule="exact"/>
        <w:rPr>
          <w:rFonts w:hint="eastAsia" w:ascii="宋体" w:hAnsi="宋体"/>
          <w:color w:val="auto"/>
          <w:szCs w:val="21"/>
          <w:highlight w:val="none"/>
        </w:rPr>
      </w:pPr>
      <w:bookmarkStart w:id="939" w:name="_Toc351203647"/>
      <w:bookmarkStart w:id="940" w:name="_Toc267251483"/>
      <w:bookmarkStart w:id="941" w:name="_Toc267251482"/>
      <w:bookmarkStart w:id="942" w:name="_Toc267251484"/>
      <w:bookmarkStart w:id="943" w:name="_Toc267251485"/>
      <w:bookmarkStart w:id="944" w:name="_Toc267251489"/>
      <w:bookmarkStart w:id="945" w:name="_Toc267251490"/>
      <w:bookmarkStart w:id="946" w:name="_Toc267251488"/>
      <w:bookmarkStart w:id="947" w:name="_Toc267251486"/>
      <w:bookmarkStart w:id="948" w:name="_Toc267251503"/>
      <w:bookmarkStart w:id="949" w:name="_Toc267251492"/>
      <w:bookmarkStart w:id="950" w:name="_Toc267251499"/>
      <w:bookmarkStart w:id="951" w:name="_Toc267251496"/>
      <w:bookmarkStart w:id="952" w:name="_Toc267251493"/>
      <w:bookmarkStart w:id="953" w:name="_Toc267251497"/>
      <w:bookmarkStart w:id="954" w:name="_Toc267251495"/>
      <w:bookmarkStart w:id="955" w:name="_Toc267251502"/>
      <w:bookmarkStart w:id="956" w:name="_Toc267251498"/>
      <w:bookmarkStart w:id="957" w:name="_Toc267251494"/>
      <w:bookmarkStart w:id="958" w:name="_Toc267251501"/>
      <w:bookmarkStart w:id="959" w:name="_Toc267251491"/>
      <w:bookmarkStart w:id="960" w:name="_Toc267251506"/>
      <w:bookmarkStart w:id="961" w:name="_Toc267251504"/>
      <w:bookmarkStart w:id="962" w:name="_Toc267251507"/>
      <w:bookmarkStart w:id="963" w:name="_Toc267251508"/>
      <w:bookmarkStart w:id="964" w:name="_Toc267251514"/>
      <w:bookmarkStart w:id="965" w:name="_Toc267251515"/>
      <w:bookmarkStart w:id="966" w:name="_Toc267251510"/>
      <w:bookmarkStart w:id="967" w:name="_Toc267251511"/>
      <w:bookmarkStart w:id="968" w:name="_Toc267251509"/>
      <w:bookmarkStart w:id="969" w:name="_Toc267251513"/>
      <w:r>
        <w:rPr>
          <w:rFonts w:ascii="宋体" w:hAnsi="宋体"/>
          <w:color w:val="auto"/>
          <w:szCs w:val="21"/>
          <w:highlight w:val="none"/>
        </w:rPr>
        <w:t>15. 缺陷责任期与保修</w:t>
      </w:r>
      <w:bookmarkEnd w:id="939"/>
    </w:p>
    <w:p w14:paraId="55E703ED">
      <w:pPr>
        <w:spacing w:line="480" w:lineRule="exact"/>
        <w:rPr>
          <w:rFonts w:hint="eastAsia" w:ascii="宋体" w:hAnsi="宋体"/>
          <w:color w:val="auto"/>
          <w:szCs w:val="21"/>
          <w:highlight w:val="none"/>
        </w:rPr>
      </w:pPr>
      <w:r>
        <w:rPr>
          <w:rFonts w:ascii="宋体" w:hAnsi="宋体"/>
          <w:color w:val="auto"/>
          <w:szCs w:val="21"/>
          <w:highlight w:val="none"/>
        </w:rPr>
        <w:t>15.2缺陷责任期</w:t>
      </w:r>
      <w:bookmarkEnd w:id="940"/>
    </w:p>
    <w:p w14:paraId="75D33104">
      <w:pPr>
        <w:spacing w:line="480" w:lineRule="exact"/>
        <w:rPr>
          <w:rFonts w:hint="eastAsia" w:ascii="宋体" w:hAnsi="宋体"/>
          <w:color w:val="auto"/>
          <w:szCs w:val="21"/>
          <w:highlight w:val="none"/>
        </w:rPr>
      </w:pPr>
      <w:r>
        <w:rPr>
          <w:rFonts w:ascii="宋体" w:hAnsi="宋体"/>
          <w:color w:val="auto"/>
          <w:szCs w:val="21"/>
          <w:highlight w:val="none"/>
        </w:rPr>
        <w:t>缺陷责任期的具体期限：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39E15E4">
      <w:pPr>
        <w:spacing w:line="480" w:lineRule="exact"/>
        <w:rPr>
          <w:rFonts w:hint="eastAsia" w:ascii="宋体" w:hAnsi="宋体"/>
          <w:color w:val="auto"/>
          <w:szCs w:val="21"/>
          <w:highlight w:val="none"/>
        </w:rPr>
      </w:pPr>
      <w:r>
        <w:rPr>
          <w:rFonts w:ascii="宋体" w:hAnsi="宋体"/>
          <w:color w:val="auto"/>
          <w:szCs w:val="21"/>
          <w:highlight w:val="none"/>
        </w:rPr>
        <w:t>15.3 质量保证金</w:t>
      </w:r>
    </w:p>
    <w:p w14:paraId="50D789A7">
      <w:pPr>
        <w:spacing w:line="480" w:lineRule="exact"/>
        <w:rPr>
          <w:rFonts w:hint="eastAsia" w:ascii="宋体" w:hAnsi="宋体"/>
          <w:color w:val="auto"/>
          <w:szCs w:val="21"/>
          <w:highlight w:val="none"/>
        </w:rPr>
      </w:pPr>
      <w:r>
        <w:rPr>
          <w:rFonts w:hint="eastAsia" w:ascii="宋体" w:hAnsi="宋体"/>
          <w:color w:val="auto"/>
          <w:szCs w:val="21"/>
          <w:highlight w:val="none"/>
        </w:rPr>
        <w:t>关于是否扣留质量保证金的约定：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在工程项目竣工前，承包人按专用合同条款第3.7条提供履约担保的，发包人不得同时预留工程质量保证金。</w:t>
      </w:r>
    </w:p>
    <w:p w14:paraId="1C0CC5E9">
      <w:pPr>
        <w:spacing w:line="480" w:lineRule="exact"/>
        <w:rPr>
          <w:rFonts w:hint="eastAsia" w:ascii="宋体" w:hAnsi="宋体"/>
          <w:color w:val="auto"/>
          <w:szCs w:val="21"/>
          <w:highlight w:val="none"/>
        </w:rPr>
      </w:pPr>
      <w:r>
        <w:rPr>
          <w:rFonts w:ascii="宋体" w:hAnsi="宋体"/>
          <w:color w:val="auto"/>
          <w:szCs w:val="21"/>
          <w:highlight w:val="none"/>
        </w:rPr>
        <w:t xml:space="preserve">15.3.1 </w:t>
      </w:r>
      <w:r>
        <w:rPr>
          <w:rFonts w:hint="eastAsia" w:ascii="宋体" w:hAnsi="宋体"/>
          <w:color w:val="auto"/>
          <w:szCs w:val="21"/>
          <w:highlight w:val="none"/>
        </w:rPr>
        <w:t>承包人提供</w:t>
      </w:r>
      <w:r>
        <w:rPr>
          <w:rFonts w:ascii="宋体" w:hAnsi="宋体"/>
          <w:color w:val="auto"/>
          <w:szCs w:val="21"/>
          <w:highlight w:val="none"/>
        </w:rPr>
        <w:t>质量保证金的</w:t>
      </w:r>
      <w:r>
        <w:rPr>
          <w:rFonts w:hint="eastAsia" w:ascii="宋体" w:hAnsi="宋体"/>
          <w:color w:val="auto"/>
          <w:szCs w:val="21"/>
          <w:highlight w:val="none"/>
        </w:rPr>
        <w:t>方</w:t>
      </w:r>
      <w:r>
        <w:rPr>
          <w:rFonts w:ascii="宋体" w:hAnsi="宋体"/>
          <w:color w:val="auto"/>
          <w:szCs w:val="21"/>
          <w:highlight w:val="none"/>
        </w:rPr>
        <w:t>式</w:t>
      </w:r>
    </w:p>
    <w:p w14:paraId="50DA2B75">
      <w:pPr>
        <w:spacing w:line="480" w:lineRule="exact"/>
        <w:rPr>
          <w:rFonts w:hint="eastAsia" w:ascii="宋体" w:hAnsi="宋体"/>
          <w:color w:val="auto"/>
          <w:szCs w:val="21"/>
          <w:highlight w:val="none"/>
        </w:rPr>
      </w:pPr>
      <w:r>
        <w:rPr>
          <w:rFonts w:ascii="宋体" w:hAnsi="宋体"/>
          <w:color w:val="auto"/>
          <w:szCs w:val="21"/>
          <w:highlight w:val="none"/>
        </w:rPr>
        <w:t>质量保证金采用以下第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14:paraId="73367226">
      <w:pPr>
        <w:spacing w:line="480" w:lineRule="exact"/>
        <w:rPr>
          <w:rFonts w:hint="eastAsia" w:ascii="宋体" w:hAnsi="宋体"/>
          <w:color w:val="auto"/>
          <w:kern w:val="0"/>
          <w:szCs w:val="21"/>
          <w:highlight w:val="none"/>
        </w:rPr>
      </w:pPr>
      <w:r>
        <w:rPr>
          <w:rFonts w:ascii="宋体" w:hAnsi="宋体"/>
          <w:color w:val="auto"/>
          <w:kern w:val="0"/>
          <w:szCs w:val="21"/>
          <w:highlight w:val="none"/>
        </w:rPr>
        <w:t>（1）质量保证金保函，保证金额为：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p>
    <w:p w14:paraId="0880A187">
      <w:pPr>
        <w:spacing w:line="480" w:lineRule="exact"/>
        <w:rPr>
          <w:rFonts w:hint="eastAsia" w:ascii="宋体" w:hAnsi="宋体"/>
          <w:color w:val="auto"/>
          <w:kern w:val="0"/>
          <w:szCs w:val="21"/>
          <w:highlight w:val="none"/>
        </w:rPr>
      </w:pPr>
      <w:r>
        <w:rPr>
          <w:rFonts w:ascii="宋体" w:hAnsi="宋体"/>
          <w:color w:val="auto"/>
          <w:kern w:val="0"/>
          <w:szCs w:val="21"/>
          <w:highlight w:val="none"/>
        </w:rPr>
        <w:t>（2）</w:t>
      </w:r>
      <w:r>
        <w:rPr>
          <w:rFonts w:ascii="宋体" w:hAnsi="宋体"/>
          <w:color w:val="auto"/>
          <w:kern w:val="0"/>
          <w:szCs w:val="21"/>
          <w:highlight w:val="none"/>
          <w:u w:val="single"/>
        </w:rPr>
        <w:t xml:space="preserve">      </w:t>
      </w:r>
      <w:r>
        <w:rPr>
          <w:rFonts w:ascii="宋体" w:hAnsi="宋体"/>
          <w:color w:val="auto"/>
          <w:kern w:val="0"/>
          <w:szCs w:val="21"/>
          <w:highlight w:val="none"/>
        </w:rPr>
        <w:t>%的工程款；</w:t>
      </w:r>
    </w:p>
    <w:p w14:paraId="705F4B5A">
      <w:pPr>
        <w:spacing w:line="480" w:lineRule="exact"/>
        <w:rPr>
          <w:rFonts w:hint="eastAsia" w:ascii="宋体" w:hAnsi="宋体"/>
          <w:color w:val="auto"/>
          <w:kern w:val="0"/>
          <w:szCs w:val="21"/>
          <w:highlight w:val="none"/>
        </w:rPr>
      </w:pPr>
      <w:r>
        <w:rPr>
          <w:rFonts w:ascii="宋体" w:hAnsi="宋体"/>
          <w:color w:val="auto"/>
          <w:kern w:val="0"/>
          <w:szCs w:val="21"/>
          <w:highlight w:val="none"/>
        </w:rPr>
        <w:t>（3）其他</w:t>
      </w:r>
      <w:r>
        <w:rPr>
          <w:rFonts w:hint="eastAsia" w:ascii="宋体" w:hAnsi="宋体"/>
          <w:color w:val="auto"/>
          <w:kern w:val="0"/>
          <w:szCs w:val="21"/>
          <w:highlight w:val="none"/>
        </w:rPr>
        <w:t>方</w:t>
      </w:r>
      <w:r>
        <w:rPr>
          <w:rFonts w:ascii="宋体" w:hAnsi="宋体"/>
          <w:color w:val="auto"/>
          <w:kern w:val="0"/>
          <w:szCs w:val="21"/>
          <w:highlight w:val="none"/>
        </w:rPr>
        <w:t>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323A1C1">
      <w:pPr>
        <w:spacing w:line="480" w:lineRule="exact"/>
        <w:rPr>
          <w:rFonts w:hint="eastAsia" w:ascii="宋体" w:hAnsi="宋体"/>
          <w:color w:val="auto"/>
          <w:szCs w:val="21"/>
          <w:highlight w:val="none"/>
        </w:rPr>
      </w:pPr>
      <w:r>
        <w:rPr>
          <w:rFonts w:ascii="宋体" w:hAnsi="宋体"/>
          <w:color w:val="auto"/>
          <w:szCs w:val="21"/>
          <w:highlight w:val="none"/>
        </w:rPr>
        <w:t xml:space="preserve">15.3.2 质量保证金的扣留 </w:t>
      </w:r>
    </w:p>
    <w:p w14:paraId="564CB1C5">
      <w:pPr>
        <w:spacing w:line="480" w:lineRule="exact"/>
        <w:rPr>
          <w:rFonts w:hint="eastAsia" w:ascii="宋体" w:hAnsi="宋体"/>
          <w:color w:val="auto"/>
          <w:szCs w:val="21"/>
          <w:highlight w:val="none"/>
        </w:rPr>
      </w:pPr>
      <w:r>
        <w:rPr>
          <w:rFonts w:ascii="宋体" w:hAnsi="宋体"/>
          <w:color w:val="auto"/>
          <w:szCs w:val="21"/>
          <w:highlight w:val="none"/>
        </w:rPr>
        <w:t>质量保证金的扣留采取以下第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14:paraId="1017F352">
      <w:pPr>
        <w:spacing w:line="480" w:lineRule="exact"/>
        <w:rPr>
          <w:rFonts w:hint="eastAsia"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14:paraId="0B3C8FC3">
      <w:pPr>
        <w:spacing w:line="480" w:lineRule="exact"/>
        <w:rPr>
          <w:rFonts w:hint="eastAsia" w:ascii="宋体" w:hAnsi="宋体"/>
          <w:color w:val="auto"/>
          <w:kern w:val="0"/>
          <w:szCs w:val="21"/>
          <w:highlight w:val="none"/>
        </w:rPr>
      </w:pPr>
      <w:r>
        <w:rPr>
          <w:rFonts w:ascii="宋体" w:hAnsi="宋体"/>
          <w:color w:val="auto"/>
          <w:kern w:val="0"/>
          <w:szCs w:val="21"/>
          <w:highlight w:val="none"/>
        </w:rPr>
        <w:t>（2）工程竣工结算时一次性扣留质量保证金；</w:t>
      </w:r>
    </w:p>
    <w:p w14:paraId="5FE0B014">
      <w:pPr>
        <w:spacing w:line="480" w:lineRule="exact"/>
        <w:rPr>
          <w:rFonts w:hint="eastAsia" w:ascii="宋体" w:hAnsi="宋体"/>
          <w:color w:val="auto"/>
          <w:kern w:val="0"/>
          <w:szCs w:val="21"/>
          <w:highlight w:val="none"/>
        </w:rPr>
      </w:pPr>
      <w:r>
        <w:rPr>
          <w:rFonts w:ascii="宋体" w:hAnsi="宋体"/>
          <w:color w:val="auto"/>
          <w:kern w:val="0"/>
          <w:szCs w:val="21"/>
          <w:highlight w:val="none"/>
        </w:rPr>
        <w:t>（3）其他扣留方式: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EC20C49">
      <w:pPr>
        <w:spacing w:line="480" w:lineRule="exact"/>
        <w:rPr>
          <w:rFonts w:hint="eastAsia" w:ascii="宋体" w:hAnsi="宋体"/>
          <w:color w:val="auto"/>
          <w:szCs w:val="21"/>
          <w:highlight w:val="none"/>
        </w:rPr>
      </w:pPr>
      <w:r>
        <w:rPr>
          <w:rFonts w:ascii="宋体" w:hAnsi="宋体"/>
          <w:color w:val="auto"/>
          <w:szCs w:val="21"/>
          <w:highlight w:val="none"/>
        </w:rPr>
        <w:t>关于质量保证金的补充约定：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bookmarkEnd w:id="941"/>
    <w:bookmarkEnd w:id="942"/>
    <w:p w14:paraId="3C5E8D6E">
      <w:pPr>
        <w:spacing w:line="480" w:lineRule="exact"/>
        <w:rPr>
          <w:rFonts w:hint="eastAsia" w:ascii="宋体" w:hAnsi="宋体"/>
          <w:color w:val="auto"/>
          <w:szCs w:val="21"/>
          <w:highlight w:val="none"/>
        </w:rPr>
      </w:pPr>
      <w:r>
        <w:rPr>
          <w:rFonts w:ascii="宋体" w:hAnsi="宋体"/>
          <w:color w:val="auto"/>
          <w:szCs w:val="21"/>
          <w:highlight w:val="none"/>
        </w:rPr>
        <w:t>15.4保修</w:t>
      </w:r>
    </w:p>
    <w:bookmarkEnd w:id="943"/>
    <w:p w14:paraId="5E82D619">
      <w:pPr>
        <w:spacing w:line="480" w:lineRule="exact"/>
        <w:rPr>
          <w:rFonts w:hint="eastAsia" w:ascii="宋体" w:hAnsi="宋体"/>
          <w:color w:val="auto"/>
          <w:szCs w:val="21"/>
          <w:highlight w:val="none"/>
        </w:rPr>
      </w:pPr>
      <w:r>
        <w:rPr>
          <w:rFonts w:ascii="宋体" w:hAnsi="宋体"/>
          <w:color w:val="auto"/>
          <w:szCs w:val="21"/>
          <w:highlight w:val="none"/>
        </w:rPr>
        <w:t>15.4.1 保修责任</w:t>
      </w:r>
    </w:p>
    <w:p w14:paraId="109991E9">
      <w:pPr>
        <w:spacing w:line="480" w:lineRule="exact"/>
        <w:rPr>
          <w:rFonts w:hint="eastAsia" w:ascii="宋体" w:hAnsi="宋体"/>
          <w:color w:val="auto"/>
          <w:kern w:val="0"/>
          <w:szCs w:val="21"/>
          <w:highlight w:val="none"/>
        </w:rPr>
      </w:pPr>
      <w:r>
        <w:rPr>
          <w:rFonts w:ascii="宋体" w:hAnsi="宋体"/>
          <w:color w:val="auto"/>
          <w:szCs w:val="21"/>
          <w:highlight w:val="none"/>
        </w:rPr>
        <w:t>工程保修期为：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E000194">
      <w:pPr>
        <w:spacing w:line="480" w:lineRule="exact"/>
        <w:rPr>
          <w:rFonts w:hint="eastAsia" w:ascii="宋体" w:hAnsi="宋体"/>
          <w:color w:val="auto"/>
          <w:szCs w:val="21"/>
          <w:highlight w:val="none"/>
        </w:rPr>
      </w:pPr>
      <w:r>
        <w:rPr>
          <w:rFonts w:ascii="宋体" w:hAnsi="宋体"/>
          <w:color w:val="auto"/>
          <w:szCs w:val="21"/>
          <w:highlight w:val="none"/>
        </w:rPr>
        <w:t>15.4.3 修复通知</w:t>
      </w:r>
    </w:p>
    <w:p w14:paraId="7EB7CBF2">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承包人收到保修通知并到达工程现场的合理时间：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944"/>
    <w:bookmarkEnd w:id="945"/>
    <w:bookmarkEnd w:id="946"/>
    <w:bookmarkEnd w:id="947"/>
    <w:p w14:paraId="239C469C">
      <w:pPr>
        <w:spacing w:line="480" w:lineRule="exact"/>
        <w:rPr>
          <w:rFonts w:hint="eastAsia" w:ascii="宋体" w:hAnsi="宋体"/>
          <w:color w:val="auto"/>
          <w:szCs w:val="21"/>
          <w:highlight w:val="none"/>
        </w:rPr>
      </w:pPr>
      <w:bookmarkStart w:id="970" w:name="_Toc351203648"/>
      <w:bookmarkStart w:id="971" w:name="_Toc280868717"/>
      <w:bookmarkStart w:id="972" w:name="_Toc280868718"/>
      <w:r>
        <w:rPr>
          <w:rFonts w:ascii="宋体" w:hAnsi="宋体"/>
          <w:color w:val="auto"/>
          <w:szCs w:val="21"/>
          <w:highlight w:val="none"/>
        </w:rPr>
        <w:t>16. 违约</w:t>
      </w:r>
      <w:bookmarkEnd w:id="970"/>
    </w:p>
    <w:p w14:paraId="4CE4F9B2">
      <w:pPr>
        <w:spacing w:line="480" w:lineRule="exact"/>
        <w:rPr>
          <w:rFonts w:hint="eastAsia" w:ascii="宋体" w:hAnsi="宋体"/>
          <w:color w:val="auto"/>
          <w:szCs w:val="21"/>
          <w:highlight w:val="none"/>
        </w:rPr>
      </w:pPr>
      <w:r>
        <w:rPr>
          <w:rFonts w:ascii="宋体" w:hAnsi="宋体"/>
          <w:color w:val="auto"/>
          <w:szCs w:val="21"/>
          <w:highlight w:val="none"/>
        </w:rPr>
        <w:t>16.1 发包人违约</w:t>
      </w:r>
    </w:p>
    <w:p w14:paraId="531F5B4C">
      <w:pPr>
        <w:spacing w:line="480" w:lineRule="exact"/>
        <w:rPr>
          <w:rFonts w:hint="eastAsia" w:ascii="宋体" w:hAnsi="宋体"/>
          <w:color w:val="auto"/>
          <w:szCs w:val="21"/>
          <w:highlight w:val="none"/>
        </w:rPr>
      </w:pPr>
      <w:r>
        <w:rPr>
          <w:rFonts w:ascii="宋体" w:hAnsi="宋体"/>
          <w:color w:val="auto"/>
          <w:szCs w:val="21"/>
          <w:highlight w:val="none"/>
        </w:rPr>
        <w:t>16.1.1发包人违约的情形</w:t>
      </w:r>
    </w:p>
    <w:p w14:paraId="22750F92">
      <w:pPr>
        <w:spacing w:line="480" w:lineRule="exact"/>
        <w:rPr>
          <w:rFonts w:hint="eastAsia" w:ascii="宋体" w:hAnsi="宋体"/>
          <w:color w:val="auto"/>
          <w:kern w:val="0"/>
          <w:szCs w:val="21"/>
          <w:highlight w:val="none"/>
        </w:rPr>
      </w:pPr>
      <w:r>
        <w:rPr>
          <w:rFonts w:ascii="宋体" w:hAnsi="宋体"/>
          <w:color w:val="auto"/>
          <w:kern w:val="0"/>
          <w:szCs w:val="21"/>
          <w:highlight w:val="none"/>
        </w:rPr>
        <w:t>发包人违约的其他情形：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1A1E8F2">
      <w:pPr>
        <w:spacing w:line="480" w:lineRule="exact"/>
        <w:rPr>
          <w:rFonts w:hint="eastAsia" w:ascii="宋体" w:hAnsi="宋体"/>
          <w:color w:val="auto"/>
          <w:kern w:val="0"/>
          <w:szCs w:val="21"/>
          <w:highlight w:val="none"/>
        </w:rPr>
      </w:pPr>
      <w:r>
        <w:rPr>
          <w:rFonts w:ascii="宋体" w:hAnsi="宋体"/>
          <w:color w:val="auto"/>
          <w:kern w:val="0"/>
          <w:szCs w:val="21"/>
          <w:highlight w:val="none"/>
        </w:rPr>
        <w:t xml:space="preserve">    16.1.2 发包人违约的责任</w:t>
      </w:r>
    </w:p>
    <w:p w14:paraId="6FEFC80A">
      <w:pPr>
        <w:spacing w:line="480" w:lineRule="exact"/>
        <w:rPr>
          <w:rFonts w:hint="eastAsia" w:ascii="宋体" w:hAnsi="宋体"/>
          <w:color w:val="auto"/>
          <w:kern w:val="0"/>
          <w:szCs w:val="21"/>
          <w:highlight w:val="none"/>
        </w:rPr>
      </w:pPr>
      <w:r>
        <w:rPr>
          <w:rFonts w:ascii="宋体" w:hAnsi="宋体"/>
          <w:color w:val="auto"/>
          <w:kern w:val="0"/>
          <w:szCs w:val="21"/>
          <w:highlight w:val="none"/>
        </w:rPr>
        <w:t>发包人违约责任的承担方式和计算方法：</w:t>
      </w:r>
    </w:p>
    <w:p w14:paraId="14F4C835">
      <w:pPr>
        <w:spacing w:line="480" w:lineRule="exact"/>
        <w:rPr>
          <w:rFonts w:hint="eastAsia"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0EFDB7BD">
      <w:pPr>
        <w:spacing w:line="480" w:lineRule="exact"/>
        <w:rPr>
          <w:rFonts w:hint="eastAsia"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06CCE90">
      <w:pPr>
        <w:spacing w:line="480" w:lineRule="exact"/>
        <w:rPr>
          <w:rFonts w:hint="eastAsia" w:ascii="宋体" w:hAnsi="宋体"/>
          <w:color w:val="auto"/>
          <w:kern w:val="0"/>
          <w:szCs w:val="21"/>
          <w:highlight w:val="none"/>
        </w:rPr>
      </w:pPr>
      <w:r>
        <w:rPr>
          <w:rFonts w:ascii="宋体" w:hAnsi="宋体"/>
          <w:color w:val="auto"/>
          <w:kern w:val="0"/>
          <w:szCs w:val="21"/>
          <w:highlight w:val="none"/>
        </w:rPr>
        <w:t>（3）发包人违反第10.1款</w:t>
      </w:r>
      <w:r>
        <w:rPr>
          <w:rFonts w:hint="eastAsia" w:ascii="宋体" w:hAnsi="宋体"/>
          <w:color w:val="auto"/>
          <w:kern w:val="0"/>
          <w:szCs w:val="21"/>
          <w:highlight w:val="none"/>
        </w:rPr>
        <w:t>〔</w:t>
      </w:r>
      <w:r>
        <w:rPr>
          <w:rFonts w:ascii="宋体" w:hAnsi="宋体"/>
          <w:color w:val="auto"/>
          <w:kern w:val="0"/>
          <w:szCs w:val="21"/>
          <w:highlight w:val="none"/>
        </w:rPr>
        <w:t>变更的范围</w:t>
      </w:r>
      <w:r>
        <w:rPr>
          <w:rFonts w:hint="eastAsia" w:ascii="宋体" w:hAnsi="宋体"/>
          <w:color w:val="auto"/>
          <w:kern w:val="0"/>
          <w:szCs w:val="21"/>
          <w:highlight w:val="none"/>
        </w:rPr>
        <w:t>〕</w:t>
      </w:r>
      <w:r>
        <w:rPr>
          <w:rFonts w:ascii="宋体" w:hAnsi="宋体"/>
          <w:color w:val="auto"/>
          <w:kern w:val="0"/>
          <w:szCs w:val="21"/>
          <w:highlight w:val="none"/>
        </w:rPr>
        <w:t>第（2）项约定，自行实施被取消的工作或转由他人实施的违约责任：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E69A08F">
      <w:pPr>
        <w:spacing w:line="480" w:lineRule="exact"/>
        <w:rPr>
          <w:rFonts w:hint="eastAsia"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7B07370">
      <w:pPr>
        <w:spacing w:line="480" w:lineRule="exact"/>
        <w:rPr>
          <w:rFonts w:hint="eastAsia" w:ascii="宋体" w:hAnsi="宋体"/>
          <w:color w:val="auto"/>
          <w:kern w:val="0"/>
          <w:szCs w:val="21"/>
          <w:highlight w:val="none"/>
        </w:rPr>
      </w:pPr>
      <w:r>
        <w:rPr>
          <w:rFonts w:ascii="宋体" w:hAnsi="宋体"/>
          <w:color w:val="auto"/>
          <w:kern w:val="0"/>
          <w:szCs w:val="21"/>
          <w:highlight w:val="none"/>
        </w:rPr>
        <w:t>（5）因发包人违反合同约定造成暂停施工的违约责任：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4E9529D">
      <w:pPr>
        <w:spacing w:line="480" w:lineRule="exact"/>
        <w:rPr>
          <w:rFonts w:hint="eastAsia"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67B5014">
      <w:pPr>
        <w:spacing w:line="480" w:lineRule="exact"/>
        <w:rPr>
          <w:rFonts w:hint="eastAsia"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rPr>
        <w:t>其他：</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7F07979D">
      <w:pPr>
        <w:spacing w:line="480" w:lineRule="exact"/>
        <w:rPr>
          <w:rFonts w:hint="eastAsia" w:ascii="宋体" w:hAnsi="宋体"/>
          <w:color w:val="auto"/>
          <w:szCs w:val="21"/>
          <w:highlight w:val="none"/>
        </w:rPr>
      </w:pPr>
      <w:r>
        <w:rPr>
          <w:rFonts w:ascii="宋体" w:hAnsi="宋体"/>
          <w:color w:val="auto"/>
          <w:szCs w:val="21"/>
          <w:highlight w:val="none"/>
        </w:rPr>
        <w:t>16.1.3 因发包人违约解除合同</w:t>
      </w:r>
    </w:p>
    <w:p w14:paraId="0F8F1813">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承包人按16.1.1项</w:t>
      </w:r>
      <w:r>
        <w:rPr>
          <w:rFonts w:hint="eastAsia" w:ascii="宋体" w:hAnsi="宋体"/>
          <w:color w:val="auto"/>
          <w:kern w:val="0"/>
          <w:szCs w:val="21"/>
          <w:highlight w:val="none"/>
        </w:rPr>
        <w:t>〔</w:t>
      </w:r>
      <w:r>
        <w:rPr>
          <w:rFonts w:ascii="宋体" w:hAnsi="宋体"/>
          <w:color w:val="auto"/>
          <w:kern w:val="0"/>
          <w:szCs w:val="21"/>
          <w:highlight w:val="none"/>
        </w:rPr>
        <w:t>发包人违约的情形</w:t>
      </w:r>
      <w:r>
        <w:rPr>
          <w:rFonts w:hint="eastAsia" w:ascii="宋体" w:hAnsi="宋体"/>
          <w:color w:val="auto"/>
          <w:kern w:val="0"/>
          <w:szCs w:val="21"/>
          <w:highlight w:val="none"/>
        </w:rPr>
        <w:t>〕</w:t>
      </w:r>
      <w:r>
        <w:rPr>
          <w:rFonts w:ascii="宋体" w:hAnsi="宋体"/>
          <w:color w:val="auto"/>
          <w:kern w:val="0"/>
          <w:szCs w:val="21"/>
          <w:highlight w:val="none"/>
        </w:rPr>
        <w:t>约定暂停施工满</w:t>
      </w:r>
      <w:r>
        <w:rPr>
          <w:rFonts w:ascii="宋体" w:hAnsi="宋体"/>
          <w:color w:val="auto"/>
          <w:kern w:val="0"/>
          <w:szCs w:val="21"/>
          <w:highlight w:val="none"/>
          <w:u w:val="single"/>
        </w:rPr>
        <w:t xml:space="preserve">    </w:t>
      </w:r>
      <w:r>
        <w:rPr>
          <w:rFonts w:ascii="宋体" w:hAnsi="宋体"/>
          <w:color w:val="auto"/>
          <w:kern w:val="0"/>
          <w:szCs w:val="21"/>
          <w:highlight w:val="none"/>
        </w:rPr>
        <w:t>天后发包人仍不纠正其违约行为并致使合同目的不能实现的，承包人有权解除合同。</w:t>
      </w:r>
    </w:p>
    <w:p w14:paraId="6C6EEBC3">
      <w:pPr>
        <w:spacing w:line="480" w:lineRule="exact"/>
        <w:rPr>
          <w:rFonts w:hint="eastAsia" w:ascii="宋体" w:hAnsi="宋体"/>
          <w:color w:val="auto"/>
          <w:szCs w:val="21"/>
          <w:highlight w:val="none"/>
        </w:rPr>
      </w:pPr>
      <w:r>
        <w:rPr>
          <w:rFonts w:ascii="宋体" w:hAnsi="宋体"/>
          <w:color w:val="auto"/>
          <w:szCs w:val="21"/>
          <w:highlight w:val="none"/>
        </w:rPr>
        <w:t>16.2 承包人违约</w:t>
      </w:r>
    </w:p>
    <w:p w14:paraId="507018F3">
      <w:pPr>
        <w:spacing w:line="480" w:lineRule="exact"/>
        <w:rPr>
          <w:rFonts w:hint="eastAsia" w:ascii="宋体" w:hAnsi="宋体"/>
          <w:color w:val="auto"/>
          <w:kern w:val="0"/>
          <w:szCs w:val="21"/>
          <w:highlight w:val="none"/>
        </w:rPr>
      </w:pPr>
      <w:r>
        <w:rPr>
          <w:rFonts w:ascii="宋体" w:hAnsi="宋体"/>
          <w:color w:val="auto"/>
          <w:kern w:val="0"/>
          <w:szCs w:val="21"/>
          <w:highlight w:val="none"/>
        </w:rPr>
        <w:t>16.2.1 承包人违约的情形</w:t>
      </w:r>
    </w:p>
    <w:p w14:paraId="33FB2542">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12844F0">
      <w:pPr>
        <w:spacing w:line="480" w:lineRule="exact"/>
        <w:rPr>
          <w:rFonts w:hint="eastAsia" w:ascii="宋体" w:hAnsi="宋体"/>
          <w:color w:val="auto"/>
          <w:kern w:val="0"/>
          <w:szCs w:val="21"/>
          <w:highlight w:val="none"/>
        </w:rPr>
      </w:pPr>
      <w:r>
        <w:rPr>
          <w:rFonts w:ascii="宋体" w:hAnsi="宋体"/>
          <w:color w:val="auto"/>
          <w:kern w:val="0"/>
          <w:szCs w:val="21"/>
          <w:highlight w:val="none"/>
        </w:rPr>
        <w:t>16.2.2承包人违约的责任</w:t>
      </w:r>
    </w:p>
    <w:p w14:paraId="0954801C">
      <w:pPr>
        <w:spacing w:line="480" w:lineRule="exact"/>
        <w:rPr>
          <w:rFonts w:hint="eastAsia" w:ascii="宋体" w:hAnsi="宋体"/>
          <w:color w:val="auto"/>
          <w:kern w:val="0"/>
          <w:szCs w:val="21"/>
          <w:highlight w:val="none"/>
          <w:u w:val="single"/>
        </w:rPr>
      </w:pPr>
      <w:r>
        <w:rPr>
          <w:rFonts w:ascii="宋体" w:hAnsi="宋体"/>
          <w:color w:val="auto"/>
          <w:kern w:val="0"/>
          <w:szCs w:val="21"/>
          <w:highlight w:val="none"/>
        </w:rPr>
        <w:t>承包人违约责任的承担方式和计算方法：</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szCs w:val="21"/>
          <w:highlight w:val="none"/>
        </w:rPr>
        <w:t xml:space="preserve">    </w:t>
      </w:r>
    </w:p>
    <w:p w14:paraId="3E6C0025">
      <w:pPr>
        <w:spacing w:line="480" w:lineRule="exact"/>
        <w:rPr>
          <w:rFonts w:hint="eastAsia" w:ascii="宋体" w:hAnsi="宋体"/>
          <w:color w:val="auto"/>
          <w:szCs w:val="21"/>
          <w:highlight w:val="none"/>
        </w:rPr>
      </w:pPr>
      <w:r>
        <w:rPr>
          <w:rFonts w:ascii="宋体" w:hAnsi="宋体"/>
          <w:color w:val="auto"/>
          <w:szCs w:val="21"/>
          <w:highlight w:val="none"/>
        </w:rPr>
        <w:t>16.2.3 因承包人违约解除合同</w:t>
      </w:r>
    </w:p>
    <w:p w14:paraId="5F43B8AE">
      <w:pPr>
        <w:spacing w:line="480" w:lineRule="exact"/>
        <w:rPr>
          <w:rFonts w:hint="eastAsia" w:ascii="宋体" w:hAnsi="宋体"/>
          <w:color w:val="auto"/>
          <w:kern w:val="0"/>
          <w:szCs w:val="21"/>
          <w:highlight w:val="none"/>
        </w:rPr>
      </w:pPr>
      <w:r>
        <w:rPr>
          <w:rFonts w:ascii="宋体" w:hAnsi="宋体"/>
          <w:color w:val="auto"/>
          <w:kern w:val="0"/>
          <w:szCs w:val="21"/>
          <w:highlight w:val="none"/>
        </w:rPr>
        <w:t>关于承包人违约解除合同的特别约定：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FEDE0D8">
      <w:pPr>
        <w:spacing w:line="480" w:lineRule="exact"/>
        <w:rPr>
          <w:rFonts w:hint="eastAsia" w:ascii="宋体" w:hAnsi="宋体"/>
          <w:color w:val="auto"/>
          <w:kern w:val="0"/>
          <w:szCs w:val="21"/>
          <w:highlight w:val="none"/>
        </w:rPr>
      </w:pPr>
      <w:r>
        <w:rPr>
          <w:rFonts w:ascii="宋体" w:hAnsi="宋体"/>
          <w:color w:val="auto"/>
          <w:kern w:val="0"/>
          <w:szCs w:val="21"/>
          <w:highlight w:val="none"/>
        </w:rPr>
        <w:t>发包人</w:t>
      </w:r>
      <w:r>
        <w:rPr>
          <w:rFonts w:hint="eastAsia" w:ascii="宋体" w:hAnsi="宋体"/>
          <w:color w:val="auto"/>
          <w:kern w:val="0"/>
          <w:szCs w:val="21"/>
          <w:highlight w:val="none"/>
        </w:rPr>
        <w:t>继续</w:t>
      </w:r>
      <w:r>
        <w:rPr>
          <w:rFonts w:ascii="宋体" w:hAnsi="宋体"/>
          <w:color w:val="auto"/>
          <w:kern w:val="0"/>
          <w:szCs w:val="21"/>
          <w:highlight w:val="none"/>
        </w:rPr>
        <w:t>使用承包人在施工现场的材料、设备、临时工程、承包人文件和由承包人或以其名义编制的其他文件</w:t>
      </w:r>
      <w:r>
        <w:rPr>
          <w:rFonts w:hint="eastAsia" w:ascii="宋体" w:hAnsi="宋体"/>
          <w:color w:val="auto"/>
          <w:kern w:val="0"/>
          <w:szCs w:val="21"/>
          <w:highlight w:val="none"/>
        </w:rPr>
        <w:t>的费用承担方式</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31476CD9">
      <w:pPr>
        <w:spacing w:line="480" w:lineRule="exact"/>
        <w:rPr>
          <w:rFonts w:hint="eastAsia" w:ascii="宋体" w:hAnsi="宋体"/>
          <w:color w:val="auto"/>
          <w:szCs w:val="21"/>
          <w:highlight w:val="none"/>
        </w:rPr>
      </w:pPr>
      <w:bookmarkStart w:id="973" w:name="_Toc351203649"/>
      <w:r>
        <w:rPr>
          <w:rFonts w:ascii="宋体" w:hAnsi="宋体"/>
          <w:color w:val="auto"/>
          <w:szCs w:val="21"/>
          <w:highlight w:val="none"/>
        </w:rPr>
        <w:t>17. 不可抗力</w:t>
      </w:r>
      <w:bookmarkEnd w:id="973"/>
      <w:r>
        <w:rPr>
          <w:rFonts w:ascii="宋体" w:hAnsi="宋体"/>
          <w:color w:val="auto"/>
          <w:szCs w:val="21"/>
          <w:highlight w:val="none"/>
        </w:rPr>
        <w:t xml:space="preserve"> </w:t>
      </w:r>
      <w:bookmarkEnd w:id="971"/>
    </w:p>
    <w:p w14:paraId="7D1054D5">
      <w:pPr>
        <w:spacing w:line="480" w:lineRule="exact"/>
        <w:rPr>
          <w:rFonts w:hint="eastAsia" w:ascii="宋体" w:hAnsi="宋体"/>
          <w:color w:val="auto"/>
          <w:szCs w:val="21"/>
          <w:highlight w:val="none"/>
        </w:rPr>
      </w:pPr>
      <w:r>
        <w:rPr>
          <w:rFonts w:ascii="宋体" w:hAnsi="宋体"/>
          <w:color w:val="auto"/>
          <w:szCs w:val="21"/>
          <w:highlight w:val="none"/>
        </w:rPr>
        <w:t>17.1 不可抗力的确认</w:t>
      </w:r>
    </w:p>
    <w:p w14:paraId="26E2C784">
      <w:pPr>
        <w:spacing w:line="480" w:lineRule="exact"/>
        <w:rPr>
          <w:rFonts w:hint="eastAsia" w:ascii="宋体" w:hAnsi="宋体"/>
          <w:color w:val="auto"/>
          <w:kern w:val="0"/>
          <w:szCs w:val="21"/>
          <w:highlight w:val="none"/>
          <w:u w:val="single"/>
        </w:rPr>
      </w:pPr>
      <w:r>
        <w:rPr>
          <w:rFonts w:ascii="宋体" w:hAnsi="宋体"/>
          <w:color w:val="auto"/>
          <w:szCs w:val="21"/>
          <w:highlight w:val="none"/>
        </w:rPr>
        <w:t xml:space="preserve">除通用合同条款约定的不可抗力事件之外，视为不可抗力的其他情形：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9658145">
      <w:pPr>
        <w:spacing w:line="480" w:lineRule="exact"/>
        <w:rPr>
          <w:rFonts w:hint="eastAsia" w:ascii="宋体" w:hAnsi="宋体"/>
          <w:color w:val="auto"/>
          <w:szCs w:val="21"/>
          <w:highlight w:val="none"/>
        </w:rPr>
      </w:pPr>
      <w:r>
        <w:rPr>
          <w:rFonts w:ascii="宋体" w:hAnsi="宋体"/>
          <w:color w:val="auto"/>
          <w:szCs w:val="21"/>
          <w:highlight w:val="none"/>
        </w:rPr>
        <w:t>17.4 因不可抗力解除合同</w:t>
      </w:r>
    </w:p>
    <w:p w14:paraId="0AF93D05">
      <w:pPr>
        <w:spacing w:line="480" w:lineRule="exact"/>
        <w:rPr>
          <w:rFonts w:hint="eastAsia" w:ascii="宋体" w:hAnsi="宋体"/>
          <w:color w:val="auto"/>
          <w:szCs w:val="21"/>
          <w:highlight w:val="none"/>
        </w:rPr>
      </w:pPr>
      <w:r>
        <w:rPr>
          <w:rFonts w:ascii="宋体" w:hAnsi="宋体"/>
          <w:color w:val="auto"/>
          <w:szCs w:val="21"/>
          <w:highlight w:val="none"/>
        </w:rPr>
        <w:t>合同解除后，发包人应在商定或确定发包人应支付款项后</w:t>
      </w:r>
      <w:r>
        <w:rPr>
          <w:rFonts w:ascii="宋体" w:hAnsi="宋体"/>
          <w:color w:val="auto"/>
          <w:szCs w:val="21"/>
          <w:highlight w:val="none"/>
          <w:u w:val="single"/>
        </w:rPr>
        <w:t xml:space="preserve">    </w:t>
      </w:r>
      <w:r>
        <w:rPr>
          <w:rFonts w:ascii="宋体" w:hAnsi="宋体"/>
          <w:color w:val="auto"/>
          <w:szCs w:val="21"/>
          <w:highlight w:val="none"/>
        </w:rPr>
        <w:t>天内完成款项的支付。</w:t>
      </w:r>
    </w:p>
    <w:p w14:paraId="35443DCC">
      <w:pPr>
        <w:spacing w:line="480" w:lineRule="exact"/>
        <w:rPr>
          <w:rFonts w:hint="eastAsia" w:ascii="宋体" w:hAnsi="宋体"/>
          <w:color w:val="auto"/>
          <w:szCs w:val="21"/>
          <w:highlight w:val="none"/>
        </w:rPr>
      </w:pPr>
      <w:bookmarkStart w:id="974" w:name="_Toc351203650"/>
      <w:r>
        <w:rPr>
          <w:rFonts w:ascii="宋体" w:hAnsi="宋体"/>
          <w:color w:val="auto"/>
          <w:szCs w:val="21"/>
          <w:highlight w:val="none"/>
        </w:rPr>
        <w:t>18. 保险</w:t>
      </w:r>
      <w:bookmarkEnd w:id="974"/>
    </w:p>
    <w:bookmarkEnd w:id="972"/>
    <w:p w14:paraId="4C246CD1">
      <w:pPr>
        <w:spacing w:line="480" w:lineRule="exact"/>
        <w:rPr>
          <w:rFonts w:hint="eastAsia" w:ascii="宋体" w:hAnsi="宋体"/>
          <w:color w:val="auto"/>
          <w:szCs w:val="21"/>
          <w:highlight w:val="none"/>
        </w:rPr>
      </w:pPr>
      <w:r>
        <w:rPr>
          <w:rFonts w:ascii="宋体" w:hAnsi="宋体"/>
          <w:color w:val="auto"/>
          <w:szCs w:val="21"/>
          <w:highlight w:val="none"/>
        </w:rPr>
        <w:t>18.1 工程保险</w:t>
      </w:r>
    </w:p>
    <w:p w14:paraId="5AF65156">
      <w:pPr>
        <w:spacing w:line="480" w:lineRule="exact"/>
        <w:rPr>
          <w:rFonts w:hint="eastAsia" w:ascii="宋体" w:hAnsi="宋体"/>
          <w:color w:val="auto"/>
          <w:szCs w:val="21"/>
          <w:highlight w:val="none"/>
        </w:rPr>
      </w:pPr>
      <w:r>
        <w:rPr>
          <w:rFonts w:ascii="宋体" w:hAnsi="宋体"/>
          <w:color w:val="auto"/>
          <w:szCs w:val="21"/>
          <w:highlight w:val="none"/>
        </w:rPr>
        <w:t>关于工程保险的特别约定：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2CF0C4B">
      <w:pPr>
        <w:spacing w:line="480" w:lineRule="exact"/>
        <w:rPr>
          <w:rFonts w:hint="eastAsia" w:ascii="宋体" w:hAnsi="宋体"/>
          <w:color w:val="auto"/>
          <w:szCs w:val="21"/>
          <w:highlight w:val="none"/>
        </w:rPr>
      </w:pPr>
      <w:r>
        <w:rPr>
          <w:rFonts w:ascii="宋体" w:hAnsi="宋体"/>
          <w:color w:val="auto"/>
          <w:szCs w:val="21"/>
          <w:highlight w:val="none"/>
        </w:rPr>
        <w:t>18.3 其他保险</w:t>
      </w:r>
    </w:p>
    <w:p w14:paraId="1C02A3AA">
      <w:pPr>
        <w:spacing w:line="480" w:lineRule="exact"/>
        <w:rPr>
          <w:rFonts w:hint="eastAsia" w:ascii="宋体" w:hAnsi="宋体"/>
          <w:color w:val="auto"/>
          <w:kern w:val="0"/>
          <w:szCs w:val="21"/>
          <w:highlight w:val="none"/>
        </w:rPr>
      </w:pPr>
      <w:r>
        <w:rPr>
          <w:rFonts w:ascii="宋体" w:hAnsi="宋体"/>
          <w:color w:val="auto"/>
          <w:szCs w:val="21"/>
          <w:highlight w:val="none"/>
        </w:rPr>
        <w:t>关于其他保险的约定：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2EDFB86">
      <w:pPr>
        <w:spacing w:line="480" w:lineRule="exact"/>
        <w:rPr>
          <w:rFonts w:hint="eastAsia" w:ascii="宋体" w:hAnsi="宋体"/>
          <w:color w:val="auto"/>
          <w:kern w:val="0"/>
          <w:szCs w:val="21"/>
          <w:highlight w:val="none"/>
        </w:rPr>
      </w:pPr>
      <w:r>
        <w:rPr>
          <w:rFonts w:ascii="宋体" w:hAnsi="宋体"/>
          <w:color w:val="auto"/>
          <w:szCs w:val="21"/>
          <w:highlight w:val="none"/>
        </w:rPr>
        <w:t>承包人是否应为其施工设备等办理财产保险：</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69EE55B">
      <w:pPr>
        <w:spacing w:line="480" w:lineRule="exact"/>
        <w:rPr>
          <w:rFonts w:hint="eastAsia" w:ascii="宋体" w:hAnsi="宋体"/>
          <w:color w:val="auto"/>
          <w:szCs w:val="21"/>
          <w:highlight w:val="none"/>
        </w:rPr>
      </w:pPr>
      <w:r>
        <w:rPr>
          <w:rFonts w:ascii="宋体" w:hAnsi="宋体"/>
          <w:color w:val="auto"/>
          <w:szCs w:val="21"/>
          <w:highlight w:val="none"/>
        </w:rPr>
        <w:t>18.7 通知义务</w:t>
      </w:r>
    </w:p>
    <w:p w14:paraId="5330B9E3">
      <w:pPr>
        <w:spacing w:line="480" w:lineRule="exact"/>
        <w:rPr>
          <w:rFonts w:hint="eastAsia" w:ascii="宋体" w:hAnsi="宋体"/>
          <w:color w:val="auto"/>
          <w:szCs w:val="21"/>
          <w:highlight w:val="none"/>
        </w:rPr>
      </w:pPr>
      <w:r>
        <w:rPr>
          <w:rFonts w:ascii="宋体" w:hAnsi="宋体"/>
          <w:color w:val="auto"/>
          <w:kern w:val="0"/>
          <w:szCs w:val="21"/>
          <w:highlight w:val="none"/>
        </w:rPr>
        <w:t>关于变更保险合同时的通知义务的约定：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948"/>
    <w:bookmarkEnd w:id="949"/>
    <w:bookmarkEnd w:id="950"/>
    <w:bookmarkEnd w:id="951"/>
    <w:bookmarkEnd w:id="952"/>
    <w:bookmarkEnd w:id="953"/>
    <w:bookmarkEnd w:id="954"/>
    <w:bookmarkEnd w:id="955"/>
    <w:bookmarkEnd w:id="956"/>
    <w:bookmarkEnd w:id="957"/>
    <w:bookmarkEnd w:id="958"/>
    <w:bookmarkEnd w:id="959"/>
    <w:p w14:paraId="756671DF">
      <w:pPr>
        <w:spacing w:line="480" w:lineRule="exact"/>
        <w:rPr>
          <w:rFonts w:hint="eastAsia" w:ascii="宋体" w:hAnsi="宋体"/>
          <w:color w:val="auto"/>
          <w:szCs w:val="21"/>
          <w:highlight w:val="none"/>
        </w:rPr>
      </w:pPr>
      <w:bookmarkStart w:id="975" w:name="_Toc351203651"/>
      <w:r>
        <w:rPr>
          <w:rFonts w:ascii="宋体" w:hAnsi="宋体"/>
          <w:color w:val="auto"/>
          <w:szCs w:val="21"/>
          <w:highlight w:val="none"/>
        </w:rPr>
        <w:t>20. 争议解决</w:t>
      </w:r>
      <w:bookmarkEnd w:id="975"/>
    </w:p>
    <w:bookmarkEnd w:id="960"/>
    <w:bookmarkEnd w:id="961"/>
    <w:p w14:paraId="7689E1EA">
      <w:pPr>
        <w:spacing w:line="480" w:lineRule="exact"/>
        <w:rPr>
          <w:rFonts w:hint="eastAsia" w:ascii="宋体" w:hAnsi="宋体"/>
          <w:color w:val="auto"/>
          <w:szCs w:val="21"/>
          <w:highlight w:val="none"/>
        </w:rPr>
      </w:pPr>
      <w:r>
        <w:rPr>
          <w:rFonts w:ascii="宋体" w:hAnsi="宋体"/>
          <w:color w:val="auto"/>
          <w:szCs w:val="21"/>
          <w:highlight w:val="none"/>
        </w:rPr>
        <w:t>20.3 争</w:t>
      </w:r>
      <w:bookmarkEnd w:id="962"/>
      <w:r>
        <w:rPr>
          <w:rFonts w:ascii="宋体" w:hAnsi="宋体"/>
          <w:color w:val="auto"/>
          <w:szCs w:val="21"/>
          <w:highlight w:val="none"/>
        </w:rPr>
        <w:t>议评审</w:t>
      </w:r>
    </w:p>
    <w:p w14:paraId="27DEE02F">
      <w:pPr>
        <w:spacing w:line="480" w:lineRule="exact"/>
        <w:rPr>
          <w:rFonts w:hint="eastAsia" w:ascii="宋体" w:hAnsi="宋体"/>
          <w:color w:val="auto"/>
          <w:szCs w:val="21"/>
          <w:highlight w:val="none"/>
        </w:rPr>
      </w:pPr>
      <w:r>
        <w:rPr>
          <w:rFonts w:ascii="宋体" w:hAnsi="宋体"/>
          <w:color w:val="auto"/>
          <w:szCs w:val="21"/>
          <w:highlight w:val="none"/>
        </w:rPr>
        <w:t>合同当事人是否同意将工程争议提交争议评审小组决</w:t>
      </w:r>
      <w:r>
        <w:rPr>
          <w:rFonts w:hint="eastAsia" w:ascii="宋体" w:hAnsi="宋体"/>
          <w:color w:val="auto"/>
          <w:szCs w:val="21"/>
          <w:highlight w:val="none"/>
        </w:rPr>
        <w:t>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7153940">
      <w:pPr>
        <w:spacing w:line="480" w:lineRule="exact"/>
        <w:rPr>
          <w:rFonts w:hint="eastAsia" w:ascii="宋体" w:hAnsi="宋体"/>
          <w:color w:val="auto"/>
          <w:szCs w:val="21"/>
          <w:highlight w:val="none"/>
        </w:rPr>
      </w:pPr>
      <w:r>
        <w:rPr>
          <w:rFonts w:ascii="宋体" w:hAnsi="宋体"/>
          <w:color w:val="auto"/>
          <w:szCs w:val="21"/>
          <w:highlight w:val="none"/>
        </w:rPr>
        <w:t>20.3.1 争议评审小组的确定</w:t>
      </w:r>
    </w:p>
    <w:p w14:paraId="14F7453F">
      <w:pPr>
        <w:spacing w:line="480" w:lineRule="exact"/>
        <w:rPr>
          <w:rFonts w:hint="eastAsia" w:ascii="宋体" w:hAnsi="宋体"/>
          <w:color w:val="auto"/>
          <w:szCs w:val="21"/>
          <w:highlight w:val="none"/>
          <w:u w:val="single"/>
        </w:rPr>
      </w:pPr>
      <w:r>
        <w:rPr>
          <w:rFonts w:ascii="宋体" w:hAnsi="宋体"/>
          <w:color w:val="auto"/>
          <w:szCs w:val="21"/>
          <w:highlight w:val="none"/>
        </w:rPr>
        <w:t>争议评审小组成员的确定：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1895AE3">
      <w:pPr>
        <w:spacing w:line="480" w:lineRule="exact"/>
        <w:rPr>
          <w:rFonts w:hint="eastAsia" w:ascii="宋体" w:hAnsi="宋体"/>
          <w:color w:val="auto"/>
          <w:szCs w:val="21"/>
          <w:highlight w:val="none"/>
        </w:rPr>
      </w:pPr>
      <w:r>
        <w:rPr>
          <w:rFonts w:ascii="宋体" w:hAnsi="宋体"/>
          <w:color w:val="auto"/>
          <w:szCs w:val="21"/>
          <w:highlight w:val="none"/>
        </w:rPr>
        <w:t>选定争议评审员的期限：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E0F83A9">
      <w:pPr>
        <w:spacing w:line="480" w:lineRule="exact"/>
        <w:rPr>
          <w:rFonts w:hint="eastAsia" w:ascii="宋体" w:hAnsi="宋体"/>
          <w:color w:val="auto"/>
          <w:szCs w:val="21"/>
          <w:highlight w:val="none"/>
        </w:rPr>
      </w:pPr>
      <w:r>
        <w:rPr>
          <w:rFonts w:ascii="宋体" w:hAnsi="宋体"/>
          <w:color w:val="auto"/>
          <w:szCs w:val="21"/>
          <w:highlight w:val="none"/>
        </w:rPr>
        <w:t>争议评审小组成员的报酬承担方式：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E035B03">
      <w:pPr>
        <w:spacing w:line="480" w:lineRule="exact"/>
        <w:rPr>
          <w:rFonts w:hint="eastAsia" w:ascii="宋体" w:hAnsi="宋体"/>
          <w:color w:val="auto"/>
          <w:szCs w:val="21"/>
          <w:highlight w:val="none"/>
        </w:rPr>
      </w:pPr>
      <w:r>
        <w:rPr>
          <w:rFonts w:ascii="宋体" w:hAnsi="宋体"/>
          <w:color w:val="auto"/>
          <w:szCs w:val="21"/>
          <w:highlight w:val="none"/>
        </w:rPr>
        <w:t>其他事项的约定：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00345D3">
      <w:pPr>
        <w:spacing w:line="480" w:lineRule="exact"/>
        <w:rPr>
          <w:rFonts w:hint="eastAsia" w:ascii="宋体" w:hAnsi="宋体"/>
          <w:color w:val="auto"/>
          <w:kern w:val="0"/>
          <w:szCs w:val="21"/>
          <w:highlight w:val="none"/>
        </w:rPr>
      </w:pPr>
      <w:r>
        <w:rPr>
          <w:rFonts w:ascii="宋体" w:hAnsi="宋体"/>
          <w:color w:val="auto"/>
          <w:kern w:val="0"/>
          <w:szCs w:val="21"/>
          <w:highlight w:val="none"/>
        </w:rPr>
        <w:t>20.3.2 争议评审小组的决定</w:t>
      </w:r>
    </w:p>
    <w:p w14:paraId="05B95AE8">
      <w:pPr>
        <w:spacing w:line="480" w:lineRule="exact"/>
        <w:rPr>
          <w:rFonts w:hint="eastAsia" w:ascii="宋体" w:hAnsi="宋体"/>
          <w:color w:val="auto"/>
          <w:szCs w:val="21"/>
          <w:highlight w:val="none"/>
        </w:rPr>
      </w:pPr>
      <w:r>
        <w:rPr>
          <w:rFonts w:ascii="宋体" w:hAnsi="宋体"/>
          <w:color w:val="auto"/>
          <w:szCs w:val="21"/>
          <w:highlight w:val="none"/>
        </w:rPr>
        <w:t>合同当事人关于本项的约定：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0DCD630">
      <w:pPr>
        <w:spacing w:line="480" w:lineRule="exact"/>
        <w:rPr>
          <w:rFonts w:hint="eastAsia" w:ascii="宋体" w:hAnsi="宋体"/>
          <w:color w:val="auto"/>
          <w:szCs w:val="21"/>
          <w:highlight w:val="none"/>
        </w:rPr>
      </w:pPr>
      <w:r>
        <w:rPr>
          <w:rFonts w:ascii="宋体" w:hAnsi="宋体"/>
          <w:color w:val="auto"/>
          <w:szCs w:val="21"/>
          <w:highlight w:val="none"/>
        </w:rPr>
        <w:t>20.4仲裁或诉讼</w:t>
      </w:r>
      <w:bookmarkEnd w:id="963"/>
    </w:p>
    <w:p w14:paraId="1DE69387">
      <w:pPr>
        <w:spacing w:line="480" w:lineRule="exact"/>
        <w:rPr>
          <w:rFonts w:hint="eastAsia" w:ascii="宋体" w:hAnsi="宋体"/>
          <w:color w:val="auto"/>
          <w:szCs w:val="21"/>
          <w:highlight w:val="none"/>
        </w:rPr>
      </w:pPr>
      <w:r>
        <w:rPr>
          <w:rFonts w:ascii="宋体" w:hAnsi="宋体"/>
          <w:color w:val="auto"/>
          <w:szCs w:val="21"/>
          <w:highlight w:val="none"/>
        </w:rPr>
        <w:t>因合同及合同有关事项发生的争议，按下列第</w:t>
      </w:r>
      <w:r>
        <w:rPr>
          <w:rFonts w:ascii="宋体" w:hAnsi="宋体"/>
          <w:color w:val="auto"/>
          <w:szCs w:val="21"/>
          <w:highlight w:val="none"/>
          <w:u w:val="single"/>
        </w:rPr>
        <w:t xml:space="preserve">     </w:t>
      </w:r>
      <w:r>
        <w:rPr>
          <w:rFonts w:ascii="宋体" w:hAnsi="宋体"/>
          <w:color w:val="auto"/>
          <w:szCs w:val="21"/>
          <w:highlight w:val="none"/>
        </w:rPr>
        <w:t>种方式</w:t>
      </w:r>
      <w:r>
        <w:rPr>
          <w:rFonts w:hint="eastAsia" w:ascii="宋体" w:hAnsi="宋体"/>
          <w:color w:val="auto"/>
          <w:szCs w:val="21"/>
          <w:highlight w:val="none"/>
        </w:rPr>
        <w:t>解</w:t>
      </w:r>
      <w:r>
        <w:rPr>
          <w:rFonts w:ascii="宋体" w:hAnsi="宋体"/>
          <w:color w:val="auto"/>
          <w:szCs w:val="21"/>
          <w:highlight w:val="none"/>
        </w:rPr>
        <w:t>决：</w:t>
      </w:r>
    </w:p>
    <w:p w14:paraId="33143E81">
      <w:pPr>
        <w:spacing w:line="480" w:lineRule="exact"/>
        <w:rPr>
          <w:rFonts w:hint="eastAsia"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7D91C5B0">
      <w:pPr>
        <w:spacing w:line="480" w:lineRule="exact"/>
        <w:rPr>
          <w:rFonts w:hint="eastAsia"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ascii="宋体" w:hAnsi="宋体"/>
          <w:color w:val="auto"/>
          <w:szCs w:val="21"/>
          <w:highlight w:val="none"/>
        </w:rPr>
        <w:t>人民法院起诉。</w:t>
      </w:r>
      <w:bookmarkEnd w:id="964"/>
      <w:bookmarkEnd w:id="965"/>
      <w:bookmarkEnd w:id="966"/>
      <w:bookmarkEnd w:id="967"/>
      <w:bookmarkEnd w:id="968"/>
      <w:bookmarkEnd w:id="969"/>
    </w:p>
    <w:p w14:paraId="7A579ABB">
      <w:pPr>
        <w:spacing w:line="480" w:lineRule="exact"/>
        <w:rPr>
          <w:rFonts w:hint="eastAsia" w:ascii="宋体" w:hAnsi="宋体"/>
          <w:color w:val="auto"/>
          <w:szCs w:val="21"/>
          <w:highlight w:val="none"/>
        </w:rPr>
      </w:pPr>
      <w:r>
        <w:rPr>
          <w:rFonts w:ascii="宋体" w:hAnsi="宋体"/>
          <w:color w:val="auto"/>
          <w:szCs w:val="21"/>
          <w:highlight w:val="none"/>
        </w:rPr>
        <w:br w:type="page"/>
      </w:r>
      <w:bookmarkStart w:id="976" w:name="_Toc351203652"/>
      <w:r>
        <w:rPr>
          <w:rFonts w:ascii="宋体" w:hAnsi="宋体"/>
          <w:color w:val="auto"/>
          <w:szCs w:val="21"/>
          <w:highlight w:val="none"/>
        </w:rPr>
        <w:t>附件</w:t>
      </w:r>
      <w:bookmarkEnd w:id="976"/>
    </w:p>
    <w:p w14:paraId="028F4434">
      <w:pPr>
        <w:spacing w:line="480" w:lineRule="exact"/>
        <w:rPr>
          <w:rFonts w:hint="eastAsia" w:ascii="宋体" w:hAnsi="宋体"/>
          <w:color w:val="auto"/>
          <w:szCs w:val="21"/>
          <w:highlight w:val="none"/>
        </w:rPr>
      </w:pPr>
      <w:r>
        <w:rPr>
          <w:rFonts w:hint="eastAsia" w:ascii="宋体" w:hAnsi="宋体"/>
          <w:color w:val="auto"/>
          <w:szCs w:val="21"/>
          <w:highlight w:val="none"/>
        </w:rPr>
        <w:t>协议书附件：</w:t>
      </w:r>
    </w:p>
    <w:p w14:paraId="66E9D33B">
      <w:pPr>
        <w:spacing w:line="480" w:lineRule="exact"/>
        <w:rPr>
          <w:rFonts w:hint="eastAsia" w:ascii="宋体" w:hAnsi="宋体"/>
          <w:color w:val="auto"/>
          <w:szCs w:val="21"/>
          <w:highlight w:val="none"/>
        </w:rPr>
      </w:pPr>
      <w:r>
        <w:rPr>
          <w:rFonts w:ascii="宋体" w:hAnsi="宋体"/>
          <w:color w:val="auto"/>
          <w:szCs w:val="21"/>
          <w:highlight w:val="none"/>
        </w:rPr>
        <w:t>附件1：承包人承揽工程项目一览表</w:t>
      </w:r>
    </w:p>
    <w:p w14:paraId="66AE42F3">
      <w:pPr>
        <w:spacing w:line="480" w:lineRule="exact"/>
        <w:rPr>
          <w:rFonts w:hint="eastAsia" w:ascii="宋体" w:hAnsi="宋体"/>
          <w:color w:val="auto"/>
          <w:szCs w:val="21"/>
          <w:highlight w:val="none"/>
        </w:rPr>
      </w:pPr>
      <w:r>
        <w:rPr>
          <w:rFonts w:hint="eastAsia" w:ascii="宋体" w:hAnsi="宋体"/>
          <w:color w:val="auto"/>
          <w:szCs w:val="21"/>
          <w:highlight w:val="none"/>
        </w:rPr>
        <w:t>专用合同条款附件：</w:t>
      </w:r>
    </w:p>
    <w:p w14:paraId="44B86218">
      <w:pPr>
        <w:spacing w:line="480" w:lineRule="exact"/>
        <w:rPr>
          <w:rFonts w:hint="eastAsia" w:ascii="宋体" w:hAnsi="宋体"/>
          <w:color w:val="auto"/>
          <w:szCs w:val="21"/>
          <w:highlight w:val="none"/>
        </w:rPr>
      </w:pPr>
      <w:r>
        <w:rPr>
          <w:rFonts w:ascii="宋体" w:hAnsi="宋体"/>
          <w:color w:val="auto"/>
          <w:szCs w:val="21"/>
          <w:highlight w:val="none"/>
        </w:rPr>
        <w:t>附件2：发包人供应材料设备一览表</w:t>
      </w:r>
    </w:p>
    <w:p w14:paraId="3675A215">
      <w:pPr>
        <w:spacing w:line="480" w:lineRule="exact"/>
        <w:rPr>
          <w:rFonts w:hint="eastAsia" w:ascii="宋体" w:hAnsi="宋体"/>
          <w:color w:val="auto"/>
          <w:szCs w:val="21"/>
          <w:highlight w:val="none"/>
        </w:rPr>
      </w:pPr>
      <w:r>
        <w:rPr>
          <w:rFonts w:ascii="宋体" w:hAnsi="宋体"/>
          <w:color w:val="auto"/>
          <w:szCs w:val="21"/>
          <w:highlight w:val="none"/>
        </w:rPr>
        <w:t>附件3：工程质量保修书</w:t>
      </w:r>
    </w:p>
    <w:p w14:paraId="4751770C">
      <w:pPr>
        <w:spacing w:line="480" w:lineRule="exact"/>
        <w:rPr>
          <w:rFonts w:hint="eastAsia" w:ascii="宋体" w:hAnsi="宋体"/>
          <w:color w:val="auto"/>
          <w:szCs w:val="21"/>
          <w:highlight w:val="none"/>
        </w:rPr>
      </w:pPr>
      <w:r>
        <w:rPr>
          <w:rFonts w:ascii="宋体" w:hAnsi="宋体"/>
          <w:color w:val="auto"/>
          <w:szCs w:val="21"/>
          <w:highlight w:val="none"/>
        </w:rPr>
        <w:t>附件4：主要建设工程文件目录</w:t>
      </w:r>
    </w:p>
    <w:p w14:paraId="60177283">
      <w:pPr>
        <w:spacing w:line="480" w:lineRule="exact"/>
        <w:rPr>
          <w:rFonts w:hint="eastAsia" w:ascii="宋体" w:hAnsi="宋体"/>
          <w:color w:val="auto"/>
          <w:szCs w:val="21"/>
          <w:highlight w:val="none"/>
        </w:rPr>
      </w:pPr>
      <w:r>
        <w:rPr>
          <w:rFonts w:ascii="宋体" w:hAnsi="宋体"/>
          <w:color w:val="auto"/>
          <w:szCs w:val="21"/>
          <w:highlight w:val="none"/>
        </w:rPr>
        <w:t>附件5：承包人用于本工程施工的机械设备表</w:t>
      </w:r>
    </w:p>
    <w:p w14:paraId="2FE32B2E">
      <w:pPr>
        <w:spacing w:line="480" w:lineRule="exact"/>
        <w:rPr>
          <w:rFonts w:hint="eastAsia" w:ascii="宋体" w:hAnsi="宋体"/>
          <w:color w:val="auto"/>
          <w:szCs w:val="21"/>
          <w:highlight w:val="none"/>
        </w:rPr>
      </w:pPr>
      <w:r>
        <w:rPr>
          <w:rFonts w:ascii="宋体" w:hAnsi="宋体"/>
          <w:color w:val="auto"/>
          <w:szCs w:val="21"/>
          <w:highlight w:val="none"/>
        </w:rPr>
        <w:t>附件6：承包人主要施工管理人员表</w:t>
      </w:r>
    </w:p>
    <w:p w14:paraId="4A2C4484">
      <w:pPr>
        <w:spacing w:line="480" w:lineRule="exact"/>
        <w:rPr>
          <w:rFonts w:hint="eastAsia" w:ascii="宋体" w:hAnsi="宋体"/>
          <w:color w:val="auto"/>
          <w:szCs w:val="21"/>
          <w:highlight w:val="none"/>
        </w:rPr>
      </w:pPr>
      <w:r>
        <w:rPr>
          <w:rFonts w:ascii="宋体" w:hAnsi="宋体"/>
          <w:color w:val="auto"/>
          <w:szCs w:val="21"/>
          <w:highlight w:val="none"/>
        </w:rPr>
        <w:t>附件7：分包人主要施工管理人员表</w:t>
      </w:r>
    </w:p>
    <w:p w14:paraId="3A133824">
      <w:pPr>
        <w:spacing w:line="480" w:lineRule="exact"/>
        <w:rPr>
          <w:rFonts w:hint="eastAsia" w:ascii="宋体" w:hAnsi="宋体"/>
          <w:bCs/>
          <w:color w:val="auto"/>
          <w:szCs w:val="21"/>
          <w:highlight w:val="none"/>
        </w:rPr>
      </w:pPr>
      <w:r>
        <w:rPr>
          <w:rFonts w:ascii="宋体" w:hAnsi="宋体"/>
          <w:color w:val="auto"/>
          <w:szCs w:val="21"/>
          <w:highlight w:val="none"/>
        </w:rPr>
        <w:t>附件8：履约担保格式</w:t>
      </w:r>
      <w:r>
        <w:rPr>
          <w:rFonts w:hint="eastAsia" w:ascii="宋体" w:hAnsi="宋体"/>
          <w:bCs/>
          <w:color w:val="auto"/>
          <w:szCs w:val="21"/>
          <w:highlight w:val="none"/>
        </w:rPr>
        <w:t>（采用经评审的最低投标价法的，中标履约担保格式见本章附件4-</w:t>
      </w:r>
      <w:r>
        <w:rPr>
          <w:rFonts w:ascii="宋体" w:hAnsi="宋体"/>
          <w:bCs/>
          <w:color w:val="auto"/>
          <w:szCs w:val="21"/>
          <w:highlight w:val="none"/>
        </w:rPr>
        <w:t>1</w:t>
      </w:r>
      <w:r>
        <w:rPr>
          <w:rFonts w:hint="eastAsia" w:ascii="宋体" w:hAnsi="宋体"/>
          <w:bCs/>
          <w:color w:val="auto"/>
          <w:szCs w:val="21"/>
          <w:highlight w:val="none"/>
        </w:rPr>
        <w:t>）</w:t>
      </w:r>
    </w:p>
    <w:p w14:paraId="06E5892D">
      <w:pPr>
        <w:spacing w:line="480" w:lineRule="exact"/>
        <w:rPr>
          <w:rFonts w:hint="eastAsia" w:ascii="宋体" w:hAnsi="宋体"/>
          <w:color w:val="auto"/>
          <w:szCs w:val="21"/>
          <w:highlight w:val="none"/>
        </w:rPr>
      </w:pPr>
      <w:r>
        <w:rPr>
          <w:rFonts w:ascii="宋体" w:hAnsi="宋体"/>
          <w:color w:val="auto"/>
          <w:szCs w:val="21"/>
          <w:highlight w:val="none"/>
        </w:rPr>
        <w:t>附件9：预付款担保格式</w:t>
      </w:r>
    </w:p>
    <w:p w14:paraId="460F943D">
      <w:pPr>
        <w:spacing w:line="480" w:lineRule="exact"/>
        <w:rPr>
          <w:rFonts w:hint="eastAsia" w:ascii="宋体" w:hAnsi="宋体"/>
          <w:color w:val="auto"/>
          <w:szCs w:val="21"/>
          <w:highlight w:val="none"/>
        </w:rPr>
      </w:pPr>
      <w:r>
        <w:rPr>
          <w:rFonts w:ascii="宋体" w:hAnsi="宋体"/>
          <w:color w:val="auto"/>
          <w:szCs w:val="21"/>
          <w:highlight w:val="none"/>
        </w:rPr>
        <w:t>附件10：支付担保格式</w:t>
      </w:r>
    </w:p>
    <w:p w14:paraId="303A43D3">
      <w:pPr>
        <w:spacing w:line="480" w:lineRule="exact"/>
        <w:rPr>
          <w:rFonts w:hint="eastAsia" w:ascii="宋体" w:hAnsi="宋体"/>
          <w:color w:val="auto"/>
          <w:szCs w:val="21"/>
          <w:highlight w:val="none"/>
        </w:rPr>
      </w:pPr>
      <w:r>
        <w:rPr>
          <w:rFonts w:ascii="宋体" w:hAnsi="宋体"/>
          <w:color w:val="auto"/>
          <w:szCs w:val="21"/>
          <w:highlight w:val="none"/>
        </w:rPr>
        <w:t>附件11：暂估价一览表</w:t>
      </w:r>
    </w:p>
    <w:p w14:paraId="53FBE4DA">
      <w:pPr>
        <w:spacing w:line="480" w:lineRule="exact"/>
        <w:rPr>
          <w:rFonts w:hint="eastAsia" w:ascii="宋体" w:hAnsi="宋体"/>
          <w:color w:val="auto"/>
          <w:szCs w:val="21"/>
          <w:highlight w:val="none"/>
        </w:rPr>
      </w:pPr>
    </w:p>
    <w:p w14:paraId="7D071CC0">
      <w:pPr>
        <w:spacing w:line="480" w:lineRule="exact"/>
        <w:rPr>
          <w:rFonts w:hint="eastAsia" w:ascii="宋体" w:hAnsi="宋体"/>
          <w:bCs/>
          <w:color w:val="auto"/>
          <w:szCs w:val="21"/>
          <w:highlight w:val="none"/>
          <w:u w:val="single"/>
        </w:rPr>
      </w:pPr>
    </w:p>
    <w:p w14:paraId="5AE35342">
      <w:pPr>
        <w:spacing w:line="480" w:lineRule="exact"/>
        <w:rPr>
          <w:rFonts w:hint="eastAsia" w:ascii="宋体" w:hAnsi="宋体"/>
          <w:bCs/>
          <w:color w:val="auto"/>
          <w:szCs w:val="21"/>
          <w:highlight w:val="none"/>
          <w:u w:val="single"/>
        </w:rPr>
      </w:pPr>
    </w:p>
    <w:p w14:paraId="53F9809E">
      <w:pPr>
        <w:spacing w:line="480" w:lineRule="exact"/>
        <w:rPr>
          <w:rFonts w:hint="eastAsia" w:ascii="宋体" w:hAnsi="宋体"/>
          <w:bCs/>
          <w:color w:val="auto"/>
          <w:szCs w:val="21"/>
          <w:highlight w:val="none"/>
          <w:u w:val="single"/>
        </w:rPr>
      </w:pPr>
    </w:p>
    <w:p w14:paraId="4D26C98F">
      <w:pPr>
        <w:spacing w:line="480" w:lineRule="exact"/>
        <w:rPr>
          <w:rFonts w:hint="eastAsia" w:ascii="宋体" w:hAnsi="宋体"/>
          <w:bCs/>
          <w:color w:val="auto"/>
          <w:szCs w:val="21"/>
          <w:highlight w:val="none"/>
          <w:u w:val="single"/>
        </w:rPr>
      </w:pPr>
    </w:p>
    <w:p w14:paraId="4B7F7383">
      <w:pPr>
        <w:spacing w:line="480" w:lineRule="exact"/>
        <w:rPr>
          <w:rFonts w:hint="eastAsia" w:ascii="宋体" w:hAnsi="宋体"/>
          <w:bCs/>
          <w:color w:val="auto"/>
          <w:szCs w:val="21"/>
          <w:highlight w:val="none"/>
          <w:u w:val="single"/>
        </w:rPr>
      </w:pPr>
    </w:p>
    <w:p w14:paraId="1F4CCEC3">
      <w:pPr>
        <w:spacing w:line="480" w:lineRule="exact"/>
        <w:rPr>
          <w:rFonts w:hint="eastAsia" w:ascii="宋体" w:hAnsi="宋体"/>
          <w:bCs/>
          <w:color w:val="auto"/>
          <w:szCs w:val="21"/>
          <w:highlight w:val="none"/>
          <w:u w:val="single"/>
        </w:rPr>
      </w:pPr>
    </w:p>
    <w:p w14:paraId="04F8C65B">
      <w:pPr>
        <w:spacing w:line="480" w:lineRule="exact"/>
        <w:rPr>
          <w:rFonts w:hint="eastAsia" w:ascii="宋体" w:hAnsi="宋体"/>
          <w:bCs/>
          <w:color w:val="auto"/>
          <w:szCs w:val="21"/>
          <w:highlight w:val="none"/>
          <w:u w:val="single"/>
        </w:rPr>
      </w:pPr>
    </w:p>
    <w:p w14:paraId="6F7466FD">
      <w:pPr>
        <w:spacing w:line="480" w:lineRule="exact"/>
        <w:rPr>
          <w:rFonts w:hint="eastAsia" w:ascii="宋体" w:hAnsi="宋体"/>
          <w:bCs/>
          <w:color w:val="auto"/>
          <w:szCs w:val="21"/>
          <w:highlight w:val="none"/>
          <w:u w:val="single"/>
        </w:rPr>
      </w:pPr>
    </w:p>
    <w:p w14:paraId="11152875">
      <w:pPr>
        <w:spacing w:line="480" w:lineRule="exact"/>
        <w:rPr>
          <w:rFonts w:hint="eastAsia" w:ascii="宋体" w:hAnsi="宋体"/>
          <w:bCs/>
          <w:color w:val="auto"/>
          <w:szCs w:val="21"/>
          <w:highlight w:val="none"/>
          <w:u w:val="single"/>
        </w:rPr>
      </w:pPr>
    </w:p>
    <w:p w14:paraId="3D3A4E64">
      <w:pPr>
        <w:spacing w:line="480" w:lineRule="exact"/>
        <w:rPr>
          <w:rFonts w:hint="eastAsia" w:ascii="宋体" w:hAnsi="宋体"/>
          <w:bCs/>
          <w:color w:val="auto"/>
          <w:szCs w:val="21"/>
          <w:highlight w:val="none"/>
        </w:rPr>
      </w:pPr>
      <w:r>
        <w:rPr>
          <w:rFonts w:hint="eastAsia" w:ascii="宋体" w:hAnsi="宋体"/>
          <w:bCs/>
          <w:color w:val="auto"/>
          <w:szCs w:val="21"/>
          <w:highlight w:val="none"/>
        </w:rPr>
        <w:t>说明：请招标人根据《建设工程施工合同（示范文本）》（GF-2017-0201）的“附件”格式填写相关内容</w:t>
      </w:r>
    </w:p>
    <w:p w14:paraId="6EE2F61B">
      <w:pPr>
        <w:spacing w:line="480" w:lineRule="exact"/>
        <w:rPr>
          <w:rFonts w:hint="eastAsia" w:ascii="宋体" w:hAnsi="宋体"/>
          <w:color w:val="auto"/>
          <w:szCs w:val="21"/>
          <w:highlight w:val="none"/>
        </w:rPr>
        <w:sectPr>
          <w:footerReference r:id="rId16" w:type="first"/>
          <w:footerReference r:id="rId15" w:type="default"/>
          <w:pgSz w:w="11906" w:h="16838"/>
          <w:pgMar w:top="1417" w:right="1440" w:bottom="1417" w:left="1440" w:header="850" w:footer="850" w:gutter="0"/>
          <w:cols w:space="720" w:num="1"/>
          <w:titlePg/>
          <w:docGrid w:type="lines" w:linePitch="315" w:charSpace="0"/>
        </w:sectPr>
      </w:pPr>
    </w:p>
    <w:bookmarkEnd w:id="420"/>
    <w:p w14:paraId="7F3C4E30">
      <w:pPr>
        <w:rPr>
          <w:color w:val="auto"/>
          <w:szCs w:val="21"/>
          <w:highlight w:val="none"/>
        </w:rPr>
      </w:pPr>
      <w:r>
        <w:rPr>
          <w:rFonts w:hint="eastAsia"/>
          <w:color w:val="auto"/>
          <w:szCs w:val="21"/>
          <w:highlight w:val="none"/>
        </w:rPr>
        <w:t>附件4-1-1：</w:t>
      </w:r>
      <w:r>
        <w:rPr>
          <w:color w:val="auto"/>
          <w:szCs w:val="21"/>
          <w:highlight w:val="none"/>
        </w:rPr>
        <w:t>经评审</w:t>
      </w:r>
      <w:r>
        <w:rPr>
          <w:rFonts w:hint="eastAsia"/>
          <w:color w:val="auto"/>
          <w:szCs w:val="21"/>
          <w:highlight w:val="none"/>
        </w:rPr>
        <w:t>的</w:t>
      </w:r>
      <w:r>
        <w:rPr>
          <w:color w:val="auto"/>
          <w:szCs w:val="21"/>
          <w:highlight w:val="none"/>
        </w:rPr>
        <w:t>最低投标价法中标履约担保格式</w:t>
      </w:r>
    </w:p>
    <w:p w14:paraId="71A9AB33">
      <w:pPr>
        <w:jc w:val="center"/>
        <w:rPr>
          <w:rFonts w:eastAsia="黑体"/>
          <w:color w:val="auto"/>
          <w:sz w:val="30"/>
          <w:szCs w:val="30"/>
          <w:highlight w:val="none"/>
        </w:rPr>
      </w:pPr>
    </w:p>
    <w:p w14:paraId="4A2D9D54">
      <w:pPr>
        <w:jc w:val="center"/>
        <w:rPr>
          <w:rFonts w:eastAsia="黑体"/>
          <w:color w:val="auto"/>
          <w:sz w:val="30"/>
          <w:szCs w:val="30"/>
          <w:highlight w:val="none"/>
        </w:rPr>
      </w:pPr>
      <w:r>
        <w:rPr>
          <w:rFonts w:eastAsia="黑体"/>
          <w:color w:val="auto"/>
          <w:sz w:val="30"/>
          <w:szCs w:val="30"/>
          <w:highlight w:val="none"/>
        </w:rPr>
        <w:t>履约保函（格式）</w:t>
      </w:r>
    </w:p>
    <w:p w14:paraId="04C3A3AD">
      <w:pPr>
        <w:spacing w:line="360" w:lineRule="auto"/>
        <w:rPr>
          <w:color w:val="auto"/>
          <w:szCs w:val="32"/>
          <w:highlight w:val="none"/>
        </w:rPr>
      </w:pPr>
      <w:r>
        <w:rPr>
          <w:color w:val="auto"/>
          <w:szCs w:val="32"/>
          <w:highlight w:val="none"/>
          <w:u w:val="single"/>
        </w:rPr>
        <w:t xml:space="preserve">              </w:t>
      </w:r>
      <w:r>
        <w:rPr>
          <w:color w:val="auto"/>
          <w:szCs w:val="32"/>
          <w:highlight w:val="none"/>
        </w:rPr>
        <w:t>（受益人名称）：</w:t>
      </w:r>
    </w:p>
    <w:p w14:paraId="72689172">
      <w:pPr>
        <w:spacing w:line="360" w:lineRule="auto"/>
        <w:ind w:firstLine="420" w:firstLineChars="200"/>
        <w:rPr>
          <w:color w:val="auto"/>
          <w:szCs w:val="32"/>
          <w:highlight w:val="none"/>
        </w:rPr>
      </w:pPr>
      <w:r>
        <w:rPr>
          <w:color w:val="auto"/>
          <w:szCs w:val="32"/>
          <w:highlight w:val="none"/>
        </w:rPr>
        <w:t>鉴于你方作为招标人已经于</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日向</w:t>
      </w:r>
      <w:r>
        <w:rPr>
          <w:color w:val="auto"/>
          <w:szCs w:val="32"/>
          <w:highlight w:val="none"/>
          <w:u w:val="single"/>
        </w:rPr>
        <w:t xml:space="preserve">                              </w:t>
      </w:r>
      <w:r>
        <w:rPr>
          <w:color w:val="auto"/>
          <w:szCs w:val="32"/>
          <w:highlight w:val="none"/>
        </w:rPr>
        <w:t>公司（以下称“中标人”）发出</w:t>
      </w:r>
      <w:r>
        <w:rPr>
          <w:color w:val="auto"/>
          <w:szCs w:val="32"/>
          <w:highlight w:val="none"/>
          <w:u w:val="single"/>
        </w:rPr>
        <w:t xml:space="preserve">  （</w:t>
      </w:r>
      <w:r>
        <w:rPr>
          <w:rFonts w:hint="eastAsia"/>
          <w:color w:val="auto"/>
          <w:szCs w:val="32"/>
          <w:highlight w:val="none"/>
          <w:u w:val="single"/>
        </w:rPr>
        <w:t>招标项目及标段</w:t>
      </w:r>
      <w:r>
        <w:rPr>
          <w:color w:val="auto"/>
          <w:szCs w:val="32"/>
          <w:highlight w:val="none"/>
          <w:u w:val="single"/>
        </w:rPr>
        <w:t>）</w:t>
      </w:r>
      <w:r>
        <w:rPr>
          <w:rFonts w:hint="eastAsia"/>
          <w:color w:val="auto"/>
          <w:szCs w:val="32"/>
          <w:highlight w:val="none"/>
          <w:u w:val="single"/>
        </w:rPr>
        <w:t xml:space="preserve">  </w:t>
      </w:r>
      <w:r>
        <w:rPr>
          <w:color w:val="auto"/>
          <w:szCs w:val="32"/>
          <w:highlight w:val="none"/>
        </w:rPr>
        <w:t>发出中标通知书，我方愿意无条件、不可撤销地就中标人履行与你方签订的工程建设合同义务，向你方出具见索即付保函：</w:t>
      </w:r>
    </w:p>
    <w:p w14:paraId="6025A0A2">
      <w:pPr>
        <w:spacing w:line="360" w:lineRule="auto"/>
        <w:ind w:firstLine="420"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 xml:space="preserve"> 元（¥</w:t>
      </w:r>
      <w:r>
        <w:rPr>
          <w:color w:val="auto"/>
          <w:szCs w:val="32"/>
          <w:highlight w:val="none"/>
          <w:u w:val="single"/>
        </w:rPr>
        <w:t xml:space="preserve">             </w:t>
      </w:r>
      <w:r>
        <w:rPr>
          <w:color w:val="auto"/>
          <w:szCs w:val="32"/>
          <w:highlight w:val="none"/>
        </w:rPr>
        <w:t>）。</w:t>
      </w:r>
    </w:p>
    <w:p w14:paraId="29BBCA11">
      <w:pPr>
        <w:spacing w:line="360" w:lineRule="auto"/>
        <w:ind w:firstLine="420" w:firstLineChars="200"/>
        <w:rPr>
          <w:color w:val="auto"/>
          <w:szCs w:val="32"/>
          <w:highlight w:val="none"/>
        </w:rPr>
      </w:pPr>
      <w:r>
        <w:rPr>
          <w:color w:val="auto"/>
          <w:szCs w:val="32"/>
          <w:highlight w:val="none"/>
        </w:rPr>
        <w:t>2．本保函有效期自保函签发之日起至合同约定的主要义务履行完毕止，或者至我方收到你方与中标人共同签署的解除工程建设合同的书面通知书，或者建设工程中止施工超过3个月的书面通知书止。但本保函有效期最迟不超过</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14:paraId="6C566CC7">
      <w:pPr>
        <w:spacing w:line="360" w:lineRule="auto"/>
        <w:ind w:firstLine="420" w:firstLineChars="200"/>
        <w:rPr>
          <w:color w:val="auto"/>
          <w:szCs w:val="32"/>
          <w:highlight w:val="none"/>
        </w:rPr>
      </w:pPr>
      <w:r>
        <w:rPr>
          <w:color w:val="auto"/>
          <w:szCs w:val="32"/>
          <w:highlight w:val="none"/>
        </w:rPr>
        <w:t>3．在本保函有效期内，因中标人未能按照合同约定履行义务时，我方在收到你方提出的书面索赔通知以及本保函原件后，在10个工作日内无条件地向你方支付累计总额不超过本保函第1款约定的经济赔偿金。</w:t>
      </w:r>
    </w:p>
    <w:p w14:paraId="536CF572">
      <w:pPr>
        <w:spacing w:line="360" w:lineRule="auto"/>
        <w:ind w:firstLine="420" w:firstLineChars="200"/>
        <w:rPr>
          <w:color w:val="auto"/>
          <w:szCs w:val="32"/>
          <w:highlight w:val="none"/>
        </w:rPr>
      </w:pPr>
      <w:r>
        <w:rPr>
          <w:color w:val="auto"/>
          <w:szCs w:val="32"/>
          <w:highlight w:val="none"/>
        </w:rPr>
        <w:t>4．你方的索赔通知应当符合下列要求：</w:t>
      </w:r>
    </w:p>
    <w:p w14:paraId="53671509">
      <w:pPr>
        <w:spacing w:line="360" w:lineRule="auto"/>
        <w:ind w:firstLine="420" w:firstLineChars="200"/>
        <w:rPr>
          <w:color w:val="auto"/>
          <w:szCs w:val="32"/>
          <w:highlight w:val="none"/>
        </w:rPr>
      </w:pPr>
      <w:r>
        <w:rPr>
          <w:color w:val="auto"/>
          <w:szCs w:val="32"/>
          <w:highlight w:val="none"/>
        </w:rPr>
        <w:t>（1）索赔通知应当列明索赔金额，由你方加盖单位公章和法定代表人</w:t>
      </w:r>
      <w:r>
        <w:rPr>
          <w:rFonts w:hint="eastAsia"/>
          <w:color w:val="auto"/>
          <w:szCs w:val="32"/>
          <w:highlight w:val="none"/>
        </w:rPr>
        <w:t>电子公章</w:t>
      </w:r>
      <w:r>
        <w:rPr>
          <w:color w:val="auto"/>
          <w:szCs w:val="32"/>
          <w:highlight w:val="none"/>
        </w:rPr>
        <w:t>；</w:t>
      </w:r>
    </w:p>
    <w:p w14:paraId="33D8129F">
      <w:pPr>
        <w:spacing w:line="360" w:lineRule="auto"/>
        <w:ind w:firstLine="420"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14:paraId="5031A121">
      <w:pPr>
        <w:spacing w:line="360" w:lineRule="auto"/>
        <w:rPr>
          <w:color w:val="auto"/>
          <w:szCs w:val="32"/>
          <w:highlight w:val="none"/>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14:paraId="3C694390">
      <w:pPr>
        <w:spacing w:line="360" w:lineRule="auto"/>
        <w:ind w:firstLine="420" w:firstLineChars="200"/>
        <w:rPr>
          <w:color w:val="auto"/>
          <w:szCs w:val="32"/>
          <w:highlight w:val="none"/>
        </w:rPr>
      </w:pPr>
      <w:r>
        <w:rPr>
          <w:color w:val="auto"/>
          <w:szCs w:val="32"/>
          <w:highlight w:val="none"/>
        </w:rPr>
        <w:t>5．你方和中标人变更合同时，我方承担本保函规定的义务不变。</w:t>
      </w:r>
    </w:p>
    <w:p w14:paraId="09213D3E">
      <w:pPr>
        <w:spacing w:line="360" w:lineRule="auto"/>
        <w:ind w:firstLine="420" w:firstLineChars="200"/>
        <w:rPr>
          <w:color w:val="auto"/>
          <w:szCs w:val="32"/>
          <w:highlight w:val="none"/>
        </w:rPr>
      </w:pPr>
      <w:r>
        <w:rPr>
          <w:color w:val="auto"/>
          <w:szCs w:val="32"/>
          <w:highlight w:val="none"/>
        </w:rPr>
        <w:t>6．本保函项下的权利不得转让或设定担保。</w:t>
      </w:r>
    </w:p>
    <w:p w14:paraId="5CF8A835">
      <w:pPr>
        <w:spacing w:line="360" w:lineRule="auto"/>
        <w:ind w:firstLine="420" w:firstLineChars="200"/>
        <w:rPr>
          <w:color w:val="auto"/>
          <w:szCs w:val="32"/>
          <w:highlight w:val="none"/>
        </w:rPr>
      </w:pPr>
      <w:r>
        <w:rPr>
          <w:color w:val="auto"/>
          <w:szCs w:val="32"/>
          <w:highlight w:val="none"/>
        </w:rPr>
        <w:t>7．本保函有效期届满，或者我方收到你方与中标人共同签署的解除工程建设合同的书面通知书，或者建设工程项目中止施工超过3个月的书面通知书后，无论是否将保函原件退回我方，本保函自行失效。我方在本保函项下的保证责任解除，此后提出的要求我方履行担保责任的主张无效。</w:t>
      </w:r>
    </w:p>
    <w:p w14:paraId="7797B7CB">
      <w:pPr>
        <w:spacing w:line="360" w:lineRule="auto"/>
        <w:ind w:firstLine="420" w:firstLineChars="200"/>
        <w:rPr>
          <w:color w:val="auto"/>
          <w:szCs w:val="32"/>
          <w:highlight w:val="none"/>
        </w:rPr>
      </w:pPr>
      <w:r>
        <w:rPr>
          <w:color w:val="auto"/>
          <w:szCs w:val="32"/>
          <w:highlight w:val="none"/>
        </w:rPr>
        <w:t>8．本保函项下所有权利和义务均受中华人民共和国法律管辖和制约。</w:t>
      </w:r>
    </w:p>
    <w:p w14:paraId="3E6092DD">
      <w:pPr>
        <w:spacing w:line="360" w:lineRule="auto"/>
        <w:ind w:firstLine="420" w:firstLineChars="200"/>
        <w:rPr>
          <w:color w:val="auto"/>
          <w:szCs w:val="32"/>
          <w:highlight w:val="none"/>
        </w:rPr>
      </w:pPr>
    </w:p>
    <w:p w14:paraId="3E22DF28">
      <w:pPr>
        <w:spacing w:line="360" w:lineRule="auto"/>
        <w:ind w:firstLine="420" w:firstLineChars="200"/>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（盖章）</w:t>
      </w:r>
    </w:p>
    <w:p w14:paraId="40E03C6D">
      <w:pPr>
        <w:spacing w:line="360" w:lineRule="auto"/>
        <w:ind w:firstLine="420" w:firstLineChars="200"/>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14:paraId="269BF8F0">
      <w:pPr>
        <w:spacing w:line="360" w:lineRule="auto"/>
        <w:ind w:firstLine="420" w:firstLineChars="200"/>
        <w:rPr>
          <w:color w:val="auto"/>
          <w:szCs w:val="32"/>
          <w:highlight w:val="none"/>
        </w:rPr>
      </w:pPr>
      <w:r>
        <w:rPr>
          <w:color w:val="auto"/>
          <w:szCs w:val="32"/>
          <w:highlight w:val="none"/>
        </w:rPr>
        <w:t>地址：</w:t>
      </w:r>
      <w:r>
        <w:rPr>
          <w:color w:val="auto"/>
          <w:szCs w:val="32"/>
          <w:highlight w:val="none"/>
          <w:u w:val="single"/>
        </w:rPr>
        <w:t xml:space="preserve">                                           </w:t>
      </w:r>
    </w:p>
    <w:p w14:paraId="1A272057">
      <w:pPr>
        <w:spacing w:line="360" w:lineRule="auto"/>
        <w:ind w:firstLine="420" w:firstLineChars="200"/>
        <w:rPr>
          <w:color w:val="auto"/>
          <w:szCs w:val="32"/>
          <w:highlight w:val="none"/>
          <w:u w:val="single"/>
        </w:rPr>
      </w:pPr>
      <w:r>
        <w:rPr>
          <w:color w:val="auto"/>
          <w:szCs w:val="32"/>
          <w:highlight w:val="none"/>
        </w:rPr>
        <w:t>邮政编码：</w:t>
      </w:r>
      <w:r>
        <w:rPr>
          <w:color w:val="auto"/>
          <w:szCs w:val="32"/>
          <w:highlight w:val="none"/>
          <w:u w:val="single"/>
        </w:rPr>
        <w:t xml:space="preserve">                                       </w:t>
      </w:r>
    </w:p>
    <w:p w14:paraId="1766AAE9">
      <w:pPr>
        <w:spacing w:line="360" w:lineRule="auto"/>
        <w:ind w:firstLine="420" w:firstLineChars="200"/>
        <w:rPr>
          <w:color w:val="auto"/>
          <w:szCs w:val="32"/>
          <w:highlight w:val="none"/>
        </w:rPr>
      </w:pPr>
      <w:r>
        <w:rPr>
          <w:color w:val="auto"/>
          <w:szCs w:val="32"/>
          <w:highlight w:val="none"/>
        </w:rPr>
        <w:t>电话：</w:t>
      </w:r>
      <w:r>
        <w:rPr>
          <w:color w:val="auto"/>
          <w:szCs w:val="32"/>
          <w:highlight w:val="none"/>
          <w:u w:val="single"/>
        </w:rPr>
        <w:t xml:space="preserve">                                           </w:t>
      </w:r>
    </w:p>
    <w:p w14:paraId="1EAD6A7B">
      <w:pPr>
        <w:spacing w:line="360" w:lineRule="auto"/>
        <w:ind w:firstLine="420" w:firstLineChars="200"/>
        <w:rPr>
          <w:color w:val="auto"/>
          <w:szCs w:val="32"/>
          <w:highlight w:val="none"/>
          <w:u w:val="single"/>
        </w:rPr>
      </w:pPr>
      <w:r>
        <w:rPr>
          <w:color w:val="auto"/>
          <w:szCs w:val="32"/>
          <w:highlight w:val="none"/>
        </w:rPr>
        <w:t>传真：</w:t>
      </w:r>
      <w:r>
        <w:rPr>
          <w:color w:val="auto"/>
          <w:szCs w:val="32"/>
          <w:highlight w:val="none"/>
          <w:u w:val="single"/>
        </w:rPr>
        <w:t xml:space="preserve">                                           </w:t>
      </w:r>
    </w:p>
    <w:p w14:paraId="0E1E0E79">
      <w:pPr>
        <w:spacing w:line="360" w:lineRule="auto"/>
        <w:ind w:firstLine="420" w:firstLineChars="200"/>
        <w:rPr>
          <w:color w:val="auto"/>
          <w:szCs w:val="32"/>
          <w:highlight w:val="none"/>
        </w:rPr>
      </w:pPr>
    </w:p>
    <w:p w14:paraId="0F521E1B">
      <w:pPr>
        <w:spacing w:line="360" w:lineRule="auto"/>
        <w:ind w:firstLine="420" w:firstLineChars="2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14:paraId="01D53591">
      <w:pPr>
        <w:widowControl/>
        <w:jc w:val="left"/>
        <w:rPr>
          <w:color w:val="auto"/>
          <w:szCs w:val="32"/>
          <w:highlight w:val="none"/>
        </w:rPr>
      </w:pPr>
      <w:r>
        <w:rPr>
          <w:color w:val="auto"/>
          <w:szCs w:val="32"/>
          <w:highlight w:val="none"/>
        </w:rPr>
        <w:br w:type="page"/>
      </w:r>
    </w:p>
    <w:p w14:paraId="43F23435">
      <w:pPr>
        <w:rPr>
          <w:color w:val="auto"/>
          <w:szCs w:val="32"/>
          <w:highlight w:val="none"/>
        </w:rPr>
      </w:pPr>
      <w:r>
        <w:rPr>
          <w:rFonts w:hint="eastAsia"/>
          <w:color w:val="auto"/>
          <w:szCs w:val="21"/>
          <w:highlight w:val="none"/>
        </w:rPr>
        <w:t>附件4-1-2：</w:t>
      </w:r>
      <w:r>
        <w:rPr>
          <w:color w:val="auto"/>
          <w:szCs w:val="21"/>
          <w:highlight w:val="none"/>
        </w:rPr>
        <w:t>经评审</w:t>
      </w:r>
      <w:r>
        <w:rPr>
          <w:rFonts w:hint="eastAsia"/>
          <w:color w:val="auto"/>
          <w:szCs w:val="21"/>
          <w:highlight w:val="none"/>
        </w:rPr>
        <w:t>的</w:t>
      </w:r>
      <w:r>
        <w:rPr>
          <w:color w:val="auto"/>
          <w:szCs w:val="21"/>
          <w:highlight w:val="none"/>
        </w:rPr>
        <w:t>最低投标价法中标履约担保格式</w:t>
      </w:r>
    </w:p>
    <w:p w14:paraId="6720877D">
      <w:pPr>
        <w:jc w:val="center"/>
        <w:rPr>
          <w:rFonts w:eastAsia="黑体"/>
          <w:color w:val="auto"/>
          <w:sz w:val="30"/>
          <w:szCs w:val="30"/>
          <w:highlight w:val="none"/>
        </w:rPr>
      </w:pPr>
    </w:p>
    <w:p w14:paraId="1A670A70">
      <w:pPr>
        <w:jc w:val="center"/>
        <w:rPr>
          <w:rFonts w:eastAsia="黑体"/>
          <w:color w:val="auto"/>
          <w:sz w:val="30"/>
          <w:szCs w:val="30"/>
          <w:highlight w:val="none"/>
        </w:rPr>
      </w:pPr>
      <w:r>
        <w:rPr>
          <w:rFonts w:hint="eastAsia" w:eastAsia="黑体"/>
          <w:color w:val="auto"/>
          <w:sz w:val="30"/>
          <w:szCs w:val="30"/>
          <w:highlight w:val="none"/>
        </w:rPr>
        <w:t>建设工程施工履约保证保险</w:t>
      </w:r>
    </w:p>
    <w:p w14:paraId="398371A5">
      <w:pPr>
        <w:jc w:val="center"/>
        <w:rPr>
          <w:rFonts w:eastAsia="黑体"/>
          <w:color w:val="auto"/>
          <w:sz w:val="30"/>
          <w:szCs w:val="30"/>
          <w:highlight w:val="none"/>
        </w:rPr>
      </w:pPr>
    </w:p>
    <w:p w14:paraId="621A788E">
      <w:pPr>
        <w:pStyle w:val="135"/>
        <w:snapToGrid w:val="0"/>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（招标人名称）</w:t>
      </w:r>
      <w:r>
        <w:rPr>
          <w:rFonts w:hint="eastAsia" w:hAnsi="宋体" w:cs="宋体"/>
          <w:color w:val="auto"/>
          <w:sz w:val="21"/>
          <w:szCs w:val="21"/>
          <w:highlight w:val="none"/>
        </w:rPr>
        <w:t xml:space="preserve">： </w:t>
      </w:r>
    </w:p>
    <w:p w14:paraId="63B8F6A1">
      <w:pPr>
        <w:pStyle w:val="135"/>
        <w:snapToGrid w:val="0"/>
        <w:spacing w:after="0" w:line="38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w:t>
      </w:r>
      <w:r>
        <w:rPr>
          <w:rFonts w:hint="eastAsia" w:hAnsi="宋体" w:cs="宋体"/>
          <w:color w:val="auto"/>
          <w:sz w:val="21"/>
          <w:szCs w:val="21"/>
          <w:highlight w:val="none"/>
        </w:rPr>
        <w:t>（以下简称“中标人”）于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w:t>
      </w:r>
      <w:r>
        <w:rPr>
          <w:rFonts w:hint="eastAsia" w:hAnsi="宋体" w:cs="宋体"/>
          <w:bCs/>
          <w:color w:val="auto"/>
          <w:sz w:val="21"/>
          <w:szCs w:val="21"/>
          <w:highlight w:val="none"/>
          <w:u w:val="single"/>
        </w:rPr>
        <w:t>（招标项目及标段）</w:t>
      </w:r>
      <w:r>
        <w:rPr>
          <w:rFonts w:hint="eastAsia" w:hAnsi="宋体" w:cs="宋体"/>
          <w:color w:val="auto"/>
          <w:sz w:val="21"/>
          <w:szCs w:val="21"/>
          <w:highlight w:val="none"/>
        </w:rPr>
        <w:t>施工的招标投标，并收到你方发出的中标通知书。现中标人向我方投保建设工程施工合同履约保证保险（保险单号：              ）。我方愿就中标人履行《建设工程施工合同》约定的义务向贵方提供如下保证保险：</w:t>
      </w:r>
    </w:p>
    <w:p w14:paraId="4C30090F">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14:paraId="4EEFB5AC">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我方承担的履约保证保险的保险金额（最高限额）为人民币</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color w:val="auto"/>
          <w:szCs w:val="32"/>
          <w:highlight w:val="none"/>
        </w:rPr>
        <w:t>（¥</w:t>
      </w:r>
      <w:r>
        <w:rPr>
          <w:color w:val="auto"/>
          <w:szCs w:val="32"/>
          <w:highlight w:val="none"/>
          <w:u w:val="single"/>
        </w:rPr>
        <w:t xml:space="preserve">             </w:t>
      </w:r>
      <w:r>
        <w:rPr>
          <w:color w:val="auto"/>
          <w:szCs w:val="32"/>
          <w:highlight w:val="none"/>
        </w:rPr>
        <w:t xml:space="preserve"> ）</w:t>
      </w:r>
      <w:r>
        <w:rPr>
          <w:rFonts w:hint="eastAsia" w:ascii="宋体" w:hAnsi="宋体" w:cs="宋体"/>
          <w:color w:val="auto"/>
          <w:szCs w:val="21"/>
          <w:highlight w:val="none"/>
        </w:rPr>
        <w:t>。</w:t>
      </w:r>
    </w:p>
    <w:p w14:paraId="0113DC76">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14:paraId="3596EB3B">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在保险期间内，中标人（投保人）因自身原因未按照与招标人（被保险人）签订的《建设工程施工合同》（合同编号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）履行相关义务，导致工程竣工延误或工程质量不符合建设工程施工合同要求，给被保险人造成直接经济损失的，被保险人可向保险人提出索赔，保险人按照保险合同的约定承担损失赔偿责任。</w:t>
      </w:r>
    </w:p>
    <w:p w14:paraId="6BDE562D">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14:paraId="4F823045">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贵方要求我方承担保证保险责任的，应向我方发出书面索赔通知。索赔通知应写明要求索赔的金额，支付款项应到达的帐号，并附有说明中标人违约造成贵方损失情况的证明材料。</w:t>
      </w:r>
    </w:p>
    <w:p w14:paraId="6028477A">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个工作日内进行核定后，按照保险合同的约定承诺承担保证保险责任。</w:t>
      </w:r>
    </w:p>
    <w:p w14:paraId="61CF5C5C">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四、保单凭证有效期</w:t>
      </w:r>
    </w:p>
    <w:p w14:paraId="37E8D1EE">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本保单凭证的有效期自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日零时起至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日二十四时止。</w:t>
      </w:r>
    </w:p>
    <w:p w14:paraId="3EB62067">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（即：保险合同签发之日起至合同到期之日止，具体以保险合同载明为准。）</w:t>
      </w:r>
    </w:p>
    <w:p w14:paraId="2C5EC10C">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五、争议解决方式</w:t>
      </w:r>
    </w:p>
    <w:p w14:paraId="5AF55336">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本保单凭证（函）发生争议协商解决不成，按以下方式解决：提交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诉讼</w:t>
      </w:r>
    </w:p>
    <w:p w14:paraId="3415719B">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六、本保险保单凭证/保函未载明事宜以保险合同约定为准。</w:t>
      </w:r>
    </w:p>
    <w:p w14:paraId="5D6950CE">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七、本保险保单凭证/保函自保险人或授权代理人签字并加盖公章之日起生效。</w:t>
      </w:r>
    </w:p>
    <w:p w14:paraId="51BFD4FA">
      <w:pPr>
        <w:snapToGrid w:val="0"/>
        <w:spacing w:line="380" w:lineRule="exact"/>
        <w:ind w:firstLine="420" w:firstLineChars="200"/>
        <w:jc w:val="left"/>
        <w:rPr>
          <w:rFonts w:hint="eastAsia" w:ascii="宋体" w:hAnsi="宋体" w:cs="宋体"/>
          <w:color w:val="auto"/>
          <w:szCs w:val="21"/>
          <w:highlight w:val="none"/>
        </w:rPr>
      </w:pPr>
    </w:p>
    <w:p w14:paraId="15417BA2">
      <w:pPr>
        <w:snapToGrid w:val="0"/>
        <w:spacing w:line="380" w:lineRule="exact"/>
        <w:ind w:firstLine="420" w:firstLineChars="200"/>
        <w:jc w:val="left"/>
        <w:rPr>
          <w:rFonts w:hint="eastAsia" w:ascii="宋体" w:hAnsi="宋体" w:cs="宋体"/>
          <w:color w:val="auto"/>
          <w:szCs w:val="21"/>
          <w:highlight w:val="none"/>
        </w:rPr>
      </w:pPr>
    </w:p>
    <w:p w14:paraId="0EB6E6F4">
      <w:pPr>
        <w:pStyle w:val="18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14:paraId="3F4E512F">
      <w:pPr>
        <w:pStyle w:val="18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14:paraId="3942EB0D">
      <w:pPr>
        <w:pStyle w:val="184"/>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14:paraId="4152CE29">
      <w:pPr>
        <w:rPr>
          <w:rFonts w:eastAsia="黑体"/>
          <w:bCs/>
          <w:color w:val="auto"/>
          <w:highlight w:val="none"/>
        </w:rPr>
      </w:pPr>
    </w:p>
    <w:p w14:paraId="615E5D31">
      <w:pPr>
        <w:rPr>
          <w:rFonts w:eastAsia="黑体"/>
          <w:bCs/>
          <w:color w:val="auto"/>
          <w:highlight w:val="none"/>
        </w:rPr>
      </w:pPr>
    </w:p>
    <w:p w14:paraId="4D9F7897">
      <w:pPr>
        <w:rPr>
          <w:rFonts w:eastAsia="黑体"/>
          <w:bCs/>
          <w:color w:val="auto"/>
          <w:highlight w:val="none"/>
        </w:rPr>
      </w:pPr>
    </w:p>
    <w:p w14:paraId="47687A29">
      <w:pPr>
        <w:rPr>
          <w:color w:val="auto"/>
          <w:highlight w:val="none"/>
        </w:rPr>
        <w:sectPr>
          <w:headerReference r:id="rId17" w:type="default"/>
          <w:footerReference r:id="rId18" w:type="default"/>
          <w:pgSz w:w="11907" w:h="16840"/>
          <w:pgMar w:top="1440" w:right="1440" w:bottom="1440" w:left="1440" w:header="851" w:footer="850" w:gutter="0"/>
          <w:cols w:space="720" w:num="1"/>
          <w:docGrid w:linePitch="326" w:charSpace="0"/>
        </w:sectPr>
      </w:pPr>
    </w:p>
    <w:p w14:paraId="02285AA5">
      <w:pPr>
        <w:pStyle w:val="2"/>
        <w:spacing w:before="0" w:after="0"/>
        <w:jc w:val="center"/>
        <w:rPr>
          <w:color w:val="auto"/>
          <w:highlight w:val="none"/>
        </w:rPr>
      </w:pPr>
      <w:bookmarkStart w:id="977" w:name="_Toc211498719"/>
      <w:bookmarkStart w:id="978" w:name="_Toc80006113"/>
      <w:r>
        <w:rPr>
          <w:rFonts w:hint="eastAsia" w:ascii="宋体" w:hAnsi="宋体" w:cs="Arial"/>
          <w:snapToGrid w:val="0"/>
          <w:color w:val="auto"/>
          <w:kern w:val="0"/>
          <w:szCs w:val="21"/>
          <w:highlight w:val="none"/>
        </w:rPr>
        <w:t>□</w:t>
      </w:r>
      <w:r>
        <w:rPr>
          <w:rFonts w:ascii="Times New Roman" w:hAnsi="Times New Roman" w:eastAsia="黑体"/>
          <w:b w:val="0"/>
          <w:bCs w:val="0"/>
          <w:color w:val="auto"/>
          <w:highlight w:val="none"/>
        </w:rPr>
        <w:t>第五章  工程量清单</w:t>
      </w:r>
      <w:bookmarkEnd w:id="977"/>
      <w:bookmarkEnd w:id="978"/>
    </w:p>
    <w:p w14:paraId="7BBECF0E">
      <w:pPr>
        <w:jc w:val="center"/>
        <w:rPr>
          <w:rFonts w:eastAsia="黑体"/>
          <w:color w:val="auto"/>
          <w:szCs w:val="21"/>
          <w:highlight w:val="none"/>
        </w:rPr>
      </w:pPr>
      <w:r>
        <w:rPr>
          <w:rFonts w:hint="eastAsia" w:eastAsia="黑体"/>
          <w:color w:val="auto"/>
          <w:sz w:val="24"/>
          <w:highlight w:val="none"/>
        </w:rPr>
        <w:t>（适用于采用“</w:t>
      </w:r>
      <w:bookmarkStart w:id="979" w:name="_Hlk209083443"/>
      <w:r>
        <w:rPr>
          <w:rFonts w:hint="eastAsia" w:eastAsia="黑体"/>
          <w:color w:val="auto"/>
          <w:sz w:val="24"/>
          <w:highlight w:val="none"/>
        </w:rPr>
        <w:t>24清单标准</w:t>
      </w:r>
      <w:bookmarkEnd w:id="979"/>
      <w:r>
        <w:rPr>
          <w:rFonts w:hint="eastAsia" w:eastAsia="黑体"/>
          <w:color w:val="auto"/>
          <w:sz w:val="24"/>
          <w:highlight w:val="none"/>
        </w:rPr>
        <w:t>”的项目）</w:t>
      </w:r>
    </w:p>
    <w:p w14:paraId="1683CF9D">
      <w:pPr>
        <w:pStyle w:val="3"/>
        <w:spacing w:before="0" w:after="0" w:line="360" w:lineRule="auto"/>
        <w:rPr>
          <w:rFonts w:ascii="Times New Roman" w:hAnsi="Times New Roman" w:eastAsia="黑体"/>
          <w:b w:val="0"/>
          <w:bCs w:val="0"/>
          <w:color w:val="auto"/>
          <w:sz w:val="30"/>
          <w:highlight w:val="none"/>
        </w:rPr>
      </w:pPr>
      <w:bookmarkStart w:id="980" w:name="_Toc80006114"/>
      <w:bookmarkStart w:id="981" w:name="_Toc211498720"/>
      <w:bookmarkStart w:id="982" w:name="_Toc9178540"/>
      <w:r>
        <w:rPr>
          <w:rFonts w:hint="eastAsia" w:ascii="Times New Roman" w:hAnsi="Times New Roman" w:eastAsia="黑体"/>
          <w:b w:val="0"/>
          <w:bCs w:val="0"/>
          <w:color w:val="auto"/>
          <w:sz w:val="30"/>
          <w:highlight w:val="none"/>
        </w:rPr>
        <w:t>1.工程量清单说明</w:t>
      </w:r>
      <w:bookmarkEnd w:id="980"/>
      <w:bookmarkEnd w:id="981"/>
    </w:p>
    <w:p w14:paraId="5F72A7E9">
      <w:pPr>
        <w:spacing w:line="360" w:lineRule="auto"/>
        <w:ind w:firstLine="420" w:firstLineChars="200"/>
        <w:rPr>
          <w:rFonts w:hint="eastAsia" w:ascii="宋体" w:hAnsi="宋体"/>
          <w:color w:val="auto"/>
          <w:highlight w:val="none"/>
        </w:rPr>
      </w:pPr>
      <w:r>
        <w:rPr>
          <w:rFonts w:hint="eastAsia" w:ascii="微软雅黑" w:hAnsi="微软雅黑" w:eastAsia="微软雅黑"/>
          <w:color w:val="auto"/>
          <w:highlight w:val="none"/>
        </w:rPr>
        <w:t xml:space="preserve"> </w:t>
      </w:r>
      <w:r>
        <w:rPr>
          <w:rFonts w:hint="eastAsia" w:ascii="宋体" w:hAnsi="宋体"/>
          <w:color w:val="auto"/>
          <w:highlight w:val="none"/>
        </w:rPr>
        <w:t>1.1本工程量清单是依据</w:t>
      </w:r>
      <w:r>
        <w:rPr>
          <w:rFonts w:hint="eastAsia" w:ascii="宋体" w:hAnsi="宋体"/>
          <w:color w:val="auto"/>
          <w:highlight w:val="none"/>
          <w:u w:val="single"/>
        </w:rPr>
        <w:t>《建设工程工程量清单计价标准》(GB/T50500-2024)及《房屋建筑与装饰工程工程量清单计算标准》</w:t>
      </w:r>
      <w:r>
        <w:rPr>
          <w:rFonts w:ascii="宋体" w:hAnsi="宋体"/>
          <w:color w:val="auto"/>
          <w:highlight w:val="none"/>
          <w:u w:val="single"/>
        </w:rPr>
        <w:t>(GB/T 50854-2024)等</w:t>
      </w:r>
      <w:r>
        <w:rPr>
          <w:rFonts w:hint="eastAsia" w:ascii="宋体" w:hAnsi="宋体"/>
          <w:color w:val="auto"/>
          <w:highlight w:val="none"/>
          <w:u w:val="single"/>
        </w:rPr>
        <w:t>配套工程量计算标准（简称“24清单标准”)、《关于执行&lt;建设工程工程量清单计价标准&gt;及配套工程量计算标准的通知》(湘建科函〔2025〕150号)</w:t>
      </w:r>
      <w:r>
        <w:rPr>
          <w:rFonts w:hint="eastAsia" w:ascii="宋体" w:hAnsi="宋体"/>
          <w:color w:val="auto"/>
          <w:highlight w:val="none"/>
        </w:rPr>
        <w:t>以及招标文件要求、工程交付范围等编制。“24清单标准”中规定的工程量计算规则中没有的项目,在本章第1.6款及本文件《第四章合同条款及格式》中约定;“24清单标准”中规定的工程量计算规则中没有且本章第1.6款及本文件《第四章合同条款及格式》中也未约定的,双方协商确定;协商不成的,可向省级建设工程造价管理机构申请协调。工程量清单编制依据为：</w:t>
      </w:r>
    </w:p>
    <w:p w14:paraId="0D240A86">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 </w:t>
      </w:r>
      <w:r>
        <w:rPr>
          <w:rFonts w:hint="eastAsia" w:ascii="宋体" w:hAnsi="宋体"/>
          <w:color w:val="auto"/>
          <w:highlight w:val="none"/>
          <w:u w:val="single"/>
        </w:rPr>
        <w:t>“24清单标准”</w:t>
      </w:r>
      <w:r>
        <w:rPr>
          <w:rFonts w:hint="eastAsia" w:ascii="宋体" w:hAnsi="宋体"/>
          <w:color w:val="auto"/>
          <w:highlight w:val="none"/>
        </w:rPr>
        <w:t>；</w:t>
      </w:r>
    </w:p>
    <w:p w14:paraId="5A587ED5">
      <w:pPr>
        <w:spacing w:line="360" w:lineRule="auto"/>
        <w:ind w:firstLine="420" w:firstLineChars="200"/>
        <w:rPr>
          <w:rFonts w:hint="eastAsia" w:ascii="宋体" w:hAnsi="宋体"/>
          <w:color w:val="auto"/>
          <w:highlight w:val="none"/>
        </w:rPr>
      </w:pPr>
      <w:r>
        <w:rPr>
          <w:rFonts w:hint="eastAsia" w:ascii="宋体" w:hAnsi="宋体"/>
          <w:color w:val="auto"/>
          <w:highlight w:val="none"/>
        </w:rPr>
        <w:t>(2) 国家及省住房城乡建设主管部门颁发的工程计量与计价相关规定，包括但不限于：</w:t>
      </w:r>
      <w:r>
        <w:rPr>
          <w:rFonts w:hint="eastAsia" w:ascii="宋体" w:hAnsi="宋体"/>
          <w:color w:val="auto"/>
          <w:highlight w:val="none"/>
          <w:u w:val="single"/>
        </w:rPr>
        <w:t>《关于执行&lt;建设工程工程量清单计价标准&gt;及配套工程量计算标准的通知》(湘建科函〔2025〕150号)、2025《湖南省建设工程消耗量标准》(湘建科函〔2025〕151号)等</w:t>
      </w:r>
      <w:r>
        <w:rPr>
          <w:rFonts w:hint="eastAsia" w:ascii="宋体" w:hAnsi="宋体"/>
          <w:color w:val="auto"/>
          <w:highlight w:val="none"/>
        </w:rPr>
        <w:t>，以及根据工程需要补充的工程量计算规则；；</w:t>
      </w:r>
    </w:p>
    <w:p w14:paraId="61A9E608">
      <w:pPr>
        <w:spacing w:line="360" w:lineRule="auto"/>
        <w:ind w:firstLine="420" w:firstLineChars="200"/>
        <w:rPr>
          <w:rFonts w:hint="eastAsia" w:ascii="宋体" w:hAnsi="宋体"/>
          <w:color w:val="auto"/>
          <w:highlight w:val="none"/>
        </w:rPr>
      </w:pPr>
      <w:r>
        <w:rPr>
          <w:rFonts w:hint="eastAsia" w:ascii="宋体" w:hAnsi="宋体"/>
          <w:color w:val="auto"/>
          <w:highlight w:val="none"/>
        </w:rPr>
        <w:t>(3) 招标文件、拟订的合同条款及其相关资料；</w:t>
      </w:r>
    </w:p>
    <w:p w14:paraId="66A677BC">
      <w:pPr>
        <w:spacing w:line="360" w:lineRule="auto"/>
        <w:ind w:firstLine="420" w:firstLineChars="200"/>
        <w:rPr>
          <w:rFonts w:hint="eastAsia" w:ascii="宋体" w:hAnsi="宋体"/>
          <w:color w:val="auto"/>
          <w:highlight w:val="none"/>
        </w:rPr>
      </w:pPr>
      <w:r>
        <w:rPr>
          <w:rFonts w:hint="eastAsia" w:ascii="宋体" w:hAnsi="宋体"/>
          <w:color w:val="auto"/>
          <w:highlight w:val="none"/>
        </w:rPr>
        <w:t>(4) 工程招标图纸及其相关资料；</w:t>
      </w:r>
    </w:p>
    <w:p w14:paraId="3760E53F">
      <w:pPr>
        <w:spacing w:line="360" w:lineRule="auto"/>
        <w:ind w:firstLine="420" w:firstLineChars="200"/>
        <w:rPr>
          <w:rFonts w:hint="eastAsia" w:ascii="宋体" w:hAnsi="宋体"/>
          <w:color w:val="auto"/>
          <w:highlight w:val="none"/>
        </w:rPr>
      </w:pPr>
      <w:r>
        <w:rPr>
          <w:rFonts w:hint="eastAsia" w:ascii="宋体" w:hAnsi="宋体"/>
          <w:color w:val="auto"/>
          <w:highlight w:val="none"/>
        </w:rPr>
        <w:t>(5) 与建设工程有关的技术标准规范；</w:t>
      </w:r>
    </w:p>
    <w:p w14:paraId="505C7AB7">
      <w:pPr>
        <w:spacing w:line="360" w:lineRule="auto"/>
        <w:ind w:firstLine="420" w:firstLineChars="200"/>
        <w:rPr>
          <w:rFonts w:hint="eastAsia" w:ascii="宋体" w:hAnsi="宋体"/>
          <w:color w:val="auto"/>
          <w:highlight w:val="none"/>
        </w:rPr>
      </w:pPr>
      <w:r>
        <w:rPr>
          <w:rFonts w:hint="eastAsia" w:ascii="宋体" w:hAnsi="宋体"/>
          <w:color w:val="auto"/>
          <w:highlight w:val="none"/>
        </w:rPr>
        <w:t>(6)施工现场情况、相关地勘水文资料、工程特点及交付标准；</w:t>
      </w:r>
    </w:p>
    <w:p w14:paraId="10BC7FE0">
      <w:pPr>
        <w:spacing w:line="360" w:lineRule="auto"/>
        <w:ind w:firstLine="420" w:firstLineChars="200"/>
        <w:rPr>
          <w:rFonts w:hint="eastAsia" w:ascii="宋体" w:hAnsi="宋体"/>
          <w:color w:val="auto"/>
          <w:highlight w:val="none"/>
        </w:rPr>
      </w:pPr>
      <w:r>
        <w:rPr>
          <w:rFonts w:hint="eastAsia" w:ascii="宋体" w:hAnsi="宋体"/>
          <w:color w:val="auto"/>
          <w:highlight w:val="none"/>
        </w:rPr>
        <w:t>(7)其他相关资料(由招标人根据有关规定进行细化)</w:t>
      </w:r>
      <w:r>
        <w:rPr>
          <w:rFonts w:hint="eastAsia" w:ascii="宋体" w:hAnsi="宋体"/>
          <w:color w:val="auto"/>
          <w:highlight w:val="none"/>
          <w:u w:val="single"/>
        </w:rPr>
        <w:t xml:space="preserve">                      </w:t>
      </w:r>
      <w:r>
        <w:rPr>
          <w:rFonts w:hint="eastAsia" w:ascii="宋体" w:hAnsi="宋体"/>
          <w:color w:val="auto"/>
          <w:highlight w:val="none"/>
        </w:rPr>
        <w:t>。</w:t>
      </w:r>
    </w:p>
    <w:p w14:paraId="0187C448">
      <w:pPr>
        <w:spacing w:line="360" w:lineRule="auto"/>
        <w:ind w:firstLine="420" w:firstLineChars="200"/>
        <w:rPr>
          <w:rFonts w:hint="eastAsia" w:ascii="宋体" w:hAnsi="宋体"/>
          <w:color w:val="auto"/>
          <w:highlight w:val="none"/>
        </w:rPr>
      </w:pPr>
      <w:r>
        <w:rPr>
          <w:rFonts w:hint="eastAsia" w:ascii="宋体" w:hAnsi="宋体"/>
          <w:color w:val="auto"/>
          <w:highlight w:val="none"/>
        </w:rPr>
        <w:t>1.2本工程量清单应与招标文件中的投标人须知、通用合同条款、专用合同条款、技术标准和要求及图纸等章节内容一起阅读和理解。</w:t>
      </w:r>
    </w:p>
    <w:p w14:paraId="64D8BE44">
      <w:pPr>
        <w:pStyle w:val="37"/>
        <w:shd w:val="clear" w:color="auto" w:fill="FFFFFF"/>
        <w:spacing w:before="0" w:beforeAutospacing="0" w:after="0" w:afterAutospacing="0" w:line="360" w:lineRule="auto"/>
        <w:ind w:firstLine="420" w:firstLineChars="200"/>
        <w:jc w:val="both"/>
        <w:textAlignment w:val="baseline"/>
        <w:rPr>
          <w:color w:val="auto"/>
          <w:kern w:val="2"/>
          <w:highlight w:val="none"/>
        </w:rPr>
      </w:pPr>
      <w:r>
        <w:rPr>
          <w:rFonts w:hint="eastAsia"/>
          <w:color w:val="auto"/>
          <w:kern w:val="2"/>
          <w:highlight w:val="none"/>
        </w:rPr>
        <w:t>1.3合同价格形式采用总价合同的，其清单项目和工程数量视为与招标图纸和技术标准规范相符，存在工程量清单缺陷的，投标人应承担工程量清单缺陷的补充完善责任，工程量清单缺陷不做调整；合同价格形式采用单价合同的，其清单项目列项、项目特征的工作内容及其工程数量应视为符合招标图纸和技术标准规范的要求，存在分部分项工程项目清单缺陷的，应由招标人承担相关清单缺陷责任。</w:t>
      </w:r>
    </w:p>
    <w:p w14:paraId="2B4E7AF2">
      <w:pPr>
        <w:pStyle w:val="37"/>
        <w:shd w:val="clear" w:color="auto" w:fill="FFFFFF"/>
        <w:spacing w:before="0" w:beforeAutospacing="0" w:after="0" w:afterAutospacing="0" w:line="360" w:lineRule="auto"/>
        <w:ind w:firstLine="420" w:firstLineChars="200"/>
        <w:jc w:val="both"/>
        <w:textAlignment w:val="baseline"/>
        <w:rPr>
          <w:color w:val="auto"/>
          <w:kern w:val="2"/>
          <w:highlight w:val="none"/>
        </w:rPr>
      </w:pPr>
      <w:r>
        <w:rPr>
          <w:rFonts w:hint="eastAsia"/>
          <w:color w:val="auto"/>
          <w:kern w:val="2"/>
          <w:highlight w:val="none"/>
        </w:rPr>
        <w:t>1.4采用单价合同的工程量清单中分部分项工程项目清单工程数量为暂定的工程量，在合同履行中应按发包人提供的实际施工图纸、合同约定、“24清单标准”及补充的工程量计算规则重新计量确定，但措施项目清单和以项计价的分部分项工程项目清单应按“24清单标准”总价计价的规定计算。</w:t>
      </w:r>
    </w:p>
    <w:p w14:paraId="7084B734">
      <w:pPr>
        <w:pStyle w:val="37"/>
        <w:shd w:val="clear" w:color="auto" w:fill="FFFFFF"/>
        <w:spacing w:before="0" w:beforeAutospacing="0" w:after="0" w:afterAutospacing="0" w:line="360" w:lineRule="auto"/>
        <w:ind w:firstLine="420" w:firstLineChars="200"/>
        <w:jc w:val="both"/>
        <w:textAlignment w:val="baseline"/>
        <w:rPr>
          <w:color w:val="auto"/>
          <w:kern w:val="2"/>
          <w:highlight w:val="none"/>
        </w:rPr>
      </w:pPr>
      <w:r>
        <w:rPr>
          <w:rFonts w:hint="eastAsia"/>
          <w:color w:val="auto"/>
          <w:kern w:val="2"/>
          <w:highlight w:val="none"/>
        </w:rPr>
        <w:t>1.5采用总价合同的工程量清单，如工程量清单存在缺陷的，清单缺陷引起的价款变化应视为已包含在合同总价内，合同履行中不予调整；但分部分项工程项目清单内说明是暂定数量的清单项目及其工程数量，应按“24清单标准”单价计价的规定重新计量确定，并对相关清单项目的合同价格及合同总价进行相应调整。</w:t>
      </w:r>
    </w:p>
    <w:p w14:paraId="7419A24E">
      <w:pPr>
        <w:pStyle w:val="37"/>
        <w:shd w:val="clear" w:color="auto" w:fill="FFFFFF"/>
        <w:spacing w:before="0" w:beforeAutospacing="0" w:after="0" w:afterAutospacing="0" w:line="360" w:lineRule="auto"/>
        <w:ind w:firstLine="420" w:firstLineChars="200"/>
        <w:jc w:val="both"/>
        <w:textAlignment w:val="baseline"/>
        <w:rPr>
          <w:color w:val="auto"/>
          <w:kern w:val="2"/>
          <w:highlight w:val="none"/>
        </w:rPr>
      </w:pPr>
      <w:r>
        <w:rPr>
          <w:rFonts w:hint="eastAsia"/>
          <w:color w:val="auto"/>
          <w:kern w:val="2"/>
          <w:highlight w:val="none"/>
        </w:rPr>
        <w:t>1.6补充项目的项目特征、计量单位、工程量计算规则及工作内容说明如下:详见招标人公布的工程量清单“编制说明”。</w:t>
      </w:r>
    </w:p>
    <w:p w14:paraId="5E3EDB7B">
      <w:pPr>
        <w:pStyle w:val="37"/>
        <w:shd w:val="clear" w:color="auto" w:fill="FFFFFF"/>
        <w:spacing w:before="0" w:beforeAutospacing="0" w:after="0" w:afterAutospacing="0" w:line="360" w:lineRule="auto"/>
        <w:ind w:firstLine="420" w:firstLineChars="200"/>
        <w:jc w:val="both"/>
        <w:textAlignment w:val="baseline"/>
        <w:rPr>
          <w:rFonts w:eastAsia="黑体"/>
          <w:color w:val="auto"/>
          <w:sz w:val="30"/>
          <w:highlight w:val="none"/>
        </w:rPr>
      </w:pPr>
      <w:r>
        <w:rPr>
          <w:rFonts w:hint="eastAsia"/>
          <w:color w:val="auto"/>
          <w:kern w:val="2"/>
          <w:highlight w:val="none"/>
        </w:rPr>
        <w:t>1.7本条与下述第2条和第3条的说明内容是构成合同文件的已标价工程量清单的组成部分。</w:t>
      </w:r>
      <w:bookmarkStart w:id="983" w:name="_Toc80006115"/>
    </w:p>
    <w:p w14:paraId="227256A4">
      <w:pPr>
        <w:pStyle w:val="3"/>
        <w:spacing w:before="0" w:after="0" w:line="360" w:lineRule="auto"/>
        <w:rPr>
          <w:rFonts w:ascii="Times New Roman" w:hAnsi="Times New Roman" w:eastAsia="黑体"/>
          <w:b w:val="0"/>
          <w:bCs w:val="0"/>
          <w:color w:val="auto"/>
          <w:sz w:val="30"/>
          <w:highlight w:val="none"/>
        </w:rPr>
      </w:pPr>
      <w:bookmarkStart w:id="984" w:name="_Toc211498721"/>
      <w:r>
        <w:rPr>
          <w:rFonts w:ascii="Times New Roman" w:hAnsi="Times New Roman" w:eastAsia="黑体"/>
          <w:b w:val="0"/>
          <w:bCs w:val="0"/>
          <w:color w:val="auto"/>
          <w:sz w:val="30"/>
          <w:highlight w:val="none"/>
        </w:rPr>
        <w:t>2.最高投标限价编制说明及公布内容</w:t>
      </w:r>
      <w:bookmarkEnd w:id="983"/>
      <w:bookmarkEnd w:id="984"/>
    </w:p>
    <w:p w14:paraId="48546844">
      <w:pPr>
        <w:pStyle w:val="37"/>
        <w:shd w:val="clear" w:color="auto" w:fill="FFFFFF"/>
        <w:spacing w:before="0" w:beforeAutospacing="0" w:after="0" w:afterAutospacing="0" w:line="360" w:lineRule="auto"/>
        <w:ind w:firstLine="420" w:firstLineChars="200"/>
        <w:jc w:val="both"/>
        <w:textAlignment w:val="baseline"/>
        <w:rPr>
          <w:color w:val="auto"/>
          <w:kern w:val="2"/>
          <w:highlight w:val="none"/>
        </w:rPr>
      </w:pPr>
      <w:r>
        <w:rPr>
          <w:rFonts w:hint="eastAsia"/>
          <w:color w:val="auto"/>
          <w:kern w:val="2"/>
          <w:highlight w:val="none"/>
        </w:rPr>
        <w:t> 2.1最高投标限价编制依据</w:t>
      </w:r>
    </w:p>
    <w:p w14:paraId="5E21B479">
      <w:pPr>
        <w:pStyle w:val="37"/>
        <w:shd w:val="clear" w:color="auto" w:fill="FFFFFF"/>
        <w:spacing w:before="0" w:beforeAutospacing="0" w:after="0" w:afterAutospacing="0" w:line="360" w:lineRule="auto"/>
        <w:ind w:firstLine="420" w:firstLineChars="200"/>
        <w:jc w:val="both"/>
        <w:textAlignment w:val="baseline"/>
        <w:rPr>
          <w:color w:val="auto"/>
          <w:kern w:val="2"/>
          <w:highlight w:val="none"/>
        </w:rPr>
      </w:pPr>
      <w:r>
        <w:rPr>
          <w:rFonts w:hint="eastAsia"/>
          <w:color w:val="auto"/>
          <w:kern w:val="2"/>
          <w:highlight w:val="none"/>
        </w:rPr>
        <w:t>(1)“24清单标准”；</w:t>
      </w:r>
    </w:p>
    <w:p w14:paraId="3911AB4A">
      <w:pPr>
        <w:pStyle w:val="37"/>
        <w:shd w:val="clear" w:color="auto" w:fill="FFFFFF"/>
        <w:spacing w:before="0" w:beforeAutospacing="0" w:after="0" w:afterAutospacing="0" w:line="360" w:lineRule="auto"/>
        <w:ind w:firstLine="420" w:firstLineChars="200"/>
        <w:jc w:val="both"/>
        <w:textAlignment w:val="baseline"/>
        <w:rPr>
          <w:color w:val="auto"/>
          <w:kern w:val="2"/>
          <w:highlight w:val="none"/>
        </w:rPr>
      </w:pPr>
      <w:r>
        <w:rPr>
          <w:rFonts w:hint="eastAsia"/>
          <w:color w:val="auto"/>
          <w:kern w:val="2"/>
          <w:highlight w:val="none"/>
        </w:rPr>
        <w:t>(2)招标文件(包括招标工程量清单、合同条款、招标图纸、技术标准规范等)及其补遗、澄清或修改；</w:t>
      </w:r>
    </w:p>
    <w:p w14:paraId="331AB210">
      <w:pPr>
        <w:spacing w:line="360" w:lineRule="auto"/>
        <w:ind w:firstLine="420" w:firstLineChars="200"/>
        <w:rPr>
          <w:rFonts w:hint="eastAsia" w:ascii="宋体" w:hAnsi="宋体"/>
          <w:color w:val="auto"/>
          <w:highlight w:val="none"/>
        </w:rPr>
      </w:pPr>
      <w:r>
        <w:rPr>
          <w:rFonts w:hint="eastAsia" w:ascii="宋体" w:hAnsi="宋体"/>
          <w:color w:val="auto"/>
          <w:highlight w:val="none"/>
        </w:rPr>
        <w:t>(3)国家及省住房城乡建设主管部门颁发的工程计量与计价相关规定，包括但不限于：</w:t>
      </w:r>
      <w:r>
        <w:rPr>
          <w:rFonts w:hint="eastAsia" w:ascii="宋体" w:hAnsi="宋体"/>
          <w:color w:val="auto"/>
          <w:highlight w:val="none"/>
          <w:u w:val="single"/>
        </w:rPr>
        <w:t>《关于执行&lt;建设工程工程量清单计价标准&gt;及配套工程量计算标准的通知》(湘建科函〔2025〕150号)、2025《湖南省建设工程消耗量标准》(湘建科函〔2025〕151号)等</w:t>
      </w:r>
      <w:r>
        <w:rPr>
          <w:rFonts w:hint="eastAsia" w:ascii="宋体" w:hAnsi="宋体"/>
          <w:color w:val="auto"/>
          <w:highlight w:val="none"/>
        </w:rPr>
        <w:t>，以及根据工程需要补充的工程量计算规则；</w:t>
      </w:r>
    </w:p>
    <w:p w14:paraId="49060F7E">
      <w:pPr>
        <w:spacing w:line="360" w:lineRule="auto"/>
        <w:ind w:firstLine="420" w:firstLineChars="200"/>
        <w:rPr>
          <w:rFonts w:hint="eastAsia" w:ascii="宋体" w:hAnsi="宋体"/>
          <w:color w:val="auto"/>
          <w:highlight w:val="none"/>
        </w:rPr>
      </w:pPr>
      <w:r>
        <w:rPr>
          <w:rFonts w:hint="eastAsia" w:ascii="宋体" w:hAnsi="宋体"/>
          <w:color w:val="auto"/>
          <w:highlight w:val="none"/>
        </w:rPr>
        <w:t>(4)与招标工程相关的技术标准规范；</w:t>
      </w:r>
    </w:p>
    <w:p w14:paraId="69BB513D">
      <w:pPr>
        <w:spacing w:line="360" w:lineRule="auto"/>
        <w:ind w:firstLine="420" w:firstLineChars="200"/>
        <w:rPr>
          <w:rFonts w:hint="eastAsia" w:ascii="宋体" w:hAnsi="宋体"/>
          <w:color w:val="auto"/>
          <w:highlight w:val="none"/>
        </w:rPr>
      </w:pPr>
      <w:r>
        <w:rPr>
          <w:rFonts w:hint="eastAsia" w:ascii="宋体" w:hAnsi="宋体"/>
          <w:color w:val="auto"/>
          <w:highlight w:val="none"/>
        </w:rPr>
        <w:t>(5)工程特点及交付标准、地勘水文资料、现场情况；</w:t>
      </w:r>
    </w:p>
    <w:p w14:paraId="218AACBD">
      <w:pPr>
        <w:spacing w:line="360" w:lineRule="auto"/>
        <w:ind w:firstLine="420" w:firstLineChars="200"/>
        <w:rPr>
          <w:rFonts w:hint="eastAsia" w:ascii="宋体" w:hAnsi="宋体"/>
          <w:color w:val="auto"/>
          <w:highlight w:val="none"/>
        </w:rPr>
      </w:pPr>
      <w:r>
        <w:rPr>
          <w:rFonts w:hint="eastAsia" w:ascii="宋体" w:hAnsi="宋体"/>
          <w:color w:val="auto"/>
          <w:highlight w:val="none"/>
        </w:rPr>
        <w:t>(6)合理施工工期及常规施工工艺、顺序；</w:t>
      </w:r>
    </w:p>
    <w:p w14:paraId="60E61F28">
      <w:pPr>
        <w:spacing w:line="360" w:lineRule="auto"/>
        <w:ind w:firstLine="420" w:firstLineChars="200"/>
        <w:rPr>
          <w:rFonts w:hint="eastAsia" w:ascii="宋体" w:hAnsi="宋体"/>
          <w:color w:val="auto"/>
          <w:highlight w:val="none"/>
        </w:rPr>
      </w:pPr>
      <w:r>
        <w:rPr>
          <w:rFonts w:hint="eastAsia" w:ascii="宋体" w:hAnsi="宋体"/>
          <w:color w:val="auto"/>
          <w:highlight w:val="none"/>
        </w:rPr>
        <w:t>(7)工程价格信息及造价资讯、工程造价数据及指数；</w:t>
      </w:r>
    </w:p>
    <w:p w14:paraId="26338A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(8)其他相关资料(由招标人根据有关规定进行细化)</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8A7E8A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2.2本最高投标限价由具有编制能力的招标人或受其委托的工程造价咨询人(招标人根据情况选择)编制。</w:t>
      </w:r>
    </w:p>
    <w:p w14:paraId="247D7A53">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2.3最高投标限价公布内容</w:t>
      </w:r>
    </w:p>
    <w:p w14:paraId="3A0986CF">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2.3.1本项目设最高投标限价,最高投标限价详见第二章投标人须知前附表。</w:t>
      </w:r>
    </w:p>
    <w:p w14:paraId="04A5AF70">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2.3.2投标人对最高投标限价有疑问的,可在投标人须知前附表规定的时间和方式向招标人或招标代理机构提出;招标人对最高投标限价若有调整,则在投标截止时间15日前在</w:t>
      </w:r>
      <w:r>
        <w:rPr>
          <w:rFonts w:hint="eastAsia" w:ascii="宋体" w:hAnsi="宋体" w:cs="宋体"/>
          <w:color w:val="auto"/>
          <w:kern w:val="2"/>
          <w:highlight w:val="none"/>
          <w:u w:val="single"/>
        </w:rPr>
        <w:t>(最高投标限价调整文件发布的媒介名称)</w:t>
      </w:r>
      <w:r>
        <w:rPr>
          <w:rFonts w:hint="eastAsia" w:ascii="宋体" w:hAnsi="宋体" w:cs="宋体"/>
          <w:color w:val="auto"/>
          <w:kern w:val="2"/>
          <w:highlight w:val="none"/>
        </w:rPr>
        <w:t>上公示。投标人应自行查阅,招标代理机构不另行通知。</w:t>
      </w:r>
    </w:p>
    <w:p w14:paraId="1C9456FC">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2.3.3公布的最高投标限价至少载明的内容:详见第二章投标人须知前附表。</w:t>
      </w:r>
    </w:p>
    <w:p w14:paraId="27BA748D">
      <w:pPr>
        <w:pStyle w:val="37"/>
        <w:shd w:val="clear" w:color="auto" w:fill="FFFFFF"/>
        <w:spacing w:before="0" w:beforeAutospacing="0" w:after="0" w:afterAutospacing="0" w:line="480" w:lineRule="atLeast"/>
        <w:textAlignment w:val="baseline"/>
        <w:rPr>
          <w:color w:val="auto"/>
          <w:kern w:val="2"/>
          <w:highlight w:val="none"/>
        </w:rPr>
      </w:pPr>
    </w:p>
    <w:p w14:paraId="7CB1B1DC">
      <w:pPr>
        <w:pStyle w:val="3"/>
        <w:spacing w:before="0" w:after="0" w:line="360" w:lineRule="auto"/>
        <w:rPr>
          <w:rFonts w:ascii="Times New Roman" w:hAnsi="Times New Roman" w:eastAsia="黑体"/>
          <w:b w:val="0"/>
          <w:bCs w:val="0"/>
          <w:color w:val="auto"/>
          <w:sz w:val="30"/>
          <w:highlight w:val="none"/>
        </w:rPr>
      </w:pPr>
      <w:bookmarkStart w:id="985" w:name="_Toc80006116"/>
    </w:p>
    <w:p w14:paraId="41B561D7">
      <w:pPr>
        <w:pStyle w:val="3"/>
        <w:spacing w:before="0" w:after="0" w:line="360" w:lineRule="auto"/>
        <w:rPr>
          <w:rFonts w:ascii="Times New Roman" w:hAnsi="Times New Roman" w:eastAsia="黑体"/>
          <w:b w:val="0"/>
          <w:bCs w:val="0"/>
          <w:color w:val="auto"/>
          <w:sz w:val="30"/>
          <w:highlight w:val="none"/>
        </w:rPr>
      </w:pPr>
      <w:bookmarkStart w:id="986" w:name="_Toc211498722"/>
      <w:r>
        <w:rPr>
          <w:rFonts w:hint="eastAsia" w:ascii="Times New Roman" w:hAnsi="Times New Roman" w:eastAsia="黑体"/>
          <w:b w:val="0"/>
          <w:bCs w:val="0"/>
          <w:color w:val="auto"/>
          <w:sz w:val="30"/>
          <w:highlight w:val="none"/>
        </w:rPr>
        <w:t>3.投标报价说明</w:t>
      </w:r>
      <w:bookmarkEnd w:id="985"/>
      <w:bookmarkEnd w:id="986"/>
    </w:p>
    <w:p w14:paraId="3DDDA8AF">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微软雅黑" w:hAnsi="微软雅黑" w:eastAsia="微软雅黑"/>
          <w:color w:val="auto"/>
          <w:highlight w:val="none"/>
        </w:rPr>
        <w:t>   </w:t>
      </w:r>
      <w:r>
        <w:rPr>
          <w:rFonts w:hint="eastAsia" w:ascii="宋体" w:hAnsi="宋体" w:cs="宋体"/>
          <w:color w:val="auto"/>
          <w:kern w:val="2"/>
          <w:highlight w:val="none"/>
        </w:rPr>
        <w:t>3.1投标报价应根据招标文件中的有关计价要求,并按照下列依据报价。</w:t>
      </w:r>
    </w:p>
    <w:p w14:paraId="729C82C7">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(1)</w:t>
      </w:r>
      <w:r>
        <w:rPr>
          <w:rFonts w:hint="eastAsia" w:ascii="宋体" w:hAnsi="宋体" w:cs="宋体"/>
          <w:color w:val="auto"/>
          <w:highlight w:val="none"/>
        </w:rPr>
        <w:t>“24清单标准”</w:t>
      </w:r>
      <w:r>
        <w:rPr>
          <w:rFonts w:hint="eastAsia" w:ascii="宋体" w:hAnsi="宋体" w:cs="宋体"/>
          <w:color w:val="auto"/>
          <w:kern w:val="2"/>
          <w:highlight w:val="none"/>
        </w:rPr>
        <w:t>；</w:t>
      </w:r>
    </w:p>
    <w:p w14:paraId="4E083974">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(2)招标文件(包括招标工程量清单、合同条款、招标图纸、技术标准规范等)及其补遗、答疑、异议澄清或修正；</w:t>
      </w:r>
    </w:p>
    <w:p w14:paraId="3B9DFB21">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w:t>
      </w:r>
      <w:r>
        <w:rPr>
          <w:rFonts w:hint="eastAsia" w:ascii="宋体" w:hAnsi="宋体" w:cs="宋体"/>
          <w:color w:val="auto"/>
          <w:highlight w:val="none"/>
        </w:rPr>
        <w:t>国家及省住房城乡建设主管部门</w:t>
      </w:r>
      <w:r>
        <w:rPr>
          <w:rFonts w:hint="eastAsia" w:ascii="宋体" w:hAnsi="宋体" w:cs="宋体"/>
          <w:color w:val="auto"/>
          <w:kern w:val="2"/>
          <w:highlight w:val="none"/>
        </w:rPr>
        <w:t>颁发的工程计量与计价相关规定</w:t>
      </w:r>
      <w:r>
        <w:rPr>
          <w:rFonts w:hint="eastAsia" w:ascii="宋体" w:hAnsi="宋体"/>
          <w:color w:val="auto"/>
          <w:highlight w:val="none"/>
        </w:rPr>
        <w:t>，包括但不限于：</w:t>
      </w:r>
      <w:r>
        <w:rPr>
          <w:rFonts w:hint="eastAsia" w:ascii="宋体" w:hAnsi="宋体"/>
          <w:color w:val="auto"/>
          <w:highlight w:val="none"/>
          <w:u w:val="single"/>
        </w:rPr>
        <w:t>《关于执行&lt;建设工程工程量清单计价标准&gt;及配套工程量计算标准的通知》(湘建科函〔2025〕150号)、2025《湖南省建设工程消耗量标准》(湘建科函〔2025〕151号)等</w:t>
      </w:r>
      <w:r>
        <w:rPr>
          <w:rFonts w:hint="eastAsia" w:ascii="宋体" w:hAnsi="宋体" w:cs="宋体"/>
          <w:color w:val="auto"/>
          <w:kern w:val="2"/>
          <w:highlight w:val="none"/>
        </w:rPr>
        <w:t>，以及根据工程需要补充的工程量计算规则；</w:t>
      </w:r>
    </w:p>
    <w:p w14:paraId="658CB8DF">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(4)与招标工程相关的技术标准规范等技术资料；</w:t>
      </w:r>
    </w:p>
    <w:p w14:paraId="609B199B">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(5)工程特点及交付标准、地勘水文资料、现场踏勘情况；</w:t>
      </w:r>
    </w:p>
    <w:p w14:paraId="09CF48E4">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(6)投标人的工程实施方案及投标工期；</w:t>
      </w:r>
    </w:p>
    <w:p w14:paraId="5E1B777B">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(7)投标人企业定额、工程造价数据、市场价格信息及价格变动预期、装备及管理水平、造价资讯等；</w:t>
      </w:r>
    </w:p>
    <w:p w14:paraId="03A817E2">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highlight w:val="none"/>
        </w:rPr>
      </w:pPr>
      <w:r>
        <w:rPr>
          <w:rFonts w:hint="eastAsia" w:ascii="宋体" w:hAnsi="宋体" w:cs="宋体"/>
          <w:color w:val="auto"/>
          <w:kern w:val="2"/>
          <w:highlight w:val="none"/>
        </w:rPr>
        <w:t>(8)其他相关资料</w:t>
      </w:r>
      <w:r>
        <w:rPr>
          <w:rFonts w:hint="eastAsia" w:ascii="宋体" w:hAnsi="宋体" w:cs="宋体"/>
          <w:color w:val="auto"/>
          <w:highlight w:val="none"/>
        </w:rPr>
        <w:t>(由招标人根据有关规定进行细化)</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A5C3723">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highlight w:val="none"/>
        </w:rPr>
      </w:pPr>
      <w:r>
        <w:rPr>
          <w:rFonts w:hint="eastAsia" w:ascii="宋体" w:hAnsi="宋体" w:cs="宋体"/>
          <w:color w:val="auto"/>
          <w:highlight w:val="none"/>
        </w:rPr>
        <w:t>投标人按照上述依据自主确定投标报价，并对已标价工程量清单填报价格的一致性及合理性负责，承担不合理报价及总价合同的工程量清单缺陷等风险。</w:t>
      </w:r>
    </w:p>
    <w:p w14:paraId="1AFA178C">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highlight w:val="none"/>
        </w:rPr>
      </w:pPr>
      <w:r>
        <w:rPr>
          <w:rFonts w:hint="eastAsia" w:ascii="宋体" w:hAnsi="宋体" w:cs="宋体"/>
          <w:color w:val="auto"/>
          <w:highlight w:val="none"/>
        </w:rPr>
        <w:t>3.2投标人的投标报价不得低于成本价，且不得高于招标人公布的最高投标限价。</w:t>
      </w:r>
    </w:p>
    <w:p w14:paraId="1EB29C60">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highlight w:val="none"/>
        </w:rPr>
      </w:pPr>
      <w:r>
        <w:rPr>
          <w:rFonts w:hint="eastAsia" w:ascii="宋体" w:hAnsi="宋体" w:cs="宋体"/>
          <w:color w:val="auto"/>
          <w:highlight w:val="none"/>
        </w:rPr>
        <w:t>3.3合同形式采用单价合同的，投标人应对招标工程量清单的分部分项工程项目清单进行复核。如有疑问的，应提请招标人澄清，招标人核实后作出修正的，投标人应按修正后的分部分项工程项目清单进行投标报价。无论投标人是否已提出疑问，分部分项工程项目清单的完整性和准确性由招标人负责。</w:t>
      </w:r>
    </w:p>
    <w:p w14:paraId="7EC273D7">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highlight w:val="none"/>
        </w:rPr>
      </w:pPr>
      <w:r>
        <w:rPr>
          <w:rFonts w:hint="eastAsia" w:ascii="宋体" w:hAnsi="宋体" w:cs="宋体"/>
          <w:color w:val="auto"/>
          <w:highlight w:val="none"/>
        </w:rPr>
        <w:t>3.4合同形式采用总价合同的，投标人应对招标工程量清单进行复核。如有疑问的，应提请招标人澄清，招标人核实后作出修正的，投标人应按修正后的工程量清单进行报价。如投标人经复核认为招标工程量清单及其修正后(如有)的分部分项工程项目清单存在工程量清单缺陷的，可在已标价工程量清单的分部分项工程项目清单中进行补充完善及报价，并对已标价分部分项工程项目清单的完整性和准确性负责。无论投标人是否已提出疑问或按已修正后的工程量清单报价、或对分部分项工程项目清单做出补充完善及报价，除招标工程量清单说明为暂定数量的单价计价分部分项工程项目清单外，合同价格不应因存在工程量清单缺陷而调整。</w:t>
      </w:r>
    </w:p>
    <w:p w14:paraId="6273F9B8">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highlight w:val="none"/>
        </w:rPr>
      </w:pPr>
      <w:r>
        <w:rPr>
          <w:rFonts w:hint="eastAsia" w:ascii="宋体" w:hAnsi="宋体" w:cs="宋体"/>
          <w:color w:val="auto"/>
          <w:highlight w:val="none"/>
        </w:rPr>
        <w:t>3.5已标价工程量清单的清单项目综合单价及合价应为不含增值税的税前全费用价格,由人工费、材料费、施工机具使用费、管理费、利润等组成,包括相应清单项目约定或合理范围的风险费,以及不可或缺的辅助工作所需的费用。</w:t>
      </w:r>
    </w:p>
    <w:p w14:paraId="360FC633">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3.6工程量清单与计价表中列明的所有需要填写单价和合价的项目,投标人均应填写且只允许有一个报价。未填写单价和合价的项目,可视为此项费用已包括在已标价工程量清单中其他相关项目的单价和合价之中。结算时,此项目不得重新组价与调整。</w:t>
      </w:r>
    </w:p>
    <w:p w14:paraId="08893000">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3.7投标人的投标报价应包括招标文件规定的由承包人承担范围及幅度内的风险费用。</w:t>
      </w:r>
    </w:p>
    <w:p w14:paraId="152578BB">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3.8投标总价应当与分部分项工程项目清单、措施项目项目清单、其他项目项目清单、增值税的合价总额一致。</w:t>
      </w:r>
    </w:p>
    <w:p w14:paraId="13BC9CC3">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3.9投标人应根据工程特点、合同要求及现场踏勘情况，复查措施项目清单列项的完整性和适用性。如投标人对措施项目清单有疑问的，可提请招标人澄清或修正，若投标人认为需要增加措施项目的，可在措施项目中补充列项及报价，并对措施项目清单的准确性和完整性负责。</w:t>
      </w:r>
    </w:p>
    <w:p w14:paraId="63B794B0">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3.10投标人应按自身的工程实施方案及投标工期，对措施项目清单进行自主报价。分部分项工程项目清单中按项计价的项目，投标人应按其项目特征的工作内容、自身的实施方案、市场合理价格，以及履行招标图纸和技术标准规范要求工程变更价格调整引起的承包风险，对按项计价项目进行投标报价。除合同另有约定外，按项计价项目报价为包干价，工程结算时不应做调整</w:t>
      </w:r>
    </w:p>
    <w:p w14:paraId="2FFA1586">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highlight w:val="none"/>
        </w:rPr>
      </w:pPr>
      <w:r>
        <w:rPr>
          <w:rFonts w:hint="eastAsia" w:ascii="宋体" w:hAnsi="宋体" w:cs="宋体"/>
          <w:color w:val="auto"/>
          <w:kern w:val="2"/>
          <w:highlight w:val="none"/>
        </w:rPr>
        <w:t>3.11安全生产措施项目费费率不得低于</w:t>
      </w:r>
      <w:r>
        <w:rPr>
          <w:rFonts w:hint="eastAsia" w:ascii="宋体" w:hAnsi="宋体" w:cs="宋体"/>
          <w:color w:val="auto"/>
          <w:highlight w:val="none"/>
        </w:rPr>
        <w:t>省住房城乡建设主管部门公布的费率。</w:t>
      </w:r>
    </w:p>
    <w:p w14:paraId="6AAEC077">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3.12其他项目清单应按照下列要求报价</w:t>
      </w:r>
    </w:p>
    <w:p w14:paraId="32E25EFC">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(1)暂列金额应按工程量清单中列出的金额填写;</w:t>
      </w:r>
    </w:p>
    <w:p w14:paraId="3D7492A1">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(2)专业工程暂估价项目应按工程量清单中列出的金额填写;</w:t>
      </w:r>
    </w:p>
    <w:p w14:paraId="57CABBE6">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(3)计日工应按工程量清单中列出的项目和数量确定综合单价，综合单价为完成相应清单项目单位数量不含增值税的价格。</w:t>
      </w:r>
    </w:p>
    <w:p w14:paraId="7B73F210">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(4)总承包服务费按招标工程量清单列出的需要投标人提供服务的发包人提供材料、专业分包工程、直接发包的专业工程，以及类似工程价格信息和造价资讯等分别确定各清单项目的服务费或费率并计价。</w:t>
      </w:r>
    </w:p>
    <w:p w14:paraId="3DE58492">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3.13增值税应按政府有关主管部门的规定计算费用。</w:t>
      </w:r>
    </w:p>
    <w:p w14:paraId="0C87C7FE">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增值税以分部分项工程项目清单、措施项目清单、其他项目清单(专业工程暂估价除外)的合计金额为计算基础,乘以政府有关主管部门规定的增值税税率计算税金，其中其他项目清单中的专业工程暂估价已含增值税,工程量清单的增值税中不再计取其相应税金。</w:t>
      </w:r>
    </w:p>
    <w:p w14:paraId="4DCD609C">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3.14工程量清单计价所涉及的生产资源(包括各类人工、材料、工程设备、施工设备、临时设施、临时用水、临时用电等)的投标价格,应根据自身的信息渠道和采购渠道,分析其市场价格水平,体现投标人自身的管理水平、技术水平和综合实力。</w:t>
      </w:r>
    </w:p>
    <w:p w14:paraId="1461363A">
      <w:pPr>
        <w:pStyle w:val="37"/>
        <w:shd w:val="clear" w:color="auto" w:fill="FFFFFF"/>
        <w:spacing w:before="0" w:beforeAutospacing="0" w:after="0" w:afterAutospacing="0" w:line="360" w:lineRule="auto"/>
        <w:ind w:firstLine="420" w:firstLineChars="200"/>
        <w:jc w:val="both"/>
        <w:textAlignment w:val="baseline"/>
        <w:rPr>
          <w:rFonts w:hint="eastAsia" w:ascii="宋体" w:hAnsi="宋体" w:cs="宋体"/>
          <w:color w:val="auto"/>
          <w:kern w:val="2"/>
          <w:highlight w:val="none"/>
        </w:rPr>
      </w:pPr>
      <w:r>
        <w:rPr>
          <w:rFonts w:hint="eastAsia" w:ascii="宋体" w:hAnsi="宋体" w:cs="宋体"/>
          <w:color w:val="auto"/>
          <w:kern w:val="2"/>
          <w:highlight w:val="none"/>
        </w:rPr>
        <w:t>3.15管理费应由投标人在保证不低于其成本的基础上做竞争性考虑;利润由投标人根据自身情况和综合实力做竞争性考虑。</w:t>
      </w:r>
    </w:p>
    <w:p w14:paraId="0D92FAA2">
      <w:pPr>
        <w:pStyle w:val="37"/>
        <w:shd w:val="clear" w:color="auto" w:fill="FFFFFF"/>
        <w:spacing w:before="0" w:beforeAutospacing="0" w:after="0" w:afterAutospacing="0" w:line="360" w:lineRule="auto"/>
        <w:ind w:firstLine="420" w:firstLineChars="200"/>
        <w:jc w:val="both"/>
        <w:textAlignment w:val="baseline"/>
        <w:rPr>
          <w:rFonts w:eastAsia="黑体"/>
          <w:color w:val="auto"/>
          <w:sz w:val="30"/>
          <w:highlight w:val="none"/>
        </w:rPr>
      </w:pPr>
      <w:r>
        <w:rPr>
          <w:rFonts w:hint="eastAsia" w:ascii="宋体" w:hAnsi="宋体" w:cs="宋体"/>
          <w:color w:val="auto"/>
          <w:kern w:val="2"/>
          <w:highlight w:val="none"/>
        </w:rPr>
        <w:t>3.16投标总价为投标人在投标文件中提出的各项支付金额的总和,为实施、完成招标工程并修补缺陷以及履行招标文件中约定的风险范围内的所有责任和义务所发生的全部费用。</w:t>
      </w:r>
      <w:bookmarkStart w:id="987" w:name="_Toc80006117"/>
    </w:p>
    <w:p w14:paraId="1EFA1472">
      <w:pPr>
        <w:pStyle w:val="3"/>
        <w:spacing w:before="0" w:after="0" w:line="360" w:lineRule="auto"/>
        <w:rPr>
          <w:rFonts w:ascii="Times New Roman" w:hAnsi="Times New Roman" w:eastAsia="黑体"/>
          <w:b w:val="0"/>
          <w:bCs w:val="0"/>
          <w:color w:val="auto"/>
          <w:sz w:val="30"/>
          <w:highlight w:val="none"/>
        </w:rPr>
      </w:pPr>
      <w:bookmarkStart w:id="988" w:name="_Toc211498723"/>
      <w:r>
        <w:rPr>
          <w:rFonts w:hint="eastAsia" w:ascii="Times New Roman" w:hAnsi="Times New Roman" w:eastAsia="黑体"/>
          <w:b w:val="0"/>
          <w:bCs w:val="0"/>
          <w:color w:val="auto"/>
          <w:sz w:val="30"/>
          <w:highlight w:val="none"/>
        </w:rPr>
        <w:t>4.其他说明</w:t>
      </w:r>
      <w:bookmarkEnd w:id="987"/>
      <w:bookmarkEnd w:id="988"/>
    </w:p>
    <w:p w14:paraId="2718FEE1">
      <w:pPr>
        <w:rPr>
          <w:color w:val="auto"/>
          <w:highlight w:val="none"/>
        </w:rPr>
      </w:pPr>
      <w:r>
        <w:rPr>
          <w:rFonts w:hint="eastAsia" w:ascii="宋体" w:hAnsi="宋体"/>
          <w:color w:val="auto"/>
          <w:szCs w:val="21"/>
          <w:highlight w:val="none"/>
        </w:rPr>
        <w:t>注：由招标人根据有关规定，结合招标</w:t>
      </w:r>
      <w:r>
        <w:rPr>
          <w:rFonts w:ascii="宋体" w:hAnsi="宋体"/>
          <w:color w:val="auto"/>
          <w:szCs w:val="21"/>
          <w:highlight w:val="none"/>
        </w:rPr>
        <w:t>项目特点和实际需要</w:t>
      </w:r>
      <w:r>
        <w:rPr>
          <w:rFonts w:hint="eastAsia" w:ascii="宋体" w:hAnsi="宋体"/>
          <w:color w:val="auto"/>
          <w:szCs w:val="21"/>
          <w:highlight w:val="none"/>
        </w:rPr>
        <w:t>补充。</w:t>
      </w:r>
      <w:r>
        <w:rPr>
          <w:rFonts w:hint="eastAsia"/>
          <w:color w:val="auto"/>
          <w:highlight w:val="none"/>
        </w:rPr>
        <w:t>   </w:t>
      </w:r>
    </w:p>
    <w:bookmarkEnd w:id="982"/>
    <w:p w14:paraId="1E8C91DA">
      <w:pPr>
        <w:pStyle w:val="3"/>
        <w:spacing w:before="0" w:after="0" w:line="360" w:lineRule="auto"/>
        <w:rPr>
          <w:rFonts w:ascii="Times New Roman" w:hAnsi="Times New Roman" w:eastAsia="黑体"/>
          <w:b w:val="0"/>
          <w:bCs w:val="0"/>
          <w:color w:val="auto"/>
          <w:sz w:val="30"/>
          <w:highlight w:val="none"/>
        </w:rPr>
      </w:pPr>
      <w:bookmarkStart w:id="989" w:name="_Toc211498724"/>
      <w:bookmarkStart w:id="990" w:name="_Toc9178544"/>
      <w:bookmarkStart w:id="991" w:name="_Toc80006118"/>
      <w:r>
        <w:rPr>
          <w:rFonts w:ascii="Times New Roman" w:hAnsi="Times New Roman" w:eastAsia="黑体"/>
          <w:b w:val="0"/>
          <w:bCs w:val="0"/>
          <w:color w:val="auto"/>
          <w:sz w:val="30"/>
          <w:highlight w:val="none"/>
        </w:rPr>
        <w:t>5.工程量清单（另册）</w:t>
      </w:r>
      <w:bookmarkEnd w:id="989"/>
      <w:bookmarkEnd w:id="990"/>
      <w:bookmarkEnd w:id="991"/>
    </w:p>
    <w:p w14:paraId="04D88634">
      <w:pPr>
        <w:ind w:firstLine="480"/>
        <w:jc w:val="left"/>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 xml:space="preserve"> 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color w:val="auto"/>
          <w:highlight w:val="none"/>
        </w:rPr>
        <w:br w:type="page"/>
      </w:r>
    </w:p>
    <w:p w14:paraId="4A2709AD">
      <w:pPr>
        <w:pStyle w:val="2"/>
        <w:spacing w:before="0" w:after="0"/>
        <w:jc w:val="center"/>
        <w:rPr>
          <w:color w:val="auto"/>
          <w:highlight w:val="none"/>
        </w:rPr>
      </w:pPr>
      <w:bookmarkStart w:id="992" w:name="_Toc211498725"/>
      <w:r>
        <w:rPr>
          <w:rFonts w:hint="eastAsia" w:ascii="宋体" w:hAnsi="宋体" w:cs="Arial"/>
          <w:snapToGrid w:val="0"/>
          <w:color w:val="auto"/>
          <w:kern w:val="0"/>
          <w:szCs w:val="21"/>
          <w:highlight w:val="none"/>
        </w:rPr>
        <w:t>□</w:t>
      </w:r>
      <w:r>
        <w:rPr>
          <w:rFonts w:ascii="Times New Roman" w:hAnsi="Times New Roman" w:eastAsia="黑体"/>
          <w:b w:val="0"/>
          <w:bCs w:val="0"/>
          <w:color w:val="auto"/>
          <w:highlight w:val="none"/>
        </w:rPr>
        <w:t>第五章  工程量清单</w:t>
      </w:r>
      <w:bookmarkEnd w:id="992"/>
    </w:p>
    <w:p w14:paraId="1BD3787A">
      <w:pPr>
        <w:jc w:val="center"/>
        <w:rPr>
          <w:rFonts w:eastAsia="黑体"/>
          <w:color w:val="auto"/>
          <w:szCs w:val="21"/>
          <w:highlight w:val="none"/>
        </w:rPr>
      </w:pPr>
      <w:r>
        <w:rPr>
          <w:rFonts w:hint="eastAsia" w:eastAsia="黑体"/>
          <w:color w:val="auto"/>
          <w:sz w:val="24"/>
          <w:highlight w:val="none"/>
        </w:rPr>
        <w:t>（适用于采用“24清单标准”的项目）</w:t>
      </w:r>
    </w:p>
    <w:p w14:paraId="1ADAB28F">
      <w:pPr>
        <w:rPr>
          <w:color w:val="auto"/>
          <w:highlight w:val="none"/>
        </w:rPr>
      </w:pPr>
    </w:p>
    <w:p w14:paraId="31E00EC1">
      <w:pPr>
        <w:rPr>
          <w:rFonts w:eastAsia="黑体"/>
          <w:color w:val="auto"/>
          <w:sz w:val="30"/>
          <w:highlight w:val="none"/>
        </w:rPr>
      </w:pPr>
      <w:r>
        <w:rPr>
          <w:rFonts w:hint="eastAsia" w:ascii="宋体" w:hAnsi="宋体"/>
          <w:color w:val="auto"/>
          <w:szCs w:val="21"/>
          <w:highlight w:val="none"/>
        </w:rPr>
        <w:t>注：由招标人根据有关规定，结合招标</w:t>
      </w:r>
      <w:r>
        <w:rPr>
          <w:rFonts w:ascii="宋体" w:hAnsi="宋体"/>
          <w:color w:val="auto"/>
          <w:szCs w:val="21"/>
          <w:highlight w:val="none"/>
        </w:rPr>
        <w:t>项目特点和实际需要</w:t>
      </w:r>
      <w:r>
        <w:rPr>
          <w:rFonts w:hint="eastAsia" w:ascii="宋体" w:hAnsi="宋体"/>
          <w:color w:val="auto"/>
          <w:szCs w:val="21"/>
          <w:highlight w:val="none"/>
        </w:rPr>
        <w:t>编写。</w:t>
      </w:r>
    </w:p>
    <w:p w14:paraId="2D93CB7A">
      <w:pPr>
        <w:rPr>
          <w:color w:val="auto"/>
          <w:highlight w:val="none"/>
        </w:rPr>
      </w:pPr>
    </w:p>
    <w:p w14:paraId="04C8319D">
      <w:pPr>
        <w:rPr>
          <w:color w:val="auto"/>
          <w:highlight w:val="none"/>
        </w:rPr>
      </w:pPr>
    </w:p>
    <w:p w14:paraId="305C32D0">
      <w:pPr>
        <w:rPr>
          <w:color w:val="auto"/>
          <w:highlight w:val="none"/>
        </w:rPr>
      </w:pPr>
    </w:p>
    <w:p w14:paraId="52372049">
      <w:pPr>
        <w:rPr>
          <w:color w:val="auto"/>
          <w:highlight w:val="none"/>
        </w:rPr>
      </w:pPr>
    </w:p>
    <w:p w14:paraId="71679FFD">
      <w:pPr>
        <w:rPr>
          <w:color w:val="auto"/>
          <w:highlight w:val="none"/>
        </w:rPr>
      </w:pPr>
    </w:p>
    <w:p w14:paraId="7AE8BAFB">
      <w:pPr>
        <w:rPr>
          <w:color w:val="auto"/>
          <w:highlight w:val="none"/>
        </w:rPr>
      </w:pPr>
    </w:p>
    <w:p w14:paraId="5AFFA2C1">
      <w:pPr>
        <w:rPr>
          <w:color w:val="auto"/>
          <w:highlight w:val="none"/>
        </w:rPr>
      </w:pPr>
    </w:p>
    <w:p w14:paraId="2D76FD98">
      <w:pPr>
        <w:rPr>
          <w:color w:val="auto"/>
          <w:highlight w:val="none"/>
        </w:rPr>
      </w:pPr>
    </w:p>
    <w:p w14:paraId="0BF8E128">
      <w:pPr>
        <w:rPr>
          <w:color w:val="auto"/>
          <w:highlight w:val="none"/>
        </w:rPr>
      </w:pPr>
    </w:p>
    <w:p w14:paraId="5515AF95">
      <w:pPr>
        <w:rPr>
          <w:color w:val="auto"/>
          <w:highlight w:val="none"/>
        </w:rPr>
      </w:pPr>
    </w:p>
    <w:p w14:paraId="56CF0DD0">
      <w:pPr>
        <w:rPr>
          <w:color w:val="auto"/>
          <w:highlight w:val="none"/>
        </w:rPr>
      </w:pPr>
    </w:p>
    <w:p w14:paraId="6D743C3D">
      <w:pPr>
        <w:rPr>
          <w:color w:val="auto"/>
          <w:highlight w:val="none"/>
        </w:rPr>
      </w:pPr>
    </w:p>
    <w:p w14:paraId="77CB083A">
      <w:pPr>
        <w:rPr>
          <w:color w:val="auto"/>
          <w:highlight w:val="none"/>
        </w:rPr>
      </w:pPr>
    </w:p>
    <w:p w14:paraId="06F728E9">
      <w:pPr>
        <w:rPr>
          <w:color w:val="auto"/>
          <w:highlight w:val="none"/>
        </w:rPr>
      </w:pPr>
    </w:p>
    <w:p w14:paraId="2A1E5A6C">
      <w:pPr>
        <w:rPr>
          <w:color w:val="auto"/>
          <w:highlight w:val="none"/>
        </w:rPr>
      </w:pPr>
    </w:p>
    <w:p w14:paraId="6ED036C1">
      <w:pPr>
        <w:rPr>
          <w:color w:val="auto"/>
          <w:highlight w:val="none"/>
        </w:rPr>
      </w:pPr>
    </w:p>
    <w:p w14:paraId="6A03B3DD">
      <w:pPr>
        <w:rPr>
          <w:color w:val="auto"/>
          <w:highlight w:val="none"/>
        </w:rPr>
      </w:pPr>
    </w:p>
    <w:p w14:paraId="7AC5E945">
      <w:pPr>
        <w:rPr>
          <w:color w:val="auto"/>
          <w:highlight w:val="none"/>
        </w:rPr>
      </w:pPr>
    </w:p>
    <w:p w14:paraId="35B1F87A">
      <w:pPr>
        <w:rPr>
          <w:color w:val="auto"/>
          <w:highlight w:val="none"/>
        </w:rPr>
      </w:pPr>
    </w:p>
    <w:p w14:paraId="4C5C9875">
      <w:pPr>
        <w:rPr>
          <w:color w:val="auto"/>
          <w:highlight w:val="none"/>
        </w:rPr>
      </w:pPr>
    </w:p>
    <w:p w14:paraId="04763564">
      <w:pPr>
        <w:rPr>
          <w:color w:val="auto"/>
          <w:highlight w:val="none"/>
        </w:rPr>
      </w:pPr>
    </w:p>
    <w:p w14:paraId="2C10EB91">
      <w:pPr>
        <w:rPr>
          <w:color w:val="auto"/>
          <w:highlight w:val="none"/>
        </w:rPr>
      </w:pPr>
    </w:p>
    <w:p w14:paraId="5815C766">
      <w:pPr>
        <w:rPr>
          <w:color w:val="auto"/>
          <w:highlight w:val="none"/>
        </w:rPr>
      </w:pPr>
    </w:p>
    <w:p w14:paraId="423D1273">
      <w:pPr>
        <w:rPr>
          <w:color w:val="auto"/>
          <w:highlight w:val="none"/>
        </w:rPr>
      </w:pPr>
    </w:p>
    <w:p w14:paraId="49677B9C">
      <w:pPr>
        <w:rPr>
          <w:color w:val="auto"/>
          <w:highlight w:val="none"/>
        </w:rPr>
      </w:pPr>
    </w:p>
    <w:p w14:paraId="1F1B6DF6">
      <w:pPr>
        <w:rPr>
          <w:color w:val="auto"/>
          <w:highlight w:val="none"/>
        </w:rPr>
      </w:pPr>
    </w:p>
    <w:p w14:paraId="0C88C5C8">
      <w:pPr>
        <w:rPr>
          <w:color w:val="auto"/>
          <w:highlight w:val="none"/>
        </w:rPr>
      </w:pPr>
    </w:p>
    <w:p w14:paraId="22D603AA">
      <w:pPr>
        <w:rPr>
          <w:color w:val="auto"/>
          <w:highlight w:val="none"/>
        </w:rPr>
      </w:pPr>
    </w:p>
    <w:p w14:paraId="6E148B93">
      <w:pPr>
        <w:rPr>
          <w:color w:val="auto"/>
          <w:highlight w:val="none"/>
        </w:rPr>
      </w:pPr>
    </w:p>
    <w:p w14:paraId="7F172CB4">
      <w:pPr>
        <w:rPr>
          <w:color w:val="auto"/>
          <w:highlight w:val="none"/>
        </w:rPr>
      </w:pPr>
    </w:p>
    <w:p w14:paraId="4E351493">
      <w:pPr>
        <w:rPr>
          <w:color w:val="auto"/>
          <w:highlight w:val="none"/>
        </w:rPr>
      </w:pPr>
    </w:p>
    <w:p w14:paraId="3679B85C">
      <w:pPr>
        <w:rPr>
          <w:color w:val="auto"/>
          <w:highlight w:val="none"/>
        </w:rPr>
      </w:pPr>
    </w:p>
    <w:p w14:paraId="2971DB78">
      <w:pPr>
        <w:rPr>
          <w:color w:val="auto"/>
          <w:highlight w:val="none"/>
        </w:rPr>
      </w:pPr>
    </w:p>
    <w:p w14:paraId="7D98B893">
      <w:pPr>
        <w:rPr>
          <w:color w:val="auto"/>
          <w:highlight w:val="none"/>
        </w:rPr>
      </w:pPr>
    </w:p>
    <w:p w14:paraId="7A3533BC">
      <w:pPr>
        <w:rPr>
          <w:color w:val="auto"/>
          <w:highlight w:val="none"/>
        </w:rPr>
      </w:pPr>
    </w:p>
    <w:p w14:paraId="68805278">
      <w:pPr>
        <w:pStyle w:val="2"/>
        <w:jc w:val="center"/>
        <w:rPr>
          <w:rFonts w:ascii="Times New Roman" w:hAnsi="Times New Roman" w:eastAsia="黑体"/>
          <w:b w:val="0"/>
          <w:bCs w:val="0"/>
          <w:color w:val="auto"/>
          <w:sz w:val="44"/>
          <w:szCs w:val="44"/>
          <w:highlight w:val="none"/>
        </w:rPr>
      </w:pPr>
      <w:bookmarkStart w:id="993" w:name="_Toc211498726"/>
      <w:bookmarkStart w:id="994" w:name="_Toc300678501"/>
      <w:bookmarkStart w:id="995" w:name="_Toc80006119"/>
      <w:r>
        <w:rPr>
          <w:rFonts w:ascii="Times New Roman" w:hAnsi="Times New Roman" w:eastAsia="黑体"/>
          <w:b w:val="0"/>
          <w:bCs w:val="0"/>
          <w:color w:val="auto"/>
          <w:sz w:val="44"/>
          <w:szCs w:val="44"/>
          <w:highlight w:val="none"/>
        </w:rPr>
        <w:t>第  二  卷</w:t>
      </w:r>
      <w:bookmarkEnd w:id="993"/>
      <w:bookmarkEnd w:id="994"/>
      <w:bookmarkEnd w:id="995"/>
    </w:p>
    <w:p w14:paraId="70C63DD7">
      <w:pPr>
        <w:rPr>
          <w:color w:val="auto"/>
          <w:highlight w:val="none"/>
          <w:lang w:val="zh-CN"/>
        </w:rPr>
      </w:pPr>
    </w:p>
    <w:p w14:paraId="2C48A880">
      <w:pPr>
        <w:rPr>
          <w:color w:val="auto"/>
          <w:highlight w:val="none"/>
          <w:lang w:val="zh-CN"/>
        </w:rPr>
      </w:pPr>
    </w:p>
    <w:p w14:paraId="355AAA47">
      <w:pPr>
        <w:rPr>
          <w:color w:val="auto"/>
          <w:highlight w:val="none"/>
        </w:rPr>
      </w:pPr>
    </w:p>
    <w:p w14:paraId="3DE8D7F3">
      <w:pPr>
        <w:spacing w:after="0"/>
        <w:jc w:val="center"/>
        <w:rPr>
          <w:rFonts w:eastAsia="黑体"/>
          <w:color w:val="auto"/>
          <w:highlight w:val="none"/>
        </w:rPr>
      </w:pPr>
      <w:bookmarkStart w:id="996" w:name="_Toc300678502"/>
      <w:bookmarkStart w:id="997" w:name="_Toc80006120"/>
      <w:r>
        <w:rPr>
          <w:rFonts w:eastAsia="黑体"/>
          <w:color w:val="auto"/>
          <w:highlight w:val="none"/>
        </w:rPr>
        <w:br w:type="page"/>
      </w:r>
    </w:p>
    <w:p w14:paraId="6ACDDC7D">
      <w:pPr>
        <w:pStyle w:val="2"/>
        <w:spacing w:before="0" w:after="0"/>
        <w:jc w:val="center"/>
        <w:rPr>
          <w:rFonts w:ascii="Times New Roman" w:hAnsi="Times New Roman" w:eastAsia="黑体"/>
          <w:b w:val="0"/>
          <w:color w:val="auto"/>
          <w:highlight w:val="none"/>
        </w:rPr>
      </w:pPr>
      <w:bookmarkStart w:id="998" w:name="_Toc211498727"/>
      <w:r>
        <w:rPr>
          <w:rFonts w:ascii="Times New Roman" w:hAnsi="Times New Roman" w:eastAsia="黑体"/>
          <w:b w:val="0"/>
          <w:bCs w:val="0"/>
          <w:color w:val="auto"/>
          <w:highlight w:val="none"/>
        </w:rPr>
        <w:t>第六章  图  纸</w:t>
      </w:r>
      <w:bookmarkEnd w:id="996"/>
      <w:r>
        <w:rPr>
          <w:rFonts w:ascii="Times New Roman" w:hAnsi="Times New Roman" w:eastAsia="黑体"/>
          <w:b w:val="0"/>
          <w:color w:val="auto"/>
          <w:highlight w:val="none"/>
        </w:rPr>
        <w:t>（另册）</w:t>
      </w:r>
      <w:bookmarkEnd w:id="997"/>
      <w:bookmarkEnd w:id="998"/>
    </w:p>
    <w:p w14:paraId="38B7E3D9">
      <w:pPr>
        <w:spacing w:line="420" w:lineRule="exact"/>
        <w:jc w:val="center"/>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招标投标</w:t>
      </w:r>
      <w:r>
        <w:rPr>
          <w:color w:val="auto"/>
          <w:highlight w:val="none"/>
          <w:u w:val="single"/>
        </w:rPr>
        <w:t>交易平台</w:t>
      </w:r>
      <w:r>
        <w:rPr>
          <w:rFonts w:hint="eastAsia"/>
          <w:color w:val="auto"/>
          <w:highlight w:val="none"/>
          <w:u w:val="single"/>
        </w:rPr>
        <w:t>名称</w:t>
      </w:r>
      <w:r>
        <w:rPr>
          <w:color w:val="auto"/>
          <w:highlight w:val="none"/>
          <w:u w:val="single"/>
        </w:rPr>
        <w:t xml:space="preserve">  </w:t>
      </w:r>
      <w:r>
        <w:rPr>
          <w:color w:val="auto"/>
          <w:highlight w:val="none"/>
        </w:rPr>
        <w:t>下载</w:t>
      </w:r>
    </w:p>
    <w:p w14:paraId="3E73B179">
      <w:pPr>
        <w:pStyle w:val="183"/>
        <w:rPr>
          <w:color w:val="auto"/>
          <w:highlight w:val="none"/>
        </w:rPr>
      </w:pPr>
      <w:bookmarkStart w:id="999" w:name="_Toc152042572"/>
      <w:bookmarkStart w:id="1000" w:name="_Toc80006121"/>
      <w:bookmarkStart w:id="1001" w:name="_Toc144974852"/>
      <w:bookmarkStart w:id="1002" w:name="_Toc179632801"/>
      <w:bookmarkStart w:id="1003" w:name="_Toc79998407"/>
      <w:bookmarkStart w:id="1004" w:name="_Toc9178547"/>
      <w:bookmarkStart w:id="1005" w:name="_Toc211498728"/>
      <w:bookmarkStart w:id="1006" w:name="_Toc152045783"/>
      <w:r>
        <w:rPr>
          <w:rFonts w:hint="eastAsia"/>
          <w:color w:val="auto"/>
          <w:highlight w:val="none"/>
        </w:rPr>
        <w:t>1. 图纸目录</w:t>
      </w:r>
      <w:bookmarkEnd w:id="999"/>
      <w:bookmarkEnd w:id="1000"/>
      <w:bookmarkEnd w:id="1001"/>
      <w:bookmarkEnd w:id="1002"/>
      <w:bookmarkEnd w:id="1003"/>
      <w:bookmarkEnd w:id="1004"/>
      <w:bookmarkEnd w:id="1005"/>
      <w:bookmarkEnd w:id="1006"/>
    </w:p>
    <w:p w14:paraId="537DD4D8">
      <w:pPr>
        <w:spacing w:line="400" w:lineRule="exact"/>
        <w:rPr>
          <w:color w:val="auto"/>
          <w:highlight w:val="none"/>
        </w:rPr>
      </w:pPr>
    </w:p>
    <w:tbl>
      <w:tblPr>
        <w:tblStyle w:val="41"/>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570"/>
        <w:gridCol w:w="1570"/>
        <w:gridCol w:w="1570"/>
        <w:gridCol w:w="1570"/>
        <w:gridCol w:w="2249"/>
      </w:tblGrid>
      <w:tr w14:paraId="2382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308051FB">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70" w:type="dxa"/>
            <w:vAlign w:val="center"/>
          </w:tcPr>
          <w:p w14:paraId="2D29B00C">
            <w:pPr>
              <w:jc w:val="center"/>
              <w:rPr>
                <w:rFonts w:hint="eastAsia" w:ascii="宋体" w:hAnsi="宋体" w:cs="宋体"/>
                <w:color w:val="auto"/>
                <w:szCs w:val="21"/>
                <w:highlight w:val="none"/>
              </w:rPr>
            </w:pPr>
            <w:r>
              <w:rPr>
                <w:rFonts w:hint="eastAsia" w:ascii="宋体" w:hAnsi="宋体" w:cs="宋体"/>
                <w:color w:val="auto"/>
                <w:szCs w:val="21"/>
                <w:highlight w:val="none"/>
              </w:rPr>
              <w:t>图名</w:t>
            </w:r>
          </w:p>
        </w:tc>
        <w:tc>
          <w:tcPr>
            <w:tcW w:w="1570" w:type="dxa"/>
            <w:vAlign w:val="center"/>
          </w:tcPr>
          <w:p w14:paraId="14B4A6DB">
            <w:pPr>
              <w:jc w:val="center"/>
              <w:rPr>
                <w:rFonts w:hint="eastAsia" w:ascii="宋体" w:hAnsi="宋体" w:cs="宋体"/>
                <w:color w:val="auto"/>
                <w:szCs w:val="21"/>
                <w:highlight w:val="none"/>
              </w:rPr>
            </w:pPr>
            <w:r>
              <w:rPr>
                <w:rFonts w:hint="eastAsia" w:ascii="宋体" w:hAnsi="宋体" w:cs="宋体"/>
                <w:color w:val="auto"/>
                <w:szCs w:val="21"/>
                <w:highlight w:val="none"/>
              </w:rPr>
              <w:t>图号</w:t>
            </w:r>
          </w:p>
        </w:tc>
        <w:tc>
          <w:tcPr>
            <w:tcW w:w="1570" w:type="dxa"/>
            <w:vAlign w:val="center"/>
          </w:tcPr>
          <w:p w14:paraId="4EA707F9">
            <w:pPr>
              <w:jc w:val="center"/>
              <w:rPr>
                <w:rFonts w:hint="eastAsia" w:ascii="宋体" w:hAnsi="宋体" w:cs="宋体"/>
                <w:color w:val="auto"/>
                <w:szCs w:val="21"/>
                <w:highlight w:val="none"/>
              </w:rPr>
            </w:pPr>
            <w:r>
              <w:rPr>
                <w:rFonts w:hint="eastAsia" w:ascii="宋体" w:hAnsi="宋体" w:cs="宋体"/>
                <w:color w:val="auto"/>
                <w:szCs w:val="21"/>
                <w:highlight w:val="none"/>
              </w:rPr>
              <w:t>版本</w:t>
            </w:r>
          </w:p>
        </w:tc>
        <w:tc>
          <w:tcPr>
            <w:tcW w:w="1570" w:type="dxa"/>
            <w:vAlign w:val="center"/>
          </w:tcPr>
          <w:p w14:paraId="605E8239">
            <w:pPr>
              <w:jc w:val="center"/>
              <w:rPr>
                <w:rFonts w:hint="eastAsia" w:ascii="宋体" w:hAnsi="宋体" w:cs="宋体"/>
                <w:color w:val="auto"/>
                <w:szCs w:val="21"/>
                <w:highlight w:val="none"/>
              </w:rPr>
            </w:pPr>
            <w:r>
              <w:rPr>
                <w:rFonts w:hint="eastAsia" w:ascii="宋体" w:hAnsi="宋体" w:cs="宋体"/>
                <w:color w:val="auto"/>
                <w:szCs w:val="21"/>
                <w:highlight w:val="none"/>
              </w:rPr>
              <w:t>出图日期</w:t>
            </w:r>
          </w:p>
        </w:tc>
        <w:tc>
          <w:tcPr>
            <w:tcW w:w="2249" w:type="dxa"/>
            <w:vAlign w:val="center"/>
          </w:tcPr>
          <w:p w14:paraId="60796C6C">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1069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0682DF56">
            <w:pPr>
              <w:jc w:val="center"/>
              <w:rPr>
                <w:rFonts w:hint="eastAsia" w:ascii="宋体" w:hAnsi="宋体" w:cs="宋体"/>
                <w:color w:val="auto"/>
                <w:szCs w:val="21"/>
                <w:highlight w:val="none"/>
              </w:rPr>
            </w:pPr>
          </w:p>
        </w:tc>
        <w:tc>
          <w:tcPr>
            <w:tcW w:w="1570" w:type="dxa"/>
            <w:vAlign w:val="center"/>
          </w:tcPr>
          <w:p w14:paraId="4DE50C6E">
            <w:pPr>
              <w:jc w:val="center"/>
              <w:rPr>
                <w:rFonts w:hint="eastAsia" w:ascii="宋体" w:hAnsi="宋体" w:cs="宋体"/>
                <w:color w:val="auto"/>
                <w:szCs w:val="21"/>
                <w:highlight w:val="none"/>
              </w:rPr>
            </w:pPr>
          </w:p>
        </w:tc>
        <w:tc>
          <w:tcPr>
            <w:tcW w:w="1570" w:type="dxa"/>
            <w:vAlign w:val="center"/>
          </w:tcPr>
          <w:p w14:paraId="23E1526B">
            <w:pPr>
              <w:jc w:val="center"/>
              <w:rPr>
                <w:rFonts w:hint="eastAsia" w:ascii="宋体" w:hAnsi="宋体" w:cs="宋体"/>
                <w:color w:val="auto"/>
                <w:szCs w:val="21"/>
                <w:highlight w:val="none"/>
              </w:rPr>
            </w:pPr>
          </w:p>
        </w:tc>
        <w:tc>
          <w:tcPr>
            <w:tcW w:w="1570" w:type="dxa"/>
            <w:vAlign w:val="center"/>
          </w:tcPr>
          <w:p w14:paraId="0EAADCA8">
            <w:pPr>
              <w:jc w:val="center"/>
              <w:rPr>
                <w:rFonts w:hint="eastAsia" w:ascii="宋体" w:hAnsi="宋体" w:cs="宋体"/>
                <w:color w:val="auto"/>
                <w:szCs w:val="21"/>
                <w:highlight w:val="none"/>
              </w:rPr>
            </w:pPr>
          </w:p>
        </w:tc>
        <w:tc>
          <w:tcPr>
            <w:tcW w:w="1570" w:type="dxa"/>
            <w:vAlign w:val="center"/>
          </w:tcPr>
          <w:p w14:paraId="297F8AEB">
            <w:pPr>
              <w:jc w:val="center"/>
              <w:rPr>
                <w:rFonts w:hint="eastAsia" w:ascii="宋体" w:hAnsi="宋体" w:cs="宋体"/>
                <w:color w:val="auto"/>
                <w:szCs w:val="21"/>
                <w:highlight w:val="none"/>
              </w:rPr>
            </w:pPr>
          </w:p>
        </w:tc>
        <w:tc>
          <w:tcPr>
            <w:tcW w:w="2249" w:type="dxa"/>
            <w:vAlign w:val="center"/>
          </w:tcPr>
          <w:p w14:paraId="4568BCFF">
            <w:pPr>
              <w:jc w:val="center"/>
              <w:rPr>
                <w:rFonts w:hint="eastAsia" w:ascii="宋体" w:hAnsi="宋体" w:cs="宋体"/>
                <w:color w:val="auto"/>
                <w:szCs w:val="21"/>
                <w:highlight w:val="none"/>
              </w:rPr>
            </w:pPr>
          </w:p>
        </w:tc>
      </w:tr>
      <w:tr w14:paraId="7C96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18FB1942">
            <w:pPr>
              <w:jc w:val="center"/>
              <w:rPr>
                <w:rFonts w:hint="eastAsia" w:ascii="宋体" w:hAnsi="宋体" w:cs="宋体"/>
                <w:color w:val="auto"/>
                <w:szCs w:val="21"/>
                <w:highlight w:val="none"/>
              </w:rPr>
            </w:pPr>
          </w:p>
        </w:tc>
        <w:tc>
          <w:tcPr>
            <w:tcW w:w="1570" w:type="dxa"/>
            <w:vAlign w:val="center"/>
          </w:tcPr>
          <w:p w14:paraId="591B0524">
            <w:pPr>
              <w:jc w:val="center"/>
              <w:rPr>
                <w:rFonts w:hint="eastAsia" w:ascii="宋体" w:hAnsi="宋体" w:cs="宋体"/>
                <w:color w:val="auto"/>
                <w:szCs w:val="21"/>
                <w:highlight w:val="none"/>
              </w:rPr>
            </w:pPr>
          </w:p>
        </w:tc>
        <w:tc>
          <w:tcPr>
            <w:tcW w:w="1570" w:type="dxa"/>
            <w:vAlign w:val="center"/>
          </w:tcPr>
          <w:p w14:paraId="0E5449B8">
            <w:pPr>
              <w:jc w:val="center"/>
              <w:rPr>
                <w:rFonts w:hint="eastAsia" w:ascii="宋体" w:hAnsi="宋体" w:cs="宋体"/>
                <w:color w:val="auto"/>
                <w:szCs w:val="21"/>
                <w:highlight w:val="none"/>
              </w:rPr>
            </w:pPr>
          </w:p>
        </w:tc>
        <w:tc>
          <w:tcPr>
            <w:tcW w:w="1570" w:type="dxa"/>
            <w:vAlign w:val="center"/>
          </w:tcPr>
          <w:p w14:paraId="76E62D3B">
            <w:pPr>
              <w:jc w:val="center"/>
              <w:rPr>
                <w:rFonts w:hint="eastAsia" w:ascii="宋体" w:hAnsi="宋体" w:cs="宋体"/>
                <w:color w:val="auto"/>
                <w:szCs w:val="21"/>
                <w:highlight w:val="none"/>
              </w:rPr>
            </w:pPr>
          </w:p>
        </w:tc>
        <w:tc>
          <w:tcPr>
            <w:tcW w:w="1570" w:type="dxa"/>
            <w:vAlign w:val="center"/>
          </w:tcPr>
          <w:p w14:paraId="67589910">
            <w:pPr>
              <w:jc w:val="center"/>
              <w:rPr>
                <w:rFonts w:hint="eastAsia" w:ascii="宋体" w:hAnsi="宋体" w:cs="宋体"/>
                <w:color w:val="auto"/>
                <w:szCs w:val="21"/>
                <w:highlight w:val="none"/>
              </w:rPr>
            </w:pPr>
          </w:p>
        </w:tc>
        <w:tc>
          <w:tcPr>
            <w:tcW w:w="2249" w:type="dxa"/>
            <w:vAlign w:val="center"/>
          </w:tcPr>
          <w:p w14:paraId="242F733C">
            <w:pPr>
              <w:jc w:val="center"/>
              <w:rPr>
                <w:rFonts w:hint="eastAsia" w:ascii="宋体" w:hAnsi="宋体" w:cs="宋体"/>
                <w:color w:val="auto"/>
                <w:szCs w:val="21"/>
                <w:highlight w:val="none"/>
              </w:rPr>
            </w:pPr>
          </w:p>
        </w:tc>
      </w:tr>
      <w:tr w14:paraId="37FA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2AA6E9FC">
            <w:pPr>
              <w:jc w:val="center"/>
              <w:rPr>
                <w:rFonts w:hint="eastAsia" w:ascii="宋体" w:hAnsi="宋体" w:cs="宋体"/>
                <w:color w:val="auto"/>
                <w:szCs w:val="21"/>
                <w:highlight w:val="none"/>
              </w:rPr>
            </w:pPr>
          </w:p>
        </w:tc>
        <w:tc>
          <w:tcPr>
            <w:tcW w:w="1570" w:type="dxa"/>
            <w:vAlign w:val="center"/>
          </w:tcPr>
          <w:p w14:paraId="6FB64001">
            <w:pPr>
              <w:jc w:val="center"/>
              <w:rPr>
                <w:rFonts w:hint="eastAsia" w:ascii="宋体" w:hAnsi="宋体" w:cs="宋体"/>
                <w:color w:val="auto"/>
                <w:szCs w:val="21"/>
                <w:highlight w:val="none"/>
              </w:rPr>
            </w:pPr>
          </w:p>
        </w:tc>
        <w:tc>
          <w:tcPr>
            <w:tcW w:w="1570" w:type="dxa"/>
            <w:vAlign w:val="center"/>
          </w:tcPr>
          <w:p w14:paraId="1BBC4B20">
            <w:pPr>
              <w:jc w:val="center"/>
              <w:rPr>
                <w:rFonts w:hint="eastAsia" w:ascii="宋体" w:hAnsi="宋体" w:cs="宋体"/>
                <w:color w:val="auto"/>
                <w:szCs w:val="21"/>
                <w:highlight w:val="none"/>
              </w:rPr>
            </w:pPr>
          </w:p>
        </w:tc>
        <w:tc>
          <w:tcPr>
            <w:tcW w:w="1570" w:type="dxa"/>
            <w:vAlign w:val="center"/>
          </w:tcPr>
          <w:p w14:paraId="5A843FC2">
            <w:pPr>
              <w:jc w:val="center"/>
              <w:rPr>
                <w:rFonts w:hint="eastAsia" w:ascii="宋体" w:hAnsi="宋体" w:cs="宋体"/>
                <w:color w:val="auto"/>
                <w:szCs w:val="21"/>
                <w:highlight w:val="none"/>
              </w:rPr>
            </w:pPr>
          </w:p>
        </w:tc>
        <w:tc>
          <w:tcPr>
            <w:tcW w:w="1570" w:type="dxa"/>
            <w:vAlign w:val="center"/>
          </w:tcPr>
          <w:p w14:paraId="1797A3C3">
            <w:pPr>
              <w:jc w:val="center"/>
              <w:rPr>
                <w:rFonts w:hint="eastAsia" w:ascii="宋体" w:hAnsi="宋体" w:cs="宋体"/>
                <w:color w:val="auto"/>
                <w:szCs w:val="21"/>
                <w:highlight w:val="none"/>
              </w:rPr>
            </w:pPr>
          </w:p>
        </w:tc>
        <w:tc>
          <w:tcPr>
            <w:tcW w:w="2249" w:type="dxa"/>
            <w:vAlign w:val="center"/>
          </w:tcPr>
          <w:p w14:paraId="67359292">
            <w:pPr>
              <w:jc w:val="center"/>
              <w:rPr>
                <w:rFonts w:hint="eastAsia" w:ascii="宋体" w:hAnsi="宋体" w:cs="宋体"/>
                <w:color w:val="auto"/>
                <w:szCs w:val="21"/>
                <w:highlight w:val="none"/>
              </w:rPr>
            </w:pPr>
          </w:p>
        </w:tc>
      </w:tr>
      <w:tr w14:paraId="220B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02EB69CB">
            <w:pPr>
              <w:jc w:val="center"/>
              <w:rPr>
                <w:rFonts w:hint="eastAsia" w:ascii="宋体" w:hAnsi="宋体" w:cs="宋体"/>
                <w:color w:val="auto"/>
                <w:szCs w:val="21"/>
                <w:highlight w:val="none"/>
              </w:rPr>
            </w:pPr>
          </w:p>
        </w:tc>
        <w:tc>
          <w:tcPr>
            <w:tcW w:w="1570" w:type="dxa"/>
            <w:vAlign w:val="center"/>
          </w:tcPr>
          <w:p w14:paraId="409FBDAC">
            <w:pPr>
              <w:jc w:val="center"/>
              <w:rPr>
                <w:rFonts w:hint="eastAsia" w:ascii="宋体" w:hAnsi="宋体" w:cs="宋体"/>
                <w:color w:val="auto"/>
                <w:szCs w:val="21"/>
                <w:highlight w:val="none"/>
              </w:rPr>
            </w:pPr>
          </w:p>
        </w:tc>
        <w:tc>
          <w:tcPr>
            <w:tcW w:w="1570" w:type="dxa"/>
            <w:vAlign w:val="center"/>
          </w:tcPr>
          <w:p w14:paraId="2660267D">
            <w:pPr>
              <w:jc w:val="center"/>
              <w:rPr>
                <w:rFonts w:hint="eastAsia" w:ascii="宋体" w:hAnsi="宋体" w:cs="宋体"/>
                <w:color w:val="auto"/>
                <w:szCs w:val="21"/>
                <w:highlight w:val="none"/>
              </w:rPr>
            </w:pPr>
          </w:p>
        </w:tc>
        <w:tc>
          <w:tcPr>
            <w:tcW w:w="1570" w:type="dxa"/>
            <w:vAlign w:val="center"/>
          </w:tcPr>
          <w:p w14:paraId="1BF0FA0E">
            <w:pPr>
              <w:jc w:val="center"/>
              <w:rPr>
                <w:rFonts w:hint="eastAsia" w:ascii="宋体" w:hAnsi="宋体" w:cs="宋体"/>
                <w:color w:val="auto"/>
                <w:szCs w:val="21"/>
                <w:highlight w:val="none"/>
              </w:rPr>
            </w:pPr>
          </w:p>
        </w:tc>
        <w:tc>
          <w:tcPr>
            <w:tcW w:w="1570" w:type="dxa"/>
            <w:vAlign w:val="center"/>
          </w:tcPr>
          <w:p w14:paraId="6597B875">
            <w:pPr>
              <w:jc w:val="center"/>
              <w:rPr>
                <w:rFonts w:hint="eastAsia" w:ascii="宋体" w:hAnsi="宋体" w:cs="宋体"/>
                <w:color w:val="auto"/>
                <w:szCs w:val="21"/>
                <w:highlight w:val="none"/>
              </w:rPr>
            </w:pPr>
          </w:p>
        </w:tc>
        <w:tc>
          <w:tcPr>
            <w:tcW w:w="2249" w:type="dxa"/>
            <w:vAlign w:val="center"/>
          </w:tcPr>
          <w:p w14:paraId="6D62F276">
            <w:pPr>
              <w:jc w:val="center"/>
              <w:rPr>
                <w:rFonts w:hint="eastAsia" w:ascii="宋体" w:hAnsi="宋体" w:cs="宋体"/>
                <w:color w:val="auto"/>
                <w:szCs w:val="21"/>
                <w:highlight w:val="none"/>
              </w:rPr>
            </w:pPr>
          </w:p>
        </w:tc>
      </w:tr>
      <w:tr w14:paraId="4C24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1CB96107">
            <w:pPr>
              <w:jc w:val="center"/>
              <w:rPr>
                <w:rFonts w:hint="eastAsia" w:ascii="宋体" w:hAnsi="宋体" w:cs="宋体"/>
                <w:color w:val="auto"/>
                <w:szCs w:val="21"/>
                <w:highlight w:val="none"/>
              </w:rPr>
            </w:pPr>
          </w:p>
        </w:tc>
        <w:tc>
          <w:tcPr>
            <w:tcW w:w="1570" w:type="dxa"/>
            <w:vAlign w:val="center"/>
          </w:tcPr>
          <w:p w14:paraId="7A3A7FFE">
            <w:pPr>
              <w:jc w:val="center"/>
              <w:rPr>
                <w:rFonts w:hint="eastAsia" w:ascii="宋体" w:hAnsi="宋体" w:cs="宋体"/>
                <w:color w:val="auto"/>
                <w:szCs w:val="21"/>
                <w:highlight w:val="none"/>
              </w:rPr>
            </w:pPr>
          </w:p>
        </w:tc>
        <w:tc>
          <w:tcPr>
            <w:tcW w:w="1570" w:type="dxa"/>
            <w:vAlign w:val="center"/>
          </w:tcPr>
          <w:p w14:paraId="47A98812">
            <w:pPr>
              <w:jc w:val="center"/>
              <w:rPr>
                <w:rFonts w:hint="eastAsia" w:ascii="宋体" w:hAnsi="宋体" w:cs="宋体"/>
                <w:color w:val="auto"/>
                <w:szCs w:val="21"/>
                <w:highlight w:val="none"/>
              </w:rPr>
            </w:pPr>
          </w:p>
        </w:tc>
        <w:tc>
          <w:tcPr>
            <w:tcW w:w="1570" w:type="dxa"/>
            <w:vAlign w:val="center"/>
          </w:tcPr>
          <w:p w14:paraId="068DF2A6">
            <w:pPr>
              <w:jc w:val="center"/>
              <w:rPr>
                <w:rFonts w:hint="eastAsia" w:ascii="宋体" w:hAnsi="宋体" w:cs="宋体"/>
                <w:color w:val="auto"/>
                <w:szCs w:val="21"/>
                <w:highlight w:val="none"/>
              </w:rPr>
            </w:pPr>
          </w:p>
        </w:tc>
        <w:tc>
          <w:tcPr>
            <w:tcW w:w="1570" w:type="dxa"/>
            <w:vAlign w:val="center"/>
          </w:tcPr>
          <w:p w14:paraId="44C4E1B7">
            <w:pPr>
              <w:jc w:val="center"/>
              <w:rPr>
                <w:rFonts w:hint="eastAsia" w:ascii="宋体" w:hAnsi="宋体" w:cs="宋体"/>
                <w:color w:val="auto"/>
                <w:szCs w:val="21"/>
                <w:highlight w:val="none"/>
              </w:rPr>
            </w:pPr>
          </w:p>
        </w:tc>
        <w:tc>
          <w:tcPr>
            <w:tcW w:w="2249" w:type="dxa"/>
            <w:vAlign w:val="center"/>
          </w:tcPr>
          <w:p w14:paraId="525287B0">
            <w:pPr>
              <w:jc w:val="center"/>
              <w:rPr>
                <w:rFonts w:hint="eastAsia" w:ascii="宋体" w:hAnsi="宋体" w:cs="宋体"/>
                <w:color w:val="auto"/>
                <w:szCs w:val="21"/>
                <w:highlight w:val="none"/>
              </w:rPr>
            </w:pPr>
          </w:p>
        </w:tc>
      </w:tr>
      <w:tr w14:paraId="4714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63A6F1B3">
            <w:pPr>
              <w:jc w:val="center"/>
              <w:rPr>
                <w:rFonts w:hint="eastAsia" w:ascii="宋体" w:hAnsi="宋体" w:cs="宋体"/>
                <w:color w:val="auto"/>
                <w:szCs w:val="21"/>
                <w:highlight w:val="none"/>
              </w:rPr>
            </w:pPr>
          </w:p>
        </w:tc>
        <w:tc>
          <w:tcPr>
            <w:tcW w:w="1570" w:type="dxa"/>
            <w:vAlign w:val="center"/>
          </w:tcPr>
          <w:p w14:paraId="53734831">
            <w:pPr>
              <w:jc w:val="center"/>
              <w:rPr>
                <w:rFonts w:hint="eastAsia" w:ascii="宋体" w:hAnsi="宋体" w:cs="宋体"/>
                <w:color w:val="auto"/>
                <w:szCs w:val="21"/>
                <w:highlight w:val="none"/>
              </w:rPr>
            </w:pPr>
          </w:p>
        </w:tc>
        <w:tc>
          <w:tcPr>
            <w:tcW w:w="1570" w:type="dxa"/>
            <w:vAlign w:val="center"/>
          </w:tcPr>
          <w:p w14:paraId="5FD0ECE9">
            <w:pPr>
              <w:jc w:val="center"/>
              <w:rPr>
                <w:rFonts w:hint="eastAsia" w:ascii="宋体" w:hAnsi="宋体" w:cs="宋体"/>
                <w:color w:val="auto"/>
                <w:szCs w:val="21"/>
                <w:highlight w:val="none"/>
              </w:rPr>
            </w:pPr>
          </w:p>
        </w:tc>
        <w:tc>
          <w:tcPr>
            <w:tcW w:w="1570" w:type="dxa"/>
            <w:vAlign w:val="center"/>
          </w:tcPr>
          <w:p w14:paraId="50A58624">
            <w:pPr>
              <w:jc w:val="center"/>
              <w:rPr>
                <w:rFonts w:hint="eastAsia" w:ascii="宋体" w:hAnsi="宋体" w:cs="宋体"/>
                <w:color w:val="auto"/>
                <w:szCs w:val="21"/>
                <w:highlight w:val="none"/>
              </w:rPr>
            </w:pPr>
          </w:p>
        </w:tc>
        <w:tc>
          <w:tcPr>
            <w:tcW w:w="1570" w:type="dxa"/>
            <w:vAlign w:val="center"/>
          </w:tcPr>
          <w:p w14:paraId="0B74D6E7">
            <w:pPr>
              <w:jc w:val="center"/>
              <w:rPr>
                <w:rFonts w:hint="eastAsia" w:ascii="宋体" w:hAnsi="宋体" w:cs="宋体"/>
                <w:color w:val="auto"/>
                <w:szCs w:val="21"/>
                <w:highlight w:val="none"/>
              </w:rPr>
            </w:pPr>
          </w:p>
        </w:tc>
        <w:tc>
          <w:tcPr>
            <w:tcW w:w="2249" w:type="dxa"/>
            <w:vAlign w:val="center"/>
          </w:tcPr>
          <w:p w14:paraId="20282C7E">
            <w:pPr>
              <w:jc w:val="center"/>
              <w:rPr>
                <w:rFonts w:hint="eastAsia" w:ascii="宋体" w:hAnsi="宋体" w:cs="宋体"/>
                <w:color w:val="auto"/>
                <w:szCs w:val="21"/>
                <w:highlight w:val="none"/>
              </w:rPr>
            </w:pPr>
          </w:p>
        </w:tc>
      </w:tr>
      <w:tr w14:paraId="7D20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3176F3F1">
            <w:pPr>
              <w:jc w:val="center"/>
              <w:rPr>
                <w:rFonts w:hint="eastAsia" w:ascii="宋体" w:hAnsi="宋体" w:cs="宋体"/>
                <w:color w:val="auto"/>
                <w:szCs w:val="21"/>
                <w:highlight w:val="none"/>
              </w:rPr>
            </w:pPr>
          </w:p>
        </w:tc>
        <w:tc>
          <w:tcPr>
            <w:tcW w:w="1570" w:type="dxa"/>
            <w:vAlign w:val="center"/>
          </w:tcPr>
          <w:p w14:paraId="366A98A9">
            <w:pPr>
              <w:jc w:val="center"/>
              <w:rPr>
                <w:rFonts w:hint="eastAsia" w:ascii="宋体" w:hAnsi="宋体" w:cs="宋体"/>
                <w:color w:val="auto"/>
                <w:szCs w:val="21"/>
                <w:highlight w:val="none"/>
              </w:rPr>
            </w:pPr>
          </w:p>
        </w:tc>
        <w:tc>
          <w:tcPr>
            <w:tcW w:w="1570" w:type="dxa"/>
            <w:vAlign w:val="center"/>
          </w:tcPr>
          <w:p w14:paraId="06DBC5F8">
            <w:pPr>
              <w:jc w:val="center"/>
              <w:rPr>
                <w:rFonts w:hint="eastAsia" w:ascii="宋体" w:hAnsi="宋体" w:cs="宋体"/>
                <w:color w:val="auto"/>
                <w:szCs w:val="21"/>
                <w:highlight w:val="none"/>
              </w:rPr>
            </w:pPr>
          </w:p>
        </w:tc>
        <w:tc>
          <w:tcPr>
            <w:tcW w:w="1570" w:type="dxa"/>
            <w:vAlign w:val="center"/>
          </w:tcPr>
          <w:p w14:paraId="66432849">
            <w:pPr>
              <w:jc w:val="center"/>
              <w:rPr>
                <w:rFonts w:hint="eastAsia" w:ascii="宋体" w:hAnsi="宋体" w:cs="宋体"/>
                <w:color w:val="auto"/>
                <w:szCs w:val="21"/>
                <w:highlight w:val="none"/>
              </w:rPr>
            </w:pPr>
          </w:p>
        </w:tc>
        <w:tc>
          <w:tcPr>
            <w:tcW w:w="1570" w:type="dxa"/>
            <w:vAlign w:val="center"/>
          </w:tcPr>
          <w:p w14:paraId="1BC73DAD">
            <w:pPr>
              <w:jc w:val="center"/>
              <w:rPr>
                <w:rFonts w:hint="eastAsia" w:ascii="宋体" w:hAnsi="宋体" w:cs="宋体"/>
                <w:color w:val="auto"/>
                <w:szCs w:val="21"/>
                <w:highlight w:val="none"/>
              </w:rPr>
            </w:pPr>
          </w:p>
        </w:tc>
        <w:tc>
          <w:tcPr>
            <w:tcW w:w="2249" w:type="dxa"/>
            <w:vAlign w:val="center"/>
          </w:tcPr>
          <w:p w14:paraId="2410062E">
            <w:pPr>
              <w:jc w:val="center"/>
              <w:rPr>
                <w:rFonts w:hint="eastAsia" w:ascii="宋体" w:hAnsi="宋体" w:cs="宋体"/>
                <w:color w:val="auto"/>
                <w:szCs w:val="21"/>
                <w:highlight w:val="none"/>
              </w:rPr>
            </w:pPr>
          </w:p>
        </w:tc>
      </w:tr>
      <w:tr w14:paraId="2451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2BDD907C">
            <w:pPr>
              <w:jc w:val="center"/>
              <w:rPr>
                <w:rFonts w:hint="eastAsia" w:ascii="宋体" w:hAnsi="宋体" w:cs="宋体"/>
                <w:color w:val="auto"/>
                <w:szCs w:val="21"/>
                <w:highlight w:val="none"/>
              </w:rPr>
            </w:pPr>
          </w:p>
        </w:tc>
        <w:tc>
          <w:tcPr>
            <w:tcW w:w="1570" w:type="dxa"/>
            <w:vAlign w:val="center"/>
          </w:tcPr>
          <w:p w14:paraId="7E19092F">
            <w:pPr>
              <w:jc w:val="center"/>
              <w:rPr>
                <w:rFonts w:hint="eastAsia" w:ascii="宋体" w:hAnsi="宋体" w:cs="宋体"/>
                <w:color w:val="auto"/>
                <w:szCs w:val="21"/>
                <w:highlight w:val="none"/>
              </w:rPr>
            </w:pPr>
          </w:p>
        </w:tc>
        <w:tc>
          <w:tcPr>
            <w:tcW w:w="1570" w:type="dxa"/>
            <w:vAlign w:val="center"/>
          </w:tcPr>
          <w:p w14:paraId="7E9DCDA3">
            <w:pPr>
              <w:jc w:val="center"/>
              <w:rPr>
                <w:rFonts w:hint="eastAsia" w:ascii="宋体" w:hAnsi="宋体" w:cs="宋体"/>
                <w:color w:val="auto"/>
                <w:szCs w:val="21"/>
                <w:highlight w:val="none"/>
              </w:rPr>
            </w:pPr>
          </w:p>
        </w:tc>
        <w:tc>
          <w:tcPr>
            <w:tcW w:w="1570" w:type="dxa"/>
            <w:vAlign w:val="center"/>
          </w:tcPr>
          <w:p w14:paraId="7E327318">
            <w:pPr>
              <w:jc w:val="center"/>
              <w:rPr>
                <w:rFonts w:hint="eastAsia" w:ascii="宋体" w:hAnsi="宋体" w:cs="宋体"/>
                <w:color w:val="auto"/>
                <w:szCs w:val="21"/>
                <w:highlight w:val="none"/>
              </w:rPr>
            </w:pPr>
          </w:p>
        </w:tc>
        <w:tc>
          <w:tcPr>
            <w:tcW w:w="1570" w:type="dxa"/>
            <w:vAlign w:val="center"/>
          </w:tcPr>
          <w:p w14:paraId="4DC9C814">
            <w:pPr>
              <w:jc w:val="center"/>
              <w:rPr>
                <w:rFonts w:hint="eastAsia" w:ascii="宋体" w:hAnsi="宋体" w:cs="宋体"/>
                <w:color w:val="auto"/>
                <w:szCs w:val="21"/>
                <w:highlight w:val="none"/>
              </w:rPr>
            </w:pPr>
          </w:p>
        </w:tc>
        <w:tc>
          <w:tcPr>
            <w:tcW w:w="2249" w:type="dxa"/>
            <w:vAlign w:val="center"/>
          </w:tcPr>
          <w:p w14:paraId="7F0A30EB">
            <w:pPr>
              <w:jc w:val="center"/>
              <w:rPr>
                <w:rFonts w:hint="eastAsia" w:ascii="宋体" w:hAnsi="宋体" w:cs="宋体"/>
                <w:color w:val="auto"/>
                <w:szCs w:val="21"/>
                <w:highlight w:val="none"/>
              </w:rPr>
            </w:pPr>
          </w:p>
        </w:tc>
      </w:tr>
      <w:tr w14:paraId="4E52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209B117A">
            <w:pPr>
              <w:jc w:val="center"/>
              <w:rPr>
                <w:rFonts w:hint="eastAsia" w:ascii="宋体" w:hAnsi="宋体" w:cs="宋体"/>
                <w:color w:val="auto"/>
                <w:szCs w:val="21"/>
                <w:highlight w:val="none"/>
              </w:rPr>
            </w:pPr>
          </w:p>
        </w:tc>
        <w:tc>
          <w:tcPr>
            <w:tcW w:w="1570" w:type="dxa"/>
            <w:vAlign w:val="center"/>
          </w:tcPr>
          <w:p w14:paraId="2A71282B">
            <w:pPr>
              <w:jc w:val="center"/>
              <w:rPr>
                <w:rFonts w:hint="eastAsia" w:ascii="宋体" w:hAnsi="宋体" w:cs="宋体"/>
                <w:color w:val="auto"/>
                <w:szCs w:val="21"/>
                <w:highlight w:val="none"/>
              </w:rPr>
            </w:pPr>
          </w:p>
        </w:tc>
        <w:tc>
          <w:tcPr>
            <w:tcW w:w="1570" w:type="dxa"/>
            <w:vAlign w:val="center"/>
          </w:tcPr>
          <w:p w14:paraId="02A3150B">
            <w:pPr>
              <w:jc w:val="center"/>
              <w:rPr>
                <w:rFonts w:hint="eastAsia" w:ascii="宋体" w:hAnsi="宋体" w:cs="宋体"/>
                <w:color w:val="auto"/>
                <w:szCs w:val="21"/>
                <w:highlight w:val="none"/>
              </w:rPr>
            </w:pPr>
          </w:p>
        </w:tc>
        <w:tc>
          <w:tcPr>
            <w:tcW w:w="1570" w:type="dxa"/>
            <w:vAlign w:val="center"/>
          </w:tcPr>
          <w:p w14:paraId="556E78C0">
            <w:pPr>
              <w:jc w:val="center"/>
              <w:rPr>
                <w:rFonts w:hint="eastAsia" w:ascii="宋体" w:hAnsi="宋体" w:cs="宋体"/>
                <w:color w:val="auto"/>
                <w:szCs w:val="21"/>
                <w:highlight w:val="none"/>
              </w:rPr>
            </w:pPr>
          </w:p>
        </w:tc>
        <w:tc>
          <w:tcPr>
            <w:tcW w:w="1570" w:type="dxa"/>
            <w:vAlign w:val="center"/>
          </w:tcPr>
          <w:p w14:paraId="1641828E">
            <w:pPr>
              <w:jc w:val="center"/>
              <w:rPr>
                <w:rFonts w:hint="eastAsia" w:ascii="宋体" w:hAnsi="宋体" w:cs="宋体"/>
                <w:color w:val="auto"/>
                <w:szCs w:val="21"/>
                <w:highlight w:val="none"/>
              </w:rPr>
            </w:pPr>
          </w:p>
        </w:tc>
        <w:tc>
          <w:tcPr>
            <w:tcW w:w="2249" w:type="dxa"/>
            <w:vAlign w:val="center"/>
          </w:tcPr>
          <w:p w14:paraId="79E3A429">
            <w:pPr>
              <w:jc w:val="center"/>
              <w:rPr>
                <w:rFonts w:hint="eastAsia" w:ascii="宋体" w:hAnsi="宋体" w:cs="宋体"/>
                <w:color w:val="auto"/>
                <w:szCs w:val="21"/>
                <w:highlight w:val="none"/>
              </w:rPr>
            </w:pPr>
          </w:p>
        </w:tc>
      </w:tr>
      <w:tr w14:paraId="39C5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2AFA40CA">
            <w:pPr>
              <w:jc w:val="center"/>
              <w:rPr>
                <w:rFonts w:hint="eastAsia" w:ascii="宋体" w:hAnsi="宋体" w:cs="宋体"/>
                <w:color w:val="auto"/>
                <w:szCs w:val="21"/>
                <w:highlight w:val="none"/>
              </w:rPr>
            </w:pPr>
          </w:p>
        </w:tc>
        <w:tc>
          <w:tcPr>
            <w:tcW w:w="1570" w:type="dxa"/>
            <w:vAlign w:val="center"/>
          </w:tcPr>
          <w:p w14:paraId="69328AA7">
            <w:pPr>
              <w:jc w:val="center"/>
              <w:rPr>
                <w:rFonts w:hint="eastAsia" w:ascii="宋体" w:hAnsi="宋体" w:cs="宋体"/>
                <w:color w:val="auto"/>
                <w:szCs w:val="21"/>
                <w:highlight w:val="none"/>
              </w:rPr>
            </w:pPr>
          </w:p>
        </w:tc>
        <w:tc>
          <w:tcPr>
            <w:tcW w:w="1570" w:type="dxa"/>
            <w:vAlign w:val="center"/>
          </w:tcPr>
          <w:p w14:paraId="2F43EC0E">
            <w:pPr>
              <w:jc w:val="center"/>
              <w:rPr>
                <w:rFonts w:hint="eastAsia" w:ascii="宋体" w:hAnsi="宋体" w:cs="宋体"/>
                <w:color w:val="auto"/>
                <w:szCs w:val="21"/>
                <w:highlight w:val="none"/>
              </w:rPr>
            </w:pPr>
          </w:p>
        </w:tc>
        <w:tc>
          <w:tcPr>
            <w:tcW w:w="1570" w:type="dxa"/>
            <w:vAlign w:val="center"/>
          </w:tcPr>
          <w:p w14:paraId="2EC2EDCA">
            <w:pPr>
              <w:jc w:val="center"/>
              <w:rPr>
                <w:rFonts w:hint="eastAsia" w:ascii="宋体" w:hAnsi="宋体" w:cs="宋体"/>
                <w:color w:val="auto"/>
                <w:szCs w:val="21"/>
                <w:highlight w:val="none"/>
              </w:rPr>
            </w:pPr>
          </w:p>
        </w:tc>
        <w:tc>
          <w:tcPr>
            <w:tcW w:w="1570" w:type="dxa"/>
            <w:vAlign w:val="center"/>
          </w:tcPr>
          <w:p w14:paraId="652E7078">
            <w:pPr>
              <w:jc w:val="center"/>
              <w:rPr>
                <w:rFonts w:hint="eastAsia" w:ascii="宋体" w:hAnsi="宋体" w:cs="宋体"/>
                <w:color w:val="auto"/>
                <w:szCs w:val="21"/>
                <w:highlight w:val="none"/>
              </w:rPr>
            </w:pPr>
          </w:p>
        </w:tc>
        <w:tc>
          <w:tcPr>
            <w:tcW w:w="2249" w:type="dxa"/>
            <w:vAlign w:val="center"/>
          </w:tcPr>
          <w:p w14:paraId="4FD1D34A">
            <w:pPr>
              <w:jc w:val="center"/>
              <w:rPr>
                <w:rFonts w:hint="eastAsia" w:ascii="宋体" w:hAnsi="宋体" w:cs="宋体"/>
                <w:color w:val="auto"/>
                <w:szCs w:val="21"/>
                <w:highlight w:val="none"/>
              </w:rPr>
            </w:pPr>
          </w:p>
        </w:tc>
      </w:tr>
      <w:tr w14:paraId="1081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4453FBA0">
            <w:pPr>
              <w:jc w:val="center"/>
              <w:rPr>
                <w:rFonts w:hint="eastAsia" w:ascii="宋体" w:hAnsi="宋体" w:cs="宋体"/>
                <w:color w:val="auto"/>
                <w:szCs w:val="21"/>
                <w:highlight w:val="none"/>
              </w:rPr>
            </w:pPr>
          </w:p>
        </w:tc>
        <w:tc>
          <w:tcPr>
            <w:tcW w:w="1570" w:type="dxa"/>
            <w:vAlign w:val="center"/>
          </w:tcPr>
          <w:p w14:paraId="6D7F86D2">
            <w:pPr>
              <w:jc w:val="center"/>
              <w:rPr>
                <w:rFonts w:hint="eastAsia" w:ascii="宋体" w:hAnsi="宋体" w:cs="宋体"/>
                <w:color w:val="auto"/>
                <w:szCs w:val="21"/>
                <w:highlight w:val="none"/>
              </w:rPr>
            </w:pPr>
          </w:p>
        </w:tc>
        <w:tc>
          <w:tcPr>
            <w:tcW w:w="1570" w:type="dxa"/>
            <w:vAlign w:val="center"/>
          </w:tcPr>
          <w:p w14:paraId="659E05F9">
            <w:pPr>
              <w:jc w:val="center"/>
              <w:rPr>
                <w:rFonts w:hint="eastAsia" w:ascii="宋体" w:hAnsi="宋体" w:cs="宋体"/>
                <w:color w:val="auto"/>
                <w:szCs w:val="21"/>
                <w:highlight w:val="none"/>
              </w:rPr>
            </w:pPr>
          </w:p>
        </w:tc>
        <w:tc>
          <w:tcPr>
            <w:tcW w:w="1570" w:type="dxa"/>
            <w:vAlign w:val="center"/>
          </w:tcPr>
          <w:p w14:paraId="76058071">
            <w:pPr>
              <w:jc w:val="center"/>
              <w:rPr>
                <w:rFonts w:hint="eastAsia" w:ascii="宋体" w:hAnsi="宋体" w:cs="宋体"/>
                <w:color w:val="auto"/>
                <w:szCs w:val="21"/>
                <w:highlight w:val="none"/>
              </w:rPr>
            </w:pPr>
          </w:p>
        </w:tc>
        <w:tc>
          <w:tcPr>
            <w:tcW w:w="1570" w:type="dxa"/>
            <w:vAlign w:val="center"/>
          </w:tcPr>
          <w:p w14:paraId="5814C1C5">
            <w:pPr>
              <w:jc w:val="center"/>
              <w:rPr>
                <w:rFonts w:hint="eastAsia" w:ascii="宋体" w:hAnsi="宋体" w:cs="宋体"/>
                <w:color w:val="auto"/>
                <w:szCs w:val="21"/>
                <w:highlight w:val="none"/>
              </w:rPr>
            </w:pPr>
          </w:p>
        </w:tc>
        <w:tc>
          <w:tcPr>
            <w:tcW w:w="2249" w:type="dxa"/>
            <w:vAlign w:val="center"/>
          </w:tcPr>
          <w:p w14:paraId="60E86A69">
            <w:pPr>
              <w:jc w:val="center"/>
              <w:rPr>
                <w:rFonts w:hint="eastAsia" w:ascii="宋体" w:hAnsi="宋体" w:cs="宋体"/>
                <w:color w:val="auto"/>
                <w:szCs w:val="21"/>
                <w:highlight w:val="none"/>
              </w:rPr>
            </w:pPr>
          </w:p>
        </w:tc>
      </w:tr>
      <w:tr w14:paraId="061E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1B72CC51">
            <w:pPr>
              <w:jc w:val="center"/>
              <w:rPr>
                <w:rFonts w:hint="eastAsia" w:ascii="宋体" w:hAnsi="宋体" w:cs="宋体"/>
                <w:color w:val="auto"/>
                <w:szCs w:val="21"/>
                <w:highlight w:val="none"/>
              </w:rPr>
            </w:pPr>
          </w:p>
        </w:tc>
        <w:tc>
          <w:tcPr>
            <w:tcW w:w="1570" w:type="dxa"/>
            <w:vAlign w:val="center"/>
          </w:tcPr>
          <w:p w14:paraId="5B90693A">
            <w:pPr>
              <w:jc w:val="center"/>
              <w:rPr>
                <w:rFonts w:hint="eastAsia" w:ascii="宋体" w:hAnsi="宋体" w:cs="宋体"/>
                <w:color w:val="auto"/>
                <w:szCs w:val="21"/>
                <w:highlight w:val="none"/>
              </w:rPr>
            </w:pPr>
          </w:p>
        </w:tc>
        <w:tc>
          <w:tcPr>
            <w:tcW w:w="1570" w:type="dxa"/>
            <w:vAlign w:val="center"/>
          </w:tcPr>
          <w:p w14:paraId="5C5B50EA">
            <w:pPr>
              <w:jc w:val="center"/>
              <w:rPr>
                <w:rFonts w:hint="eastAsia" w:ascii="宋体" w:hAnsi="宋体" w:cs="宋体"/>
                <w:color w:val="auto"/>
                <w:szCs w:val="21"/>
                <w:highlight w:val="none"/>
              </w:rPr>
            </w:pPr>
          </w:p>
        </w:tc>
        <w:tc>
          <w:tcPr>
            <w:tcW w:w="1570" w:type="dxa"/>
            <w:vAlign w:val="center"/>
          </w:tcPr>
          <w:p w14:paraId="5738959E">
            <w:pPr>
              <w:jc w:val="center"/>
              <w:rPr>
                <w:rFonts w:hint="eastAsia" w:ascii="宋体" w:hAnsi="宋体" w:cs="宋体"/>
                <w:color w:val="auto"/>
                <w:szCs w:val="21"/>
                <w:highlight w:val="none"/>
              </w:rPr>
            </w:pPr>
          </w:p>
        </w:tc>
        <w:tc>
          <w:tcPr>
            <w:tcW w:w="1570" w:type="dxa"/>
            <w:vAlign w:val="center"/>
          </w:tcPr>
          <w:p w14:paraId="28C23314">
            <w:pPr>
              <w:jc w:val="center"/>
              <w:rPr>
                <w:rFonts w:hint="eastAsia" w:ascii="宋体" w:hAnsi="宋体" w:cs="宋体"/>
                <w:color w:val="auto"/>
                <w:szCs w:val="21"/>
                <w:highlight w:val="none"/>
              </w:rPr>
            </w:pPr>
          </w:p>
        </w:tc>
        <w:tc>
          <w:tcPr>
            <w:tcW w:w="2249" w:type="dxa"/>
            <w:vAlign w:val="center"/>
          </w:tcPr>
          <w:p w14:paraId="2D81EF4D">
            <w:pPr>
              <w:jc w:val="center"/>
              <w:rPr>
                <w:rFonts w:hint="eastAsia" w:ascii="宋体" w:hAnsi="宋体" w:cs="宋体"/>
                <w:color w:val="auto"/>
                <w:szCs w:val="21"/>
                <w:highlight w:val="none"/>
              </w:rPr>
            </w:pPr>
          </w:p>
        </w:tc>
      </w:tr>
      <w:tr w14:paraId="469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77A48FA4">
            <w:pPr>
              <w:jc w:val="center"/>
              <w:rPr>
                <w:rFonts w:hint="eastAsia" w:ascii="宋体" w:hAnsi="宋体" w:cs="宋体"/>
                <w:color w:val="auto"/>
                <w:szCs w:val="21"/>
                <w:highlight w:val="none"/>
              </w:rPr>
            </w:pPr>
          </w:p>
        </w:tc>
        <w:tc>
          <w:tcPr>
            <w:tcW w:w="1570" w:type="dxa"/>
            <w:vAlign w:val="center"/>
          </w:tcPr>
          <w:p w14:paraId="7EA64446">
            <w:pPr>
              <w:jc w:val="center"/>
              <w:rPr>
                <w:rFonts w:hint="eastAsia" w:ascii="宋体" w:hAnsi="宋体" w:cs="宋体"/>
                <w:color w:val="auto"/>
                <w:szCs w:val="21"/>
                <w:highlight w:val="none"/>
              </w:rPr>
            </w:pPr>
          </w:p>
        </w:tc>
        <w:tc>
          <w:tcPr>
            <w:tcW w:w="1570" w:type="dxa"/>
            <w:vAlign w:val="center"/>
          </w:tcPr>
          <w:p w14:paraId="6C8B0DA6">
            <w:pPr>
              <w:jc w:val="center"/>
              <w:rPr>
                <w:rFonts w:hint="eastAsia" w:ascii="宋体" w:hAnsi="宋体" w:cs="宋体"/>
                <w:color w:val="auto"/>
                <w:szCs w:val="21"/>
                <w:highlight w:val="none"/>
              </w:rPr>
            </w:pPr>
          </w:p>
        </w:tc>
        <w:tc>
          <w:tcPr>
            <w:tcW w:w="1570" w:type="dxa"/>
            <w:vAlign w:val="center"/>
          </w:tcPr>
          <w:p w14:paraId="3023E17E">
            <w:pPr>
              <w:jc w:val="center"/>
              <w:rPr>
                <w:rFonts w:hint="eastAsia" w:ascii="宋体" w:hAnsi="宋体" w:cs="宋体"/>
                <w:color w:val="auto"/>
                <w:szCs w:val="21"/>
                <w:highlight w:val="none"/>
              </w:rPr>
            </w:pPr>
          </w:p>
        </w:tc>
        <w:tc>
          <w:tcPr>
            <w:tcW w:w="1570" w:type="dxa"/>
            <w:vAlign w:val="center"/>
          </w:tcPr>
          <w:p w14:paraId="04FB890D">
            <w:pPr>
              <w:jc w:val="center"/>
              <w:rPr>
                <w:rFonts w:hint="eastAsia" w:ascii="宋体" w:hAnsi="宋体" w:cs="宋体"/>
                <w:color w:val="auto"/>
                <w:szCs w:val="21"/>
                <w:highlight w:val="none"/>
              </w:rPr>
            </w:pPr>
          </w:p>
        </w:tc>
        <w:tc>
          <w:tcPr>
            <w:tcW w:w="2249" w:type="dxa"/>
            <w:vAlign w:val="center"/>
          </w:tcPr>
          <w:p w14:paraId="3E1E4DB1">
            <w:pPr>
              <w:jc w:val="center"/>
              <w:rPr>
                <w:rFonts w:hint="eastAsia" w:ascii="宋体" w:hAnsi="宋体" w:cs="宋体"/>
                <w:color w:val="auto"/>
                <w:szCs w:val="21"/>
                <w:highlight w:val="none"/>
              </w:rPr>
            </w:pPr>
          </w:p>
        </w:tc>
      </w:tr>
      <w:tr w14:paraId="0194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5DE73050">
            <w:pPr>
              <w:jc w:val="center"/>
              <w:rPr>
                <w:rFonts w:hint="eastAsia" w:ascii="宋体" w:hAnsi="宋体" w:cs="宋体"/>
                <w:color w:val="auto"/>
                <w:szCs w:val="21"/>
                <w:highlight w:val="none"/>
              </w:rPr>
            </w:pPr>
          </w:p>
        </w:tc>
        <w:tc>
          <w:tcPr>
            <w:tcW w:w="1570" w:type="dxa"/>
            <w:vAlign w:val="center"/>
          </w:tcPr>
          <w:p w14:paraId="44D8A918">
            <w:pPr>
              <w:jc w:val="center"/>
              <w:rPr>
                <w:rFonts w:hint="eastAsia" w:ascii="宋体" w:hAnsi="宋体" w:cs="宋体"/>
                <w:color w:val="auto"/>
                <w:szCs w:val="21"/>
                <w:highlight w:val="none"/>
              </w:rPr>
            </w:pPr>
          </w:p>
        </w:tc>
        <w:tc>
          <w:tcPr>
            <w:tcW w:w="1570" w:type="dxa"/>
            <w:vAlign w:val="center"/>
          </w:tcPr>
          <w:p w14:paraId="50F6DABA">
            <w:pPr>
              <w:jc w:val="center"/>
              <w:rPr>
                <w:rFonts w:hint="eastAsia" w:ascii="宋体" w:hAnsi="宋体" w:cs="宋体"/>
                <w:color w:val="auto"/>
                <w:szCs w:val="21"/>
                <w:highlight w:val="none"/>
              </w:rPr>
            </w:pPr>
          </w:p>
        </w:tc>
        <w:tc>
          <w:tcPr>
            <w:tcW w:w="1570" w:type="dxa"/>
            <w:vAlign w:val="center"/>
          </w:tcPr>
          <w:p w14:paraId="372FD0F8">
            <w:pPr>
              <w:jc w:val="center"/>
              <w:rPr>
                <w:rFonts w:hint="eastAsia" w:ascii="宋体" w:hAnsi="宋体" w:cs="宋体"/>
                <w:color w:val="auto"/>
                <w:szCs w:val="21"/>
                <w:highlight w:val="none"/>
              </w:rPr>
            </w:pPr>
          </w:p>
        </w:tc>
        <w:tc>
          <w:tcPr>
            <w:tcW w:w="1570" w:type="dxa"/>
            <w:vAlign w:val="center"/>
          </w:tcPr>
          <w:p w14:paraId="110713EF">
            <w:pPr>
              <w:jc w:val="center"/>
              <w:rPr>
                <w:rFonts w:hint="eastAsia" w:ascii="宋体" w:hAnsi="宋体" w:cs="宋体"/>
                <w:color w:val="auto"/>
                <w:szCs w:val="21"/>
                <w:highlight w:val="none"/>
              </w:rPr>
            </w:pPr>
          </w:p>
        </w:tc>
        <w:tc>
          <w:tcPr>
            <w:tcW w:w="2249" w:type="dxa"/>
            <w:vAlign w:val="center"/>
          </w:tcPr>
          <w:p w14:paraId="5C82C808">
            <w:pPr>
              <w:jc w:val="center"/>
              <w:rPr>
                <w:rFonts w:hint="eastAsia" w:ascii="宋体" w:hAnsi="宋体" w:cs="宋体"/>
                <w:color w:val="auto"/>
                <w:szCs w:val="21"/>
                <w:highlight w:val="none"/>
              </w:rPr>
            </w:pPr>
          </w:p>
        </w:tc>
      </w:tr>
      <w:tr w14:paraId="4AF2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6ED16922">
            <w:pPr>
              <w:jc w:val="center"/>
              <w:rPr>
                <w:rFonts w:hint="eastAsia" w:ascii="宋体" w:hAnsi="宋体" w:cs="宋体"/>
                <w:color w:val="auto"/>
                <w:szCs w:val="21"/>
                <w:highlight w:val="none"/>
              </w:rPr>
            </w:pPr>
          </w:p>
        </w:tc>
        <w:tc>
          <w:tcPr>
            <w:tcW w:w="1570" w:type="dxa"/>
            <w:vAlign w:val="center"/>
          </w:tcPr>
          <w:p w14:paraId="0FEBC307">
            <w:pPr>
              <w:jc w:val="center"/>
              <w:rPr>
                <w:rFonts w:hint="eastAsia" w:ascii="宋体" w:hAnsi="宋体" w:cs="宋体"/>
                <w:color w:val="auto"/>
                <w:szCs w:val="21"/>
                <w:highlight w:val="none"/>
              </w:rPr>
            </w:pPr>
          </w:p>
        </w:tc>
        <w:tc>
          <w:tcPr>
            <w:tcW w:w="1570" w:type="dxa"/>
            <w:vAlign w:val="center"/>
          </w:tcPr>
          <w:p w14:paraId="26F9FC1D">
            <w:pPr>
              <w:jc w:val="center"/>
              <w:rPr>
                <w:rFonts w:hint="eastAsia" w:ascii="宋体" w:hAnsi="宋体" w:cs="宋体"/>
                <w:color w:val="auto"/>
                <w:szCs w:val="21"/>
                <w:highlight w:val="none"/>
              </w:rPr>
            </w:pPr>
          </w:p>
        </w:tc>
        <w:tc>
          <w:tcPr>
            <w:tcW w:w="1570" w:type="dxa"/>
            <w:vAlign w:val="center"/>
          </w:tcPr>
          <w:p w14:paraId="57EF88A0">
            <w:pPr>
              <w:jc w:val="center"/>
              <w:rPr>
                <w:rFonts w:hint="eastAsia" w:ascii="宋体" w:hAnsi="宋体" w:cs="宋体"/>
                <w:color w:val="auto"/>
                <w:szCs w:val="21"/>
                <w:highlight w:val="none"/>
              </w:rPr>
            </w:pPr>
          </w:p>
        </w:tc>
        <w:tc>
          <w:tcPr>
            <w:tcW w:w="1570" w:type="dxa"/>
            <w:vAlign w:val="center"/>
          </w:tcPr>
          <w:p w14:paraId="53E782A9">
            <w:pPr>
              <w:jc w:val="center"/>
              <w:rPr>
                <w:rFonts w:hint="eastAsia" w:ascii="宋体" w:hAnsi="宋体" w:cs="宋体"/>
                <w:color w:val="auto"/>
                <w:szCs w:val="21"/>
                <w:highlight w:val="none"/>
              </w:rPr>
            </w:pPr>
          </w:p>
        </w:tc>
        <w:tc>
          <w:tcPr>
            <w:tcW w:w="2249" w:type="dxa"/>
            <w:vAlign w:val="center"/>
          </w:tcPr>
          <w:p w14:paraId="6AF6F38E">
            <w:pPr>
              <w:jc w:val="center"/>
              <w:rPr>
                <w:rFonts w:hint="eastAsia" w:ascii="宋体" w:hAnsi="宋体" w:cs="宋体"/>
                <w:color w:val="auto"/>
                <w:szCs w:val="21"/>
                <w:highlight w:val="none"/>
              </w:rPr>
            </w:pPr>
          </w:p>
        </w:tc>
      </w:tr>
      <w:tr w14:paraId="23C2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062F8A7F">
            <w:pPr>
              <w:jc w:val="center"/>
              <w:rPr>
                <w:rFonts w:hint="eastAsia" w:ascii="宋体" w:hAnsi="宋体" w:cs="宋体"/>
                <w:color w:val="auto"/>
                <w:szCs w:val="21"/>
                <w:highlight w:val="none"/>
              </w:rPr>
            </w:pPr>
          </w:p>
        </w:tc>
        <w:tc>
          <w:tcPr>
            <w:tcW w:w="1570" w:type="dxa"/>
            <w:vAlign w:val="center"/>
          </w:tcPr>
          <w:p w14:paraId="1F14FEE4">
            <w:pPr>
              <w:jc w:val="center"/>
              <w:rPr>
                <w:rFonts w:hint="eastAsia" w:ascii="宋体" w:hAnsi="宋体" w:cs="宋体"/>
                <w:color w:val="auto"/>
                <w:szCs w:val="21"/>
                <w:highlight w:val="none"/>
              </w:rPr>
            </w:pPr>
          </w:p>
        </w:tc>
        <w:tc>
          <w:tcPr>
            <w:tcW w:w="1570" w:type="dxa"/>
            <w:vAlign w:val="center"/>
          </w:tcPr>
          <w:p w14:paraId="54106308">
            <w:pPr>
              <w:jc w:val="center"/>
              <w:rPr>
                <w:rFonts w:hint="eastAsia" w:ascii="宋体" w:hAnsi="宋体" w:cs="宋体"/>
                <w:color w:val="auto"/>
                <w:szCs w:val="21"/>
                <w:highlight w:val="none"/>
              </w:rPr>
            </w:pPr>
          </w:p>
        </w:tc>
        <w:tc>
          <w:tcPr>
            <w:tcW w:w="1570" w:type="dxa"/>
            <w:vAlign w:val="center"/>
          </w:tcPr>
          <w:p w14:paraId="16DD88AB">
            <w:pPr>
              <w:jc w:val="center"/>
              <w:rPr>
                <w:rFonts w:hint="eastAsia" w:ascii="宋体" w:hAnsi="宋体" w:cs="宋体"/>
                <w:color w:val="auto"/>
                <w:szCs w:val="21"/>
                <w:highlight w:val="none"/>
              </w:rPr>
            </w:pPr>
          </w:p>
        </w:tc>
        <w:tc>
          <w:tcPr>
            <w:tcW w:w="1570" w:type="dxa"/>
            <w:vAlign w:val="center"/>
          </w:tcPr>
          <w:p w14:paraId="4847A488">
            <w:pPr>
              <w:jc w:val="center"/>
              <w:rPr>
                <w:rFonts w:hint="eastAsia" w:ascii="宋体" w:hAnsi="宋体" w:cs="宋体"/>
                <w:color w:val="auto"/>
                <w:szCs w:val="21"/>
                <w:highlight w:val="none"/>
              </w:rPr>
            </w:pPr>
          </w:p>
        </w:tc>
        <w:tc>
          <w:tcPr>
            <w:tcW w:w="2249" w:type="dxa"/>
            <w:vAlign w:val="center"/>
          </w:tcPr>
          <w:p w14:paraId="477F800A">
            <w:pPr>
              <w:jc w:val="center"/>
              <w:rPr>
                <w:rFonts w:hint="eastAsia" w:ascii="宋体" w:hAnsi="宋体" w:cs="宋体"/>
                <w:color w:val="auto"/>
                <w:szCs w:val="21"/>
                <w:highlight w:val="none"/>
              </w:rPr>
            </w:pPr>
          </w:p>
        </w:tc>
      </w:tr>
      <w:tr w14:paraId="7952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01125E95">
            <w:pPr>
              <w:jc w:val="center"/>
              <w:rPr>
                <w:rFonts w:hint="eastAsia" w:ascii="宋体" w:hAnsi="宋体" w:cs="宋体"/>
                <w:color w:val="auto"/>
                <w:szCs w:val="21"/>
                <w:highlight w:val="none"/>
              </w:rPr>
            </w:pPr>
          </w:p>
        </w:tc>
        <w:tc>
          <w:tcPr>
            <w:tcW w:w="1570" w:type="dxa"/>
            <w:vAlign w:val="center"/>
          </w:tcPr>
          <w:p w14:paraId="1A108DC6">
            <w:pPr>
              <w:jc w:val="center"/>
              <w:rPr>
                <w:rFonts w:hint="eastAsia" w:ascii="宋体" w:hAnsi="宋体" w:cs="宋体"/>
                <w:color w:val="auto"/>
                <w:szCs w:val="21"/>
                <w:highlight w:val="none"/>
              </w:rPr>
            </w:pPr>
          </w:p>
        </w:tc>
        <w:tc>
          <w:tcPr>
            <w:tcW w:w="1570" w:type="dxa"/>
            <w:vAlign w:val="center"/>
          </w:tcPr>
          <w:p w14:paraId="30A6EBD8">
            <w:pPr>
              <w:jc w:val="center"/>
              <w:rPr>
                <w:rFonts w:hint="eastAsia" w:ascii="宋体" w:hAnsi="宋体" w:cs="宋体"/>
                <w:color w:val="auto"/>
                <w:szCs w:val="21"/>
                <w:highlight w:val="none"/>
              </w:rPr>
            </w:pPr>
          </w:p>
        </w:tc>
        <w:tc>
          <w:tcPr>
            <w:tcW w:w="1570" w:type="dxa"/>
            <w:vAlign w:val="center"/>
          </w:tcPr>
          <w:p w14:paraId="70D7A7DC">
            <w:pPr>
              <w:jc w:val="center"/>
              <w:rPr>
                <w:rFonts w:hint="eastAsia" w:ascii="宋体" w:hAnsi="宋体" w:cs="宋体"/>
                <w:color w:val="auto"/>
                <w:szCs w:val="21"/>
                <w:highlight w:val="none"/>
              </w:rPr>
            </w:pPr>
          </w:p>
        </w:tc>
        <w:tc>
          <w:tcPr>
            <w:tcW w:w="1570" w:type="dxa"/>
            <w:vAlign w:val="center"/>
          </w:tcPr>
          <w:p w14:paraId="2196934F">
            <w:pPr>
              <w:jc w:val="center"/>
              <w:rPr>
                <w:rFonts w:hint="eastAsia" w:ascii="宋体" w:hAnsi="宋体" w:cs="宋体"/>
                <w:color w:val="auto"/>
                <w:szCs w:val="21"/>
                <w:highlight w:val="none"/>
              </w:rPr>
            </w:pPr>
          </w:p>
        </w:tc>
        <w:tc>
          <w:tcPr>
            <w:tcW w:w="2249" w:type="dxa"/>
            <w:vAlign w:val="center"/>
          </w:tcPr>
          <w:p w14:paraId="3050E283">
            <w:pPr>
              <w:jc w:val="center"/>
              <w:rPr>
                <w:rFonts w:hint="eastAsia" w:ascii="宋体" w:hAnsi="宋体" w:cs="宋体"/>
                <w:color w:val="auto"/>
                <w:szCs w:val="21"/>
                <w:highlight w:val="none"/>
              </w:rPr>
            </w:pPr>
          </w:p>
        </w:tc>
      </w:tr>
      <w:tr w14:paraId="286A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2D85E28D">
            <w:pPr>
              <w:jc w:val="center"/>
              <w:rPr>
                <w:rFonts w:hint="eastAsia" w:ascii="宋体" w:hAnsi="宋体" w:cs="宋体"/>
                <w:color w:val="auto"/>
                <w:szCs w:val="21"/>
                <w:highlight w:val="none"/>
              </w:rPr>
            </w:pPr>
          </w:p>
        </w:tc>
        <w:tc>
          <w:tcPr>
            <w:tcW w:w="1570" w:type="dxa"/>
            <w:vAlign w:val="center"/>
          </w:tcPr>
          <w:p w14:paraId="274A98AE">
            <w:pPr>
              <w:jc w:val="center"/>
              <w:rPr>
                <w:rFonts w:hint="eastAsia" w:ascii="宋体" w:hAnsi="宋体" w:cs="宋体"/>
                <w:color w:val="auto"/>
                <w:szCs w:val="21"/>
                <w:highlight w:val="none"/>
              </w:rPr>
            </w:pPr>
          </w:p>
        </w:tc>
        <w:tc>
          <w:tcPr>
            <w:tcW w:w="1570" w:type="dxa"/>
            <w:vAlign w:val="center"/>
          </w:tcPr>
          <w:p w14:paraId="54D09265">
            <w:pPr>
              <w:jc w:val="center"/>
              <w:rPr>
                <w:rFonts w:hint="eastAsia" w:ascii="宋体" w:hAnsi="宋体" w:cs="宋体"/>
                <w:color w:val="auto"/>
                <w:szCs w:val="21"/>
                <w:highlight w:val="none"/>
              </w:rPr>
            </w:pPr>
          </w:p>
        </w:tc>
        <w:tc>
          <w:tcPr>
            <w:tcW w:w="1570" w:type="dxa"/>
            <w:vAlign w:val="center"/>
          </w:tcPr>
          <w:p w14:paraId="2065C9E5">
            <w:pPr>
              <w:jc w:val="center"/>
              <w:rPr>
                <w:rFonts w:hint="eastAsia" w:ascii="宋体" w:hAnsi="宋体" w:cs="宋体"/>
                <w:color w:val="auto"/>
                <w:szCs w:val="21"/>
                <w:highlight w:val="none"/>
              </w:rPr>
            </w:pPr>
          </w:p>
        </w:tc>
        <w:tc>
          <w:tcPr>
            <w:tcW w:w="1570" w:type="dxa"/>
            <w:vAlign w:val="center"/>
          </w:tcPr>
          <w:p w14:paraId="7124BF25">
            <w:pPr>
              <w:jc w:val="center"/>
              <w:rPr>
                <w:rFonts w:hint="eastAsia" w:ascii="宋体" w:hAnsi="宋体" w:cs="宋体"/>
                <w:color w:val="auto"/>
                <w:szCs w:val="21"/>
                <w:highlight w:val="none"/>
              </w:rPr>
            </w:pPr>
          </w:p>
        </w:tc>
        <w:tc>
          <w:tcPr>
            <w:tcW w:w="2249" w:type="dxa"/>
            <w:vAlign w:val="center"/>
          </w:tcPr>
          <w:p w14:paraId="33B76A2A">
            <w:pPr>
              <w:jc w:val="center"/>
              <w:rPr>
                <w:rFonts w:hint="eastAsia" w:ascii="宋体" w:hAnsi="宋体" w:cs="宋体"/>
                <w:color w:val="auto"/>
                <w:szCs w:val="21"/>
                <w:highlight w:val="none"/>
              </w:rPr>
            </w:pPr>
          </w:p>
        </w:tc>
      </w:tr>
      <w:tr w14:paraId="3C7C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730C7CD0">
            <w:pPr>
              <w:jc w:val="center"/>
              <w:rPr>
                <w:rFonts w:hint="eastAsia" w:ascii="宋体" w:hAnsi="宋体" w:cs="宋体"/>
                <w:color w:val="auto"/>
                <w:szCs w:val="21"/>
                <w:highlight w:val="none"/>
              </w:rPr>
            </w:pPr>
          </w:p>
        </w:tc>
        <w:tc>
          <w:tcPr>
            <w:tcW w:w="1570" w:type="dxa"/>
            <w:vAlign w:val="center"/>
          </w:tcPr>
          <w:p w14:paraId="0C2CD5CC">
            <w:pPr>
              <w:jc w:val="center"/>
              <w:rPr>
                <w:rFonts w:hint="eastAsia" w:ascii="宋体" w:hAnsi="宋体" w:cs="宋体"/>
                <w:color w:val="auto"/>
                <w:szCs w:val="21"/>
                <w:highlight w:val="none"/>
              </w:rPr>
            </w:pPr>
          </w:p>
        </w:tc>
        <w:tc>
          <w:tcPr>
            <w:tcW w:w="1570" w:type="dxa"/>
            <w:vAlign w:val="center"/>
          </w:tcPr>
          <w:p w14:paraId="72F82A5E">
            <w:pPr>
              <w:jc w:val="center"/>
              <w:rPr>
                <w:rFonts w:hint="eastAsia" w:ascii="宋体" w:hAnsi="宋体" w:cs="宋体"/>
                <w:color w:val="auto"/>
                <w:szCs w:val="21"/>
                <w:highlight w:val="none"/>
              </w:rPr>
            </w:pPr>
          </w:p>
        </w:tc>
        <w:tc>
          <w:tcPr>
            <w:tcW w:w="1570" w:type="dxa"/>
            <w:vAlign w:val="center"/>
          </w:tcPr>
          <w:p w14:paraId="7C20FE4A">
            <w:pPr>
              <w:jc w:val="center"/>
              <w:rPr>
                <w:rFonts w:hint="eastAsia" w:ascii="宋体" w:hAnsi="宋体" w:cs="宋体"/>
                <w:color w:val="auto"/>
                <w:szCs w:val="21"/>
                <w:highlight w:val="none"/>
              </w:rPr>
            </w:pPr>
          </w:p>
        </w:tc>
        <w:tc>
          <w:tcPr>
            <w:tcW w:w="1570" w:type="dxa"/>
            <w:vAlign w:val="center"/>
          </w:tcPr>
          <w:p w14:paraId="55E28412">
            <w:pPr>
              <w:jc w:val="center"/>
              <w:rPr>
                <w:rFonts w:hint="eastAsia" w:ascii="宋体" w:hAnsi="宋体" w:cs="宋体"/>
                <w:color w:val="auto"/>
                <w:szCs w:val="21"/>
                <w:highlight w:val="none"/>
              </w:rPr>
            </w:pPr>
          </w:p>
        </w:tc>
        <w:tc>
          <w:tcPr>
            <w:tcW w:w="2249" w:type="dxa"/>
            <w:vAlign w:val="center"/>
          </w:tcPr>
          <w:p w14:paraId="40669CC2">
            <w:pPr>
              <w:jc w:val="center"/>
              <w:rPr>
                <w:rFonts w:hint="eastAsia" w:ascii="宋体" w:hAnsi="宋体" w:cs="宋体"/>
                <w:color w:val="auto"/>
                <w:szCs w:val="21"/>
                <w:highlight w:val="none"/>
              </w:rPr>
            </w:pPr>
          </w:p>
        </w:tc>
      </w:tr>
      <w:tr w14:paraId="1F06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0B112450">
            <w:pPr>
              <w:jc w:val="center"/>
              <w:rPr>
                <w:rFonts w:hint="eastAsia" w:ascii="宋体" w:hAnsi="宋体" w:cs="宋体"/>
                <w:color w:val="auto"/>
                <w:szCs w:val="21"/>
                <w:highlight w:val="none"/>
              </w:rPr>
            </w:pPr>
          </w:p>
        </w:tc>
        <w:tc>
          <w:tcPr>
            <w:tcW w:w="1570" w:type="dxa"/>
            <w:vAlign w:val="center"/>
          </w:tcPr>
          <w:p w14:paraId="7EB83D0E">
            <w:pPr>
              <w:jc w:val="center"/>
              <w:rPr>
                <w:rFonts w:hint="eastAsia" w:ascii="宋体" w:hAnsi="宋体" w:cs="宋体"/>
                <w:color w:val="auto"/>
                <w:szCs w:val="21"/>
                <w:highlight w:val="none"/>
              </w:rPr>
            </w:pPr>
          </w:p>
        </w:tc>
        <w:tc>
          <w:tcPr>
            <w:tcW w:w="1570" w:type="dxa"/>
            <w:vAlign w:val="center"/>
          </w:tcPr>
          <w:p w14:paraId="637CEE06">
            <w:pPr>
              <w:jc w:val="center"/>
              <w:rPr>
                <w:rFonts w:hint="eastAsia" w:ascii="宋体" w:hAnsi="宋体" w:cs="宋体"/>
                <w:color w:val="auto"/>
                <w:szCs w:val="21"/>
                <w:highlight w:val="none"/>
              </w:rPr>
            </w:pPr>
          </w:p>
        </w:tc>
        <w:tc>
          <w:tcPr>
            <w:tcW w:w="1570" w:type="dxa"/>
            <w:vAlign w:val="center"/>
          </w:tcPr>
          <w:p w14:paraId="63EC624B">
            <w:pPr>
              <w:jc w:val="center"/>
              <w:rPr>
                <w:rFonts w:hint="eastAsia" w:ascii="宋体" w:hAnsi="宋体" w:cs="宋体"/>
                <w:color w:val="auto"/>
                <w:szCs w:val="21"/>
                <w:highlight w:val="none"/>
              </w:rPr>
            </w:pPr>
          </w:p>
        </w:tc>
        <w:tc>
          <w:tcPr>
            <w:tcW w:w="1570" w:type="dxa"/>
            <w:vAlign w:val="center"/>
          </w:tcPr>
          <w:p w14:paraId="0736A05C">
            <w:pPr>
              <w:jc w:val="center"/>
              <w:rPr>
                <w:rFonts w:hint="eastAsia" w:ascii="宋体" w:hAnsi="宋体" w:cs="宋体"/>
                <w:color w:val="auto"/>
                <w:szCs w:val="21"/>
                <w:highlight w:val="none"/>
              </w:rPr>
            </w:pPr>
          </w:p>
        </w:tc>
        <w:tc>
          <w:tcPr>
            <w:tcW w:w="2249" w:type="dxa"/>
            <w:vAlign w:val="center"/>
          </w:tcPr>
          <w:p w14:paraId="2DF7D0B2">
            <w:pPr>
              <w:jc w:val="center"/>
              <w:rPr>
                <w:rFonts w:hint="eastAsia" w:ascii="宋体" w:hAnsi="宋体" w:cs="宋体"/>
                <w:color w:val="auto"/>
                <w:szCs w:val="21"/>
                <w:highlight w:val="none"/>
              </w:rPr>
            </w:pPr>
          </w:p>
        </w:tc>
      </w:tr>
    </w:tbl>
    <w:p w14:paraId="1C1B2AEA">
      <w:pPr>
        <w:spacing w:line="400" w:lineRule="exact"/>
        <w:rPr>
          <w:color w:val="auto"/>
          <w:highlight w:val="none"/>
        </w:rPr>
      </w:pPr>
      <w:bookmarkStart w:id="1007" w:name="_Toc152045784"/>
      <w:bookmarkStart w:id="1008" w:name="_Toc152042573"/>
      <w:bookmarkStart w:id="1009" w:name="_Toc9178548"/>
      <w:bookmarkStart w:id="1010" w:name="_Toc179632802"/>
      <w:bookmarkStart w:id="1011" w:name="_Toc144974853"/>
    </w:p>
    <w:p w14:paraId="2F4C2185">
      <w:pPr>
        <w:spacing w:line="400" w:lineRule="exact"/>
        <w:rPr>
          <w:color w:val="auto"/>
          <w:highlight w:val="none"/>
        </w:rPr>
      </w:pPr>
      <w:r>
        <w:rPr>
          <w:rFonts w:hint="eastAsia"/>
          <w:color w:val="auto"/>
          <w:highlight w:val="none"/>
        </w:rPr>
        <w:t>2. 图纸</w:t>
      </w:r>
      <w:bookmarkEnd w:id="1007"/>
      <w:bookmarkEnd w:id="1008"/>
      <w:bookmarkEnd w:id="1009"/>
      <w:bookmarkEnd w:id="1010"/>
      <w:bookmarkEnd w:id="1011"/>
    </w:p>
    <w:p w14:paraId="38FA8A23">
      <w:pPr>
        <w:spacing w:line="420" w:lineRule="exact"/>
        <w:jc w:val="center"/>
        <w:rPr>
          <w:rFonts w:eastAsia="楷体_GB2312"/>
          <w:color w:val="auto"/>
          <w:highlight w:val="none"/>
        </w:rPr>
      </w:pPr>
    </w:p>
    <w:p w14:paraId="36A16F7E">
      <w:pPr>
        <w:spacing w:line="420" w:lineRule="exact"/>
        <w:jc w:val="center"/>
        <w:rPr>
          <w:rFonts w:eastAsia="楷体_GB2312"/>
          <w:color w:val="auto"/>
          <w:highlight w:val="none"/>
        </w:rPr>
      </w:pPr>
    </w:p>
    <w:p w14:paraId="1708D3F1">
      <w:pPr>
        <w:spacing w:line="420" w:lineRule="exact"/>
        <w:jc w:val="center"/>
        <w:rPr>
          <w:rFonts w:eastAsia="楷体_GB2312"/>
          <w:color w:val="auto"/>
          <w:highlight w:val="none"/>
        </w:rPr>
      </w:pPr>
    </w:p>
    <w:p w14:paraId="2AEEE28D">
      <w:pPr>
        <w:spacing w:line="420" w:lineRule="exact"/>
        <w:jc w:val="center"/>
        <w:rPr>
          <w:rFonts w:eastAsia="楷体_GB2312"/>
          <w:color w:val="auto"/>
          <w:highlight w:val="none"/>
        </w:rPr>
      </w:pPr>
    </w:p>
    <w:p w14:paraId="2F5702ED">
      <w:pPr>
        <w:spacing w:line="420" w:lineRule="exact"/>
        <w:jc w:val="center"/>
        <w:rPr>
          <w:rFonts w:eastAsia="楷体_GB2312"/>
          <w:color w:val="auto"/>
          <w:highlight w:val="none"/>
        </w:rPr>
      </w:pPr>
    </w:p>
    <w:p w14:paraId="7836CDDD">
      <w:pPr>
        <w:spacing w:line="420" w:lineRule="exact"/>
        <w:jc w:val="center"/>
        <w:rPr>
          <w:rFonts w:eastAsia="楷体_GB2312"/>
          <w:color w:val="auto"/>
          <w:highlight w:val="none"/>
        </w:rPr>
      </w:pPr>
    </w:p>
    <w:p w14:paraId="0F208E41">
      <w:pPr>
        <w:spacing w:line="420" w:lineRule="exact"/>
        <w:jc w:val="center"/>
        <w:rPr>
          <w:rFonts w:eastAsia="楷体_GB2312"/>
          <w:color w:val="auto"/>
          <w:highlight w:val="none"/>
        </w:rPr>
      </w:pPr>
    </w:p>
    <w:p w14:paraId="7EF1C805">
      <w:pPr>
        <w:spacing w:line="420" w:lineRule="exact"/>
        <w:jc w:val="center"/>
        <w:rPr>
          <w:rFonts w:eastAsia="楷体_GB2312"/>
          <w:color w:val="auto"/>
          <w:highlight w:val="none"/>
        </w:rPr>
      </w:pPr>
    </w:p>
    <w:p w14:paraId="2F177A1A">
      <w:pPr>
        <w:spacing w:line="420" w:lineRule="exact"/>
        <w:jc w:val="center"/>
        <w:rPr>
          <w:rFonts w:eastAsia="楷体_GB2312"/>
          <w:color w:val="auto"/>
          <w:highlight w:val="none"/>
        </w:rPr>
      </w:pPr>
    </w:p>
    <w:p w14:paraId="3AC29DDF">
      <w:pPr>
        <w:spacing w:line="420" w:lineRule="exact"/>
        <w:jc w:val="center"/>
        <w:rPr>
          <w:rFonts w:eastAsia="楷体_GB2312"/>
          <w:color w:val="auto"/>
          <w:highlight w:val="none"/>
        </w:rPr>
      </w:pPr>
    </w:p>
    <w:p w14:paraId="033ECF8E">
      <w:pPr>
        <w:pStyle w:val="2"/>
        <w:jc w:val="center"/>
        <w:rPr>
          <w:rFonts w:ascii="Times New Roman" w:hAnsi="Times New Roman" w:eastAsia="黑体"/>
          <w:b w:val="0"/>
          <w:bCs w:val="0"/>
          <w:color w:val="auto"/>
          <w:sz w:val="44"/>
          <w:szCs w:val="44"/>
          <w:highlight w:val="none"/>
        </w:rPr>
      </w:pPr>
      <w:bookmarkStart w:id="1012" w:name="_Toc300678505"/>
      <w:bookmarkStart w:id="1013" w:name="_Toc211498729"/>
      <w:bookmarkStart w:id="1014" w:name="_Toc80006122"/>
      <w:r>
        <w:rPr>
          <w:rFonts w:ascii="Times New Roman" w:hAnsi="Times New Roman" w:eastAsia="黑体"/>
          <w:b w:val="0"/>
          <w:bCs w:val="0"/>
          <w:color w:val="auto"/>
          <w:sz w:val="44"/>
          <w:szCs w:val="44"/>
          <w:highlight w:val="none"/>
        </w:rPr>
        <w:t>第  三  卷</w:t>
      </w:r>
      <w:bookmarkEnd w:id="1012"/>
      <w:bookmarkEnd w:id="1013"/>
      <w:bookmarkEnd w:id="1014"/>
    </w:p>
    <w:p w14:paraId="2563F3CC">
      <w:pPr>
        <w:spacing w:line="360" w:lineRule="auto"/>
        <w:rPr>
          <w:rFonts w:eastAsia="楷体_GB2312"/>
          <w:color w:val="auto"/>
          <w:highlight w:val="none"/>
        </w:rPr>
      </w:pPr>
      <w:r>
        <w:rPr>
          <w:rFonts w:eastAsia="楷体_GB2312"/>
          <w:color w:val="auto"/>
          <w:highlight w:val="none"/>
        </w:rPr>
        <w:br w:type="page"/>
      </w:r>
    </w:p>
    <w:p w14:paraId="6B7BAE80">
      <w:pPr>
        <w:pStyle w:val="2"/>
        <w:spacing w:before="0" w:after="0" w:line="360" w:lineRule="auto"/>
        <w:jc w:val="center"/>
        <w:rPr>
          <w:rFonts w:ascii="Times New Roman" w:hAnsi="Times New Roman" w:eastAsia="黑体"/>
          <w:b w:val="0"/>
          <w:bCs w:val="0"/>
          <w:color w:val="auto"/>
          <w:highlight w:val="none"/>
        </w:rPr>
      </w:pPr>
      <w:bookmarkStart w:id="1015" w:name="_Toc211498730"/>
      <w:bookmarkStart w:id="1016" w:name="_Toc80006123"/>
      <w:bookmarkStart w:id="1017" w:name="_Toc300678506"/>
      <w:r>
        <w:rPr>
          <w:rFonts w:ascii="Times New Roman" w:hAnsi="Times New Roman" w:eastAsia="黑体"/>
          <w:b w:val="0"/>
          <w:bCs w:val="0"/>
          <w:color w:val="auto"/>
          <w:highlight w:val="none"/>
        </w:rPr>
        <w:t>第七章  技术标准和要求</w:t>
      </w:r>
      <w:bookmarkEnd w:id="1015"/>
      <w:bookmarkEnd w:id="1016"/>
      <w:bookmarkEnd w:id="1017"/>
    </w:p>
    <w:p w14:paraId="1E36EC70">
      <w:pPr>
        <w:pStyle w:val="3"/>
        <w:spacing w:line="360" w:lineRule="auto"/>
        <w:jc w:val="center"/>
        <w:rPr>
          <w:rFonts w:ascii="Times New Roman" w:hAnsi="Times New Roman" w:eastAsia="黑体"/>
          <w:b w:val="0"/>
          <w:bCs w:val="0"/>
          <w:color w:val="auto"/>
          <w:sz w:val="30"/>
          <w:highlight w:val="none"/>
        </w:rPr>
      </w:pPr>
      <w:bookmarkStart w:id="1018" w:name="_Toc300678507"/>
      <w:bookmarkStart w:id="1019" w:name="_Toc211498731"/>
      <w:bookmarkStart w:id="1020" w:name="_Toc80006124"/>
      <w:r>
        <w:rPr>
          <w:rFonts w:ascii="Times New Roman" w:hAnsi="Times New Roman" w:eastAsia="黑体"/>
          <w:b w:val="0"/>
          <w:bCs w:val="0"/>
          <w:color w:val="auto"/>
          <w:sz w:val="30"/>
          <w:highlight w:val="none"/>
        </w:rPr>
        <w:t>第一节 一般要求</w:t>
      </w:r>
      <w:bookmarkEnd w:id="1018"/>
      <w:bookmarkEnd w:id="1019"/>
      <w:bookmarkEnd w:id="1020"/>
    </w:p>
    <w:p w14:paraId="4A463E91">
      <w:pPr>
        <w:pStyle w:val="4"/>
        <w:keepNext/>
        <w:keepLines/>
        <w:widowControl w:val="0"/>
        <w:jc w:val="left"/>
        <w:rPr>
          <w:rFonts w:eastAsia="黑体"/>
          <w:b w:val="0"/>
          <w:bCs w:val="0"/>
          <w:color w:val="auto"/>
          <w:sz w:val="28"/>
          <w:szCs w:val="28"/>
          <w:highlight w:val="none"/>
        </w:rPr>
      </w:pPr>
      <w:bookmarkStart w:id="1021" w:name="_Toc79998411"/>
      <w:bookmarkStart w:id="1022" w:name="_Toc211498732"/>
      <w:bookmarkStart w:id="1023" w:name="_Toc80006125"/>
      <w:bookmarkStart w:id="1024" w:name="_Toc79998855"/>
      <w:bookmarkStart w:id="1025" w:name="_Toc9178552"/>
      <w:bookmarkStart w:id="1026" w:name="_Toc80006235"/>
      <w:bookmarkStart w:id="1027" w:name="_Toc300678508"/>
      <w:r>
        <w:rPr>
          <w:rFonts w:eastAsia="黑体"/>
          <w:b w:val="0"/>
          <w:bCs w:val="0"/>
          <w:color w:val="auto"/>
          <w:sz w:val="28"/>
          <w:szCs w:val="28"/>
          <w:highlight w:val="none"/>
        </w:rPr>
        <w:t>1.工程说明</w:t>
      </w:r>
      <w:bookmarkEnd w:id="1021"/>
      <w:bookmarkEnd w:id="1022"/>
      <w:bookmarkEnd w:id="1023"/>
      <w:bookmarkEnd w:id="1024"/>
      <w:bookmarkEnd w:id="1025"/>
      <w:bookmarkEnd w:id="1026"/>
      <w:bookmarkEnd w:id="1027"/>
    </w:p>
    <w:p w14:paraId="6047A99A">
      <w:pPr>
        <w:pStyle w:val="5"/>
        <w:rPr>
          <w:rFonts w:ascii="Times New Roman" w:hAnsi="Times New Roman" w:eastAsia="黑体"/>
          <w:b w:val="0"/>
          <w:bCs w:val="0"/>
          <w:color w:val="auto"/>
          <w:sz w:val="24"/>
          <w:highlight w:val="none"/>
        </w:rPr>
      </w:pPr>
      <w:bookmarkStart w:id="1028" w:name="_Toc300678509"/>
      <w:r>
        <w:rPr>
          <w:rFonts w:ascii="Times New Roman" w:hAnsi="Times New Roman" w:eastAsia="黑体"/>
          <w:b w:val="0"/>
          <w:bCs w:val="0"/>
          <w:color w:val="auto"/>
          <w:sz w:val="24"/>
          <w:highlight w:val="none"/>
        </w:rPr>
        <w:t>1.1 工程概况</w:t>
      </w:r>
      <w:bookmarkEnd w:id="1028"/>
    </w:p>
    <w:p w14:paraId="375F6988">
      <w:pPr>
        <w:spacing w:line="360" w:lineRule="auto"/>
        <w:ind w:firstLine="420" w:firstLineChars="200"/>
        <w:rPr>
          <w:color w:val="auto"/>
          <w:szCs w:val="21"/>
          <w:highlight w:val="none"/>
        </w:rPr>
      </w:pPr>
      <w:r>
        <w:rPr>
          <w:color w:val="auto"/>
          <w:szCs w:val="21"/>
          <w:highlight w:val="none"/>
        </w:rPr>
        <w:t>l.1.1 本工程基本情况如下：</w:t>
      </w:r>
      <w:r>
        <w:rPr>
          <w:color w:val="auto"/>
          <w:szCs w:val="21"/>
          <w:highlight w:val="none"/>
          <w:u w:val="single"/>
        </w:rPr>
        <w:t xml:space="preserve">            </w:t>
      </w:r>
      <w:r>
        <w:rPr>
          <w:color w:val="auto"/>
          <w:szCs w:val="21"/>
          <w:highlight w:val="none"/>
        </w:rPr>
        <w:t>。</w:t>
      </w:r>
    </w:p>
    <w:p w14:paraId="30C67855">
      <w:pPr>
        <w:spacing w:line="360" w:lineRule="auto"/>
        <w:ind w:firstLine="420" w:firstLineChars="200"/>
        <w:rPr>
          <w:color w:val="auto"/>
          <w:szCs w:val="21"/>
          <w:highlight w:val="none"/>
        </w:rPr>
      </w:pPr>
      <w:r>
        <w:rPr>
          <w:color w:val="auto"/>
          <w:szCs w:val="21"/>
          <w:highlight w:val="none"/>
        </w:rPr>
        <w:t>1.1.2 本工程施工场地（现场）具体地理位置如下：</w:t>
      </w:r>
      <w:r>
        <w:rPr>
          <w:color w:val="auto"/>
          <w:szCs w:val="21"/>
          <w:highlight w:val="none"/>
          <w:u w:val="single"/>
        </w:rPr>
        <w:t xml:space="preserve">            </w:t>
      </w:r>
      <w:r>
        <w:rPr>
          <w:color w:val="auto"/>
          <w:szCs w:val="21"/>
          <w:highlight w:val="none"/>
        </w:rPr>
        <w:t>。</w:t>
      </w:r>
    </w:p>
    <w:p w14:paraId="0C1F5583">
      <w:pPr>
        <w:pStyle w:val="5"/>
        <w:rPr>
          <w:rFonts w:ascii="Times New Roman" w:hAnsi="Times New Roman" w:eastAsia="黑体"/>
          <w:b w:val="0"/>
          <w:bCs w:val="0"/>
          <w:color w:val="auto"/>
          <w:sz w:val="24"/>
          <w:highlight w:val="none"/>
        </w:rPr>
      </w:pPr>
      <w:bookmarkStart w:id="1029" w:name="_Toc300678510"/>
      <w:r>
        <w:rPr>
          <w:rFonts w:ascii="Times New Roman" w:hAnsi="Times New Roman" w:eastAsia="黑体"/>
          <w:b w:val="0"/>
          <w:bCs w:val="0"/>
          <w:color w:val="auto"/>
          <w:sz w:val="24"/>
          <w:highlight w:val="none"/>
        </w:rPr>
        <w:t>1.2 现场条件和周围环境</w:t>
      </w:r>
      <w:bookmarkEnd w:id="1029"/>
    </w:p>
    <w:p w14:paraId="60C9F843">
      <w:pPr>
        <w:spacing w:line="360" w:lineRule="auto"/>
        <w:ind w:firstLine="420" w:firstLineChars="200"/>
        <w:rPr>
          <w:color w:val="auto"/>
          <w:szCs w:val="21"/>
          <w:highlight w:val="none"/>
        </w:rPr>
      </w:pPr>
      <w:r>
        <w:rPr>
          <w:color w:val="auto"/>
          <w:szCs w:val="21"/>
          <w:highlight w:val="none"/>
        </w:rPr>
        <w:t>1.2.1 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2E748220">
      <w:pPr>
        <w:spacing w:line="360" w:lineRule="auto"/>
        <w:ind w:firstLine="420" w:firstLineChars="200"/>
        <w:rPr>
          <w:color w:val="auto"/>
          <w:szCs w:val="21"/>
          <w:highlight w:val="none"/>
        </w:rPr>
      </w:pPr>
      <w:r>
        <w:rPr>
          <w:color w:val="auto"/>
          <w:szCs w:val="21"/>
          <w:highlight w:val="none"/>
        </w:rPr>
        <w:t>1.2.2 施工场地（现场）临时供水管径</w:t>
      </w:r>
      <w:r>
        <w:rPr>
          <w:color w:val="auto"/>
          <w:szCs w:val="21"/>
          <w:highlight w:val="none"/>
          <w:u w:val="single"/>
        </w:rPr>
        <w:t xml:space="preserve">      </w:t>
      </w:r>
      <w:r>
        <w:rPr>
          <w:color w:val="auto"/>
          <w:szCs w:val="21"/>
          <w:highlight w:val="none"/>
        </w:rPr>
        <w:t>。</w:t>
      </w:r>
    </w:p>
    <w:p w14:paraId="4D54EBF6">
      <w:pPr>
        <w:spacing w:line="360" w:lineRule="auto"/>
        <w:ind w:firstLine="420" w:firstLineChars="200"/>
        <w:rPr>
          <w:color w:val="auto"/>
          <w:szCs w:val="21"/>
          <w:highlight w:val="none"/>
        </w:rPr>
      </w:pPr>
      <w:r>
        <w:rPr>
          <w:color w:val="auto"/>
          <w:szCs w:val="21"/>
          <w:highlight w:val="none"/>
        </w:rPr>
        <w:t>施工场地（现场）临时排污管径</w:t>
      </w:r>
      <w:r>
        <w:rPr>
          <w:color w:val="auto"/>
          <w:szCs w:val="21"/>
          <w:highlight w:val="none"/>
          <w:u w:val="single"/>
        </w:rPr>
        <w:t xml:space="preserve">     </w:t>
      </w:r>
      <w:r>
        <w:rPr>
          <w:color w:val="auto"/>
          <w:szCs w:val="21"/>
          <w:highlight w:val="none"/>
        </w:rPr>
        <w:t>。</w:t>
      </w:r>
    </w:p>
    <w:p w14:paraId="2798083F">
      <w:pPr>
        <w:spacing w:line="360" w:lineRule="auto"/>
        <w:ind w:firstLine="420" w:firstLineChars="200"/>
        <w:rPr>
          <w:color w:val="auto"/>
          <w:szCs w:val="21"/>
          <w:highlight w:val="none"/>
        </w:rPr>
      </w:pPr>
      <w:r>
        <w:rPr>
          <w:color w:val="auto"/>
          <w:szCs w:val="21"/>
          <w:highlight w:val="none"/>
        </w:rPr>
        <w:t>施工场地（现场）临时雨水管径</w:t>
      </w:r>
      <w:r>
        <w:rPr>
          <w:color w:val="auto"/>
          <w:szCs w:val="21"/>
          <w:highlight w:val="none"/>
          <w:u w:val="single"/>
        </w:rPr>
        <w:t xml:space="preserve">     </w:t>
      </w:r>
      <w:r>
        <w:rPr>
          <w:color w:val="auto"/>
          <w:szCs w:val="21"/>
          <w:highlight w:val="none"/>
        </w:rPr>
        <w:t>。</w:t>
      </w:r>
    </w:p>
    <w:p w14:paraId="59B006E4">
      <w:pPr>
        <w:spacing w:line="360" w:lineRule="auto"/>
        <w:ind w:firstLine="420" w:firstLineChars="200"/>
        <w:rPr>
          <w:color w:val="auto"/>
          <w:szCs w:val="21"/>
          <w:highlight w:val="none"/>
        </w:rPr>
      </w:pPr>
      <w:r>
        <w:rPr>
          <w:color w:val="auto"/>
          <w:szCs w:val="21"/>
          <w:highlight w:val="none"/>
        </w:rPr>
        <w:t>施工现场临时供电容量（变压器输出功率）</w:t>
      </w:r>
      <w:r>
        <w:rPr>
          <w:color w:val="auto"/>
          <w:szCs w:val="21"/>
          <w:highlight w:val="none"/>
          <w:u w:val="single"/>
        </w:rPr>
        <w:t xml:space="preserve">     </w:t>
      </w:r>
      <w:r>
        <w:rPr>
          <w:color w:val="auto"/>
          <w:szCs w:val="21"/>
          <w:highlight w:val="none"/>
        </w:rPr>
        <w:t>。</w:t>
      </w:r>
    </w:p>
    <w:p w14:paraId="065E3CDD">
      <w:pPr>
        <w:spacing w:line="360" w:lineRule="auto"/>
        <w:ind w:firstLine="420" w:firstLineChars="200"/>
        <w:rPr>
          <w:color w:val="auto"/>
          <w:szCs w:val="21"/>
          <w:highlight w:val="none"/>
        </w:rPr>
      </w:pPr>
      <w:r>
        <w:rPr>
          <w:color w:val="auto"/>
          <w:szCs w:val="21"/>
          <w:highlight w:val="none"/>
        </w:rPr>
        <w:t>1.2.3 现场条件和周围环境的其他资料和信息数据如下：</w:t>
      </w:r>
      <w:r>
        <w:rPr>
          <w:color w:val="auto"/>
          <w:szCs w:val="21"/>
          <w:highlight w:val="none"/>
          <w:u w:val="single"/>
        </w:rPr>
        <w:t xml:space="preserve">     </w:t>
      </w:r>
      <w:r>
        <w:rPr>
          <w:color w:val="auto"/>
          <w:szCs w:val="21"/>
          <w:highlight w:val="none"/>
        </w:rPr>
        <w:t>。</w:t>
      </w:r>
    </w:p>
    <w:p w14:paraId="086831FF">
      <w:pPr>
        <w:spacing w:line="360" w:lineRule="auto"/>
        <w:ind w:firstLine="420" w:firstLineChars="200"/>
        <w:rPr>
          <w:color w:val="auto"/>
          <w:szCs w:val="21"/>
          <w:highlight w:val="none"/>
        </w:rPr>
      </w:pPr>
      <w:r>
        <w:rPr>
          <w:color w:val="auto"/>
          <w:szCs w:val="21"/>
          <w:highlight w:val="none"/>
        </w:rPr>
        <w:t xml:space="preserve">1.2.4 承包人被认为已在本工程投标阶段踏勘现场时充分了解本工程现场条件和周围环境，并已在其投标时就此给予了充分的考虑。 </w:t>
      </w:r>
    </w:p>
    <w:p w14:paraId="1CF7F7C5">
      <w:pPr>
        <w:pStyle w:val="5"/>
        <w:rPr>
          <w:rFonts w:ascii="Times New Roman" w:hAnsi="Times New Roman" w:eastAsia="黑体"/>
          <w:b w:val="0"/>
          <w:bCs w:val="0"/>
          <w:color w:val="auto"/>
          <w:sz w:val="24"/>
          <w:highlight w:val="none"/>
        </w:rPr>
      </w:pPr>
      <w:bookmarkStart w:id="1030" w:name="_Toc300678511"/>
      <w:r>
        <w:rPr>
          <w:rFonts w:ascii="Times New Roman" w:hAnsi="Times New Roman" w:eastAsia="黑体"/>
          <w:b w:val="0"/>
          <w:bCs w:val="0"/>
          <w:color w:val="auto"/>
          <w:sz w:val="24"/>
          <w:highlight w:val="none"/>
        </w:rPr>
        <w:t>1.3 地质及水文资料</w:t>
      </w:r>
      <w:bookmarkEnd w:id="1030"/>
    </w:p>
    <w:p w14:paraId="608CD851">
      <w:pPr>
        <w:spacing w:line="360" w:lineRule="auto"/>
        <w:ind w:firstLine="420" w:firstLineChars="200"/>
        <w:rPr>
          <w:color w:val="auto"/>
          <w:szCs w:val="21"/>
          <w:highlight w:val="none"/>
        </w:rPr>
      </w:pPr>
      <w:r>
        <w:rPr>
          <w:color w:val="auto"/>
          <w:szCs w:val="21"/>
          <w:highlight w:val="none"/>
        </w:rPr>
        <w:t>1.3.1 现场地质及水文资料和信息数据如下：</w:t>
      </w:r>
      <w:r>
        <w:rPr>
          <w:color w:val="auto"/>
          <w:szCs w:val="21"/>
          <w:highlight w:val="none"/>
          <w:u w:val="single"/>
        </w:rPr>
        <w:t xml:space="preserve">     </w:t>
      </w:r>
      <w:r>
        <w:rPr>
          <w:color w:val="auto"/>
          <w:szCs w:val="21"/>
          <w:highlight w:val="none"/>
        </w:rPr>
        <w:t>。</w:t>
      </w:r>
    </w:p>
    <w:p w14:paraId="611CEF69">
      <w:pPr>
        <w:pStyle w:val="5"/>
        <w:rPr>
          <w:rFonts w:ascii="Times New Roman" w:hAnsi="Times New Roman" w:eastAsia="黑体"/>
          <w:b w:val="0"/>
          <w:bCs w:val="0"/>
          <w:color w:val="auto"/>
          <w:sz w:val="24"/>
          <w:highlight w:val="none"/>
        </w:rPr>
      </w:pPr>
      <w:bookmarkStart w:id="1031" w:name="_Toc300678512"/>
      <w:r>
        <w:rPr>
          <w:rFonts w:ascii="Times New Roman" w:hAnsi="Times New Roman" w:eastAsia="黑体"/>
          <w:b w:val="0"/>
          <w:bCs w:val="0"/>
          <w:color w:val="auto"/>
          <w:sz w:val="24"/>
          <w:highlight w:val="none"/>
        </w:rPr>
        <w:t>1.4 资料和信息的使用</w:t>
      </w:r>
      <w:bookmarkEnd w:id="1031"/>
    </w:p>
    <w:p w14:paraId="20253FAF">
      <w:pPr>
        <w:spacing w:line="360" w:lineRule="auto"/>
        <w:ind w:firstLine="420" w:firstLineChars="200"/>
        <w:rPr>
          <w:color w:val="auto"/>
          <w:szCs w:val="21"/>
          <w:highlight w:val="none"/>
        </w:rPr>
      </w:pPr>
      <w:r>
        <w:rPr>
          <w:color w:val="auto"/>
          <w:szCs w:val="21"/>
          <w:highlight w:val="none"/>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6FA76F48">
      <w:pPr>
        <w:pStyle w:val="4"/>
        <w:keepNext/>
        <w:keepLines/>
        <w:widowControl w:val="0"/>
        <w:jc w:val="left"/>
        <w:rPr>
          <w:rFonts w:eastAsia="黑体"/>
          <w:b w:val="0"/>
          <w:bCs w:val="0"/>
          <w:color w:val="auto"/>
          <w:sz w:val="28"/>
          <w:szCs w:val="28"/>
          <w:highlight w:val="none"/>
        </w:rPr>
      </w:pPr>
      <w:bookmarkStart w:id="1032" w:name="_Toc80006126"/>
      <w:bookmarkStart w:id="1033" w:name="_Toc300678513"/>
      <w:bookmarkStart w:id="1034" w:name="_Toc80006236"/>
      <w:bookmarkStart w:id="1035" w:name="_Toc79998412"/>
      <w:bookmarkStart w:id="1036" w:name="_Toc9178553"/>
      <w:bookmarkStart w:id="1037" w:name="_Toc79998856"/>
      <w:bookmarkStart w:id="1038" w:name="_Toc211498733"/>
      <w:r>
        <w:rPr>
          <w:rFonts w:eastAsia="黑体"/>
          <w:b w:val="0"/>
          <w:bCs w:val="0"/>
          <w:color w:val="auto"/>
          <w:sz w:val="28"/>
          <w:szCs w:val="28"/>
          <w:highlight w:val="none"/>
        </w:rPr>
        <w:t>2.承包范围</w:t>
      </w:r>
      <w:bookmarkEnd w:id="1032"/>
      <w:bookmarkEnd w:id="1033"/>
      <w:bookmarkEnd w:id="1034"/>
      <w:bookmarkEnd w:id="1035"/>
      <w:bookmarkEnd w:id="1036"/>
      <w:bookmarkEnd w:id="1037"/>
      <w:bookmarkEnd w:id="1038"/>
    </w:p>
    <w:p w14:paraId="7C56B9E1">
      <w:pPr>
        <w:pStyle w:val="5"/>
        <w:rPr>
          <w:rFonts w:ascii="Times New Roman" w:hAnsi="Times New Roman" w:eastAsia="黑体"/>
          <w:b w:val="0"/>
          <w:bCs w:val="0"/>
          <w:color w:val="auto"/>
          <w:sz w:val="24"/>
          <w:highlight w:val="none"/>
        </w:rPr>
      </w:pPr>
      <w:bookmarkStart w:id="1039" w:name="_Toc300678514"/>
      <w:r>
        <w:rPr>
          <w:rFonts w:ascii="Times New Roman" w:hAnsi="Times New Roman" w:eastAsia="黑体"/>
          <w:b w:val="0"/>
          <w:bCs w:val="0"/>
          <w:color w:val="auto"/>
          <w:sz w:val="24"/>
          <w:highlight w:val="none"/>
        </w:rPr>
        <w:t>2.1 承包范围</w:t>
      </w:r>
      <w:bookmarkEnd w:id="1039"/>
    </w:p>
    <w:p w14:paraId="67468881">
      <w:pPr>
        <w:spacing w:line="360" w:lineRule="auto"/>
        <w:ind w:firstLine="420" w:firstLineChars="200"/>
        <w:rPr>
          <w:color w:val="auto"/>
          <w:szCs w:val="21"/>
          <w:highlight w:val="none"/>
        </w:rPr>
      </w:pPr>
      <w:r>
        <w:rPr>
          <w:color w:val="auto"/>
          <w:szCs w:val="21"/>
          <w:highlight w:val="none"/>
        </w:rPr>
        <w:t>2.1.1 承包人自行施工范围</w:t>
      </w:r>
    </w:p>
    <w:p w14:paraId="0A0CD131">
      <w:pPr>
        <w:spacing w:line="360" w:lineRule="auto"/>
        <w:ind w:firstLine="420" w:firstLineChars="200"/>
        <w:rPr>
          <w:color w:val="auto"/>
          <w:szCs w:val="21"/>
          <w:highlight w:val="none"/>
        </w:rPr>
      </w:pPr>
      <w:r>
        <w:rPr>
          <w:color w:val="auto"/>
          <w:szCs w:val="21"/>
          <w:highlight w:val="none"/>
        </w:rPr>
        <w:t>本工程承包人自行施工的工程范围如下：</w:t>
      </w:r>
      <w:r>
        <w:rPr>
          <w:color w:val="auto"/>
          <w:szCs w:val="21"/>
          <w:highlight w:val="none"/>
          <w:u w:val="single"/>
        </w:rPr>
        <w:t xml:space="preserve">                  </w:t>
      </w:r>
      <w:r>
        <w:rPr>
          <w:color w:val="auto"/>
          <w:szCs w:val="21"/>
          <w:highlight w:val="none"/>
        </w:rPr>
        <w:t>。</w:t>
      </w:r>
    </w:p>
    <w:p w14:paraId="1A61CDAE">
      <w:pPr>
        <w:spacing w:line="360" w:lineRule="auto"/>
        <w:ind w:firstLine="420" w:firstLineChars="200"/>
        <w:rPr>
          <w:color w:val="auto"/>
          <w:szCs w:val="21"/>
          <w:highlight w:val="none"/>
        </w:rPr>
      </w:pPr>
      <w:r>
        <w:rPr>
          <w:color w:val="auto"/>
          <w:szCs w:val="21"/>
          <w:highlight w:val="none"/>
        </w:rPr>
        <w:t>2.1.2 承包范围内的暂估价项目</w:t>
      </w:r>
    </w:p>
    <w:p w14:paraId="25048BB3">
      <w:pPr>
        <w:spacing w:line="360" w:lineRule="auto"/>
        <w:ind w:firstLine="420" w:firstLineChars="200"/>
        <w:rPr>
          <w:color w:val="auto"/>
          <w:szCs w:val="21"/>
          <w:highlight w:val="none"/>
        </w:rPr>
      </w:pPr>
      <w:r>
        <w:rPr>
          <w:color w:val="auto"/>
          <w:szCs w:val="21"/>
          <w:highlight w:val="none"/>
        </w:rPr>
        <w:t>2.1.2.1 承包范围内以暂估价形式实施的专业工程见第五章“工程量清单”中“其他项目措施费表”。</w:t>
      </w:r>
    </w:p>
    <w:p w14:paraId="3B9E72C6">
      <w:pPr>
        <w:tabs>
          <w:tab w:val="left" w:pos="1260"/>
        </w:tabs>
        <w:spacing w:line="360" w:lineRule="auto"/>
        <w:ind w:firstLine="420" w:firstLineChars="200"/>
        <w:rPr>
          <w:color w:val="auto"/>
          <w:szCs w:val="21"/>
          <w:highlight w:val="none"/>
        </w:rPr>
      </w:pPr>
      <w:r>
        <w:rPr>
          <w:color w:val="auto"/>
          <w:szCs w:val="21"/>
          <w:highlight w:val="none"/>
        </w:rPr>
        <w:t>2.1.2.2 承包范围内以暂估价形式实施的材料和工程设备见第五章“工程量清单”中的“材料(工程设备)暂估单价表”。</w:t>
      </w:r>
    </w:p>
    <w:p w14:paraId="06768AFB">
      <w:pPr>
        <w:spacing w:line="360" w:lineRule="auto"/>
        <w:ind w:firstLine="420" w:firstLineChars="200"/>
        <w:rPr>
          <w:color w:val="auto"/>
          <w:szCs w:val="21"/>
          <w:highlight w:val="none"/>
        </w:rPr>
      </w:pPr>
      <w:r>
        <w:rPr>
          <w:color w:val="auto"/>
          <w:szCs w:val="21"/>
          <w:highlight w:val="none"/>
        </w:rPr>
        <w:t>2.1.2.3 上述暂估价项目与本节第2.1.1项承包人自行施工范围的工作界面划分如下：</w:t>
      </w:r>
      <w:r>
        <w:rPr>
          <w:color w:val="auto"/>
          <w:szCs w:val="21"/>
          <w:highlight w:val="none"/>
          <w:u w:val="single"/>
        </w:rPr>
        <w:t xml:space="preserve">     </w:t>
      </w:r>
      <w:r>
        <w:rPr>
          <w:color w:val="auto"/>
          <w:szCs w:val="21"/>
          <w:highlight w:val="none"/>
        </w:rPr>
        <w:t>。</w:t>
      </w:r>
    </w:p>
    <w:p w14:paraId="7253A9CB">
      <w:pPr>
        <w:spacing w:line="360" w:lineRule="auto"/>
        <w:ind w:firstLine="420" w:firstLineChars="200"/>
        <w:rPr>
          <w:color w:val="auto"/>
          <w:szCs w:val="21"/>
          <w:highlight w:val="none"/>
        </w:rPr>
      </w:pPr>
      <w:r>
        <w:rPr>
          <w:color w:val="auto"/>
          <w:szCs w:val="21"/>
          <w:highlight w:val="none"/>
        </w:rPr>
        <w:t>2.1.3 承包范围内的暂列金额项目</w:t>
      </w:r>
    </w:p>
    <w:p w14:paraId="1D4B27F0">
      <w:pPr>
        <w:spacing w:line="360" w:lineRule="auto"/>
        <w:ind w:firstLine="420" w:firstLineChars="200"/>
        <w:rPr>
          <w:color w:val="auto"/>
          <w:szCs w:val="21"/>
          <w:highlight w:val="none"/>
        </w:rPr>
      </w:pPr>
      <w:r>
        <w:rPr>
          <w:color w:val="auto"/>
          <w:szCs w:val="21"/>
          <w:highlight w:val="none"/>
        </w:rPr>
        <w:t>2.1.3.1 承包范围内以暂列金额（包括计日工）方式实施的项目见第五章“工程量清单”中“暂列金额明细表”（不包括计日工）和 “计日工表”，其中计日工金额为承包人在其投标报价中按 “计日工表”所列计日工项目、数量和相应规定填报的金额。</w:t>
      </w:r>
    </w:p>
    <w:p w14:paraId="4C95F9CE">
      <w:pPr>
        <w:spacing w:line="360" w:lineRule="auto"/>
        <w:ind w:firstLine="420" w:firstLineChars="200"/>
        <w:rPr>
          <w:color w:val="auto"/>
          <w:szCs w:val="21"/>
          <w:highlight w:val="none"/>
        </w:rPr>
      </w:pPr>
      <w:r>
        <w:rPr>
          <w:color w:val="auto"/>
          <w:szCs w:val="21"/>
          <w:highlight w:val="none"/>
        </w:rPr>
        <w:t>2.1.3.2 暂列金额明细表中每笔暂列金额所对应的项目，包括计日工，均只是可能发生的项目。承包人应当充分认识到，合同履行过程中所列暂列金额可能不发生，也可能部分发生。即便发生，监理人按照合同约定发出的使用暂列金额的指示也不限于只能用于表中所列项目。</w:t>
      </w:r>
    </w:p>
    <w:p w14:paraId="22BE7CD3">
      <w:pPr>
        <w:spacing w:line="360" w:lineRule="auto"/>
        <w:ind w:firstLine="420" w:firstLineChars="200"/>
        <w:rPr>
          <w:color w:val="auto"/>
          <w:szCs w:val="21"/>
          <w:highlight w:val="none"/>
        </w:rPr>
      </w:pPr>
      <w:r>
        <w:rPr>
          <w:color w:val="auto"/>
          <w:szCs w:val="21"/>
          <w:highlight w:val="none"/>
        </w:rPr>
        <w:t>2.1.3.3 暂列金额是否实际发生、其再分和合并等均不应成为承包人要求任何追加费用和（或）延长工期的理由。</w:t>
      </w:r>
    </w:p>
    <w:p w14:paraId="45EFF164">
      <w:pPr>
        <w:spacing w:line="360" w:lineRule="auto"/>
        <w:ind w:firstLine="420" w:firstLineChars="200"/>
        <w:rPr>
          <w:color w:val="auto"/>
          <w:szCs w:val="21"/>
          <w:highlight w:val="none"/>
        </w:rPr>
      </w:pPr>
      <w:r>
        <w:rPr>
          <w:color w:val="auto"/>
          <w:szCs w:val="21"/>
          <w:highlight w:val="none"/>
        </w:rPr>
        <w:t>2.1.3.4 关于暂列金额的其他说明：</w:t>
      </w:r>
      <w:r>
        <w:rPr>
          <w:color w:val="auto"/>
          <w:szCs w:val="21"/>
          <w:highlight w:val="none"/>
          <w:u w:val="single"/>
        </w:rPr>
        <w:t xml:space="preserve">     </w:t>
      </w:r>
      <w:r>
        <w:rPr>
          <w:color w:val="auto"/>
          <w:szCs w:val="21"/>
          <w:highlight w:val="none"/>
        </w:rPr>
        <w:t>。</w:t>
      </w:r>
    </w:p>
    <w:p w14:paraId="08EE5BEC">
      <w:pPr>
        <w:pStyle w:val="5"/>
        <w:rPr>
          <w:rFonts w:ascii="Times New Roman" w:hAnsi="Times New Roman" w:eastAsia="黑体"/>
          <w:b w:val="0"/>
          <w:bCs w:val="0"/>
          <w:color w:val="auto"/>
          <w:sz w:val="24"/>
          <w:highlight w:val="none"/>
        </w:rPr>
      </w:pPr>
      <w:bookmarkStart w:id="1040" w:name="_Toc300678515"/>
      <w:r>
        <w:rPr>
          <w:rFonts w:ascii="Times New Roman" w:hAnsi="Times New Roman" w:eastAsia="黑体"/>
          <w:b w:val="0"/>
          <w:bCs w:val="0"/>
          <w:color w:val="auto"/>
          <w:sz w:val="24"/>
          <w:highlight w:val="none"/>
        </w:rPr>
        <w:t>2.2 发包人发包专业工程和发包人供应的材料和工程设备</w:t>
      </w:r>
      <w:bookmarkEnd w:id="1040"/>
    </w:p>
    <w:p w14:paraId="6B9741CE">
      <w:pPr>
        <w:spacing w:line="360" w:lineRule="auto"/>
        <w:ind w:firstLine="420" w:firstLineChars="200"/>
        <w:rPr>
          <w:color w:val="auto"/>
          <w:szCs w:val="21"/>
          <w:highlight w:val="none"/>
        </w:rPr>
      </w:pPr>
      <w:r>
        <w:rPr>
          <w:color w:val="auto"/>
          <w:szCs w:val="21"/>
          <w:highlight w:val="none"/>
        </w:rPr>
        <w:t>2.2.1 由发包人发包的专业工程属于与本工程有关的其他工程，不属于承包人的承包范围。发包人发包的专业工程如下：</w:t>
      </w:r>
      <w:r>
        <w:rPr>
          <w:color w:val="auto"/>
          <w:szCs w:val="21"/>
          <w:highlight w:val="none"/>
          <w:u w:val="single"/>
        </w:rPr>
        <w:t xml:space="preserve">     </w:t>
      </w:r>
      <w:r>
        <w:rPr>
          <w:color w:val="auto"/>
          <w:szCs w:val="21"/>
          <w:highlight w:val="none"/>
        </w:rPr>
        <w:t>。</w:t>
      </w:r>
    </w:p>
    <w:p w14:paraId="3B6A3D90">
      <w:pPr>
        <w:spacing w:line="360" w:lineRule="auto"/>
        <w:ind w:firstLine="420" w:firstLineChars="200"/>
        <w:rPr>
          <w:color w:val="auto"/>
          <w:szCs w:val="21"/>
          <w:highlight w:val="none"/>
        </w:rPr>
      </w:pPr>
      <w:r>
        <w:rPr>
          <w:color w:val="auto"/>
          <w:szCs w:val="21"/>
          <w:highlight w:val="none"/>
        </w:rPr>
        <w:t>2.2.2 由发包人供应的材料和工程设备不属于承包人的承包范围。发包人供应的材料和工程设备见合同附件二“发包人供应的材料和工程设备一览表”。</w:t>
      </w:r>
    </w:p>
    <w:p w14:paraId="14B64263">
      <w:pPr>
        <w:pStyle w:val="5"/>
        <w:rPr>
          <w:rFonts w:ascii="Times New Roman" w:hAnsi="Times New Roman" w:eastAsia="黑体"/>
          <w:b w:val="0"/>
          <w:bCs w:val="0"/>
          <w:color w:val="auto"/>
          <w:sz w:val="24"/>
          <w:highlight w:val="none"/>
        </w:rPr>
      </w:pPr>
      <w:bookmarkStart w:id="1041" w:name="_Toc300678516"/>
      <w:r>
        <w:rPr>
          <w:rFonts w:ascii="Times New Roman" w:hAnsi="Times New Roman" w:eastAsia="黑体"/>
          <w:b w:val="0"/>
          <w:bCs w:val="0"/>
          <w:color w:val="auto"/>
          <w:sz w:val="24"/>
          <w:highlight w:val="none"/>
        </w:rPr>
        <w:t>2.3 承包人与发包人发包专业工程承包人的工作界面</w:t>
      </w:r>
      <w:bookmarkEnd w:id="1041"/>
    </w:p>
    <w:p w14:paraId="3C194C0E">
      <w:pPr>
        <w:spacing w:line="360" w:lineRule="auto"/>
        <w:ind w:firstLine="420" w:firstLineChars="200"/>
        <w:rPr>
          <w:color w:val="auto"/>
          <w:szCs w:val="21"/>
          <w:highlight w:val="none"/>
        </w:rPr>
      </w:pPr>
      <w:r>
        <w:rPr>
          <w:color w:val="auto"/>
          <w:szCs w:val="21"/>
          <w:highlight w:val="none"/>
        </w:rPr>
        <w:t>2.3.1 承包人与发包人发包专业工程承包人以及与发包人供应的材料和设备的供应商之间的工作界面划分如下：</w:t>
      </w:r>
      <w:r>
        <w:rPr>
          <w:color w:val="auto"/>
          <w:szCs w:val="21"/>
          <w:highlight w:val="none"/>
          <w:u w:val="single"/>
        </w:rPr>
        <w:t xml:space="preserve">     </w:t>
      </w:r>
      <w:r>
        <w:rPr>
          <w:color w:val="auto"/>
          <w:szCs w:val="21"/>
          <w:highlight w:val="none"/>
        </w:rPr>
        <w:t>。</w:t>
      </w:r>
    </w:p>
    <w:p w14:paraId="4FE84566">
      <w:pPr>
        <w:pStyle w:val="5"/>
        <w:rPr>
          <w:rFonts w:ascii="Times New Roman" w:hAnsi="Times New Roman" w:eastAsia="黑体"/>
          <w:b w:val="0"/>
          <w:bCs w:val="0"/>
          <w:color w:val="auto"/>
          <w:sz w:val="24"/>
          <w:highlight w:val="none"/>
        </w:rPr>
      </w:pPr>
      <w:bookmarkStart w:id="1042" w:name="_Toc300678517"/>
      <w:r>
        <w:rPr>
          <w:rFonts w:ascii="Times New Roman" w:hAnsi="Times New Roman" w:eastAsia="黑体"/>
          <w:b w:val="0"/>
          <w:bCs w:val="0"/>
          <w:color w:val="auto"/>
          <w:sz w:val="24"/>
          <w:highlight w:val="none"/>
        </w:rPr>
        <w:t>2.4 承包人需要为发包人和监理人提供的现场办公条件和设施</w:t>
      </w:r>
      <w:bookmarkEnd w:id="1042"/>
    </w:p>
    <w:p w14:paraId="257D03FA">
      <w:pPr>
        <w:spacing w:line="360" w:lineRule="auto"/>
        <w:ind w:firstLine="420" w:firstLineChars="200"/>
        <w:rPr>
          <w:color w:val="auto"/>
          <w:szCs w:val="21"/>
          <w:highlight w:val="none"/>
        </w:rPr>
      </w:pPr>
      <w:r>
        <w:rPr>
          <w:color w:val="auto"/>
          <w:szCs w:val="21"/>
          <w:highlight w:val="none"/>
        </w:rPr>
        <w:t>2.4.1 承包人需要为发包人和监理人提供的现场办公条件和设施及其详细要求如下：</w:t>
      </w:r>
      <w:r>
        <w:rPr>
          <w:color w:val="auto"/>
          <w:szCs w:val="21"/>
          <w:highlight w:val="none"/>
          <w:u w:val="single"/>
        </w:rPr>
        <w:t xml:space="preserve">     </w:t>
      </w:r>
      <w:r>
        <w:rPr>
          <w:color w:val="auto"/>
          <w:szCs w:val="21"/>
          <w:highlight w:val="none"/>
        </w:rPr>
        <w:t>。</w:t>
      </w:r>
    </w:p>
    <w:p w14:paraId="71CBB4C1">
      <w:pPr>
        <w:pStyle w:val="4"/>
        <w:keepNext/>
        <w:keepLines/>
        <w:widowControl w:val="0"/>
        <w:jc w:val="left"/>
        <w:rPr>
          <w:rFonts w:eastAsia="黑体"/>
          <w:b w:val="0"/>
          <w:bCs w:val="0"/>
          <w:color w:val="auto"/>
          <w:sz w:val="28"/>
          <w:szCs w:val="28"/>
          <w:highlight w:val="none"/>
        </w:rPr>
      </w:pPr>
      <w:bookmarkStart w:id="1043" w:name="_Toc300678518"/>
      <w:bookmarkStart w:id="1044" w:name="_Toc79998413"/>
      <w:bookmarkStart w:id="1045" w:name="_Toc79998857"/>
      <w:bookmarkStart w:id="1046" w:name="_Toc9178554"/>
      <w:bookmarkStart w:id="1047" w:name="_Toc80006237"/>
      <w:bookmarkStart w:id="1048" w:name="_Toc80006127"/>
      <w:bookmarkStart w:id="1049" w:name="_Toc211498734"/>
      <w:r>
        <w:rPr>
          <w:rFonts w:eastAsia="黑体"/>
          <w:b w:val="0"/>
          <w:bCs w:val="0"/>
          <w:color w:val="auto"/>
          <w:sz w:val="28"/>
          <w:szCs w:val="28"/>
          <w:highlight w:val="none"/>
        </w:rPr>
        <w:t>3.工期要求</w:t>
      </w:r>
      <w:bookmarkEnd w:id="1043"/>
      <w:bookmarkEnd w:id="1044"/>
      <w:bookmarkEnd w:id="1045"/>
      <w:bookmarkEnd w:id="1046"/>
      <w:bookmarkEnd w:id="1047"/>
      <w:bookmarkEnd w:id="1048"/>
      <w:bookmarkEnd w:id="1049"/>
    </w:p>
    <w:p w14:paraId="38C978BF">
      <w:pPr>
        <w:pStyle w:val="5"/>
        <w:rPr>
          <w:rFonts w:ascii="Times New Roman" w:hAnsi="Times New Roman" w:eastAsia="黑体"/>
          <w:b w:val="0"/>
          <w:bCs w:val="0"/>
          <w:color w:val="auto"/>
          <w:sz w:val="24"/>
          <w:highlight w:val="none"/>
        </w:rPr>
      </w:pPr>
      <w:bookmarkStart w:id="1050" w:name="_Toc300678519"/>
      <w:r>
        <w:rPr>
          <w:rFonts w:ascii="Times New Roman" w:hAnsi="Times New Roman" w:eastAsia="黑体"/>
          <w:b w:val="0"/>
          <w:bCs w:val="0"/>
          <w:color w:val="auto"/>
          <w:sz w:val="24"/>
          <w:highlight w:val="none"/>
        </w:rPr>
        <w:t>3.1 合同工期</w:t>
      </w:r>
      <w:bookmarkEnd w:id="1050"/>
    </w:p>
    <w:p w14:paraId="617654BB">
      <w:pPr>
        <w:spacing w:line="360" w:lineRule="auto"/>
        <w:ind w:firstLine="420" w:firstLineChars="200"/>
        <w:rPr>
          <w:color w:val="auto"/>
          <w:szCs w:val="21"/>
          <w:highlight w:val="none"/>
        </w:rPr>
      </w:pPr>
      <w:r>
        <w:rPr>
          <w:color w:val="auto"/>
          <w:szCs w:val="21"/>
          <w:highlight w:val="none"/>
        </w:rPr>
        <w:t>本工程合同工期和计划开、竣工日期为承包人在投标函附录中承诺的工期和计划开、竣工日期，并在合同协议书中载明。</w:t>
      </w:r>
    </w:p>
    <w:p w14:paraId="35FD4D63">
      <w:pPr>
        <w:pStyle w:val="5"/>
        <w:rPr>
          <w:rFonts w:ascii="Times New Roman" w:hAnsi="Times New Roman" w:eastAsia="黑体"/>
          <w:b w:val="0"/>
          <w:bCs w:val="0"/>
          <w:color w:val="auto"/>
          <w:sz w:val="24"/>
          <w:highlight w:val="none"/>
        </w:rPr>
      </w:pPr>
      <w:bookmarkStart w:id="1051" w:name="_Toc300678520"/>
      <w:r>
        <w:rPr>
          <w:rFonts w:ascii="Times New Roman" w:hAnsi="Times New Roman" w:eastAsia="黑体"/>
          <w:b w:val="0"/>
          <w:bCs w:val="0"/>
          <w:color w:val="auto"/>
          <w:sz w:val="24"/>
          <w:highlight w:val="none"/>
        </w:rPr>
        <w:t>3.2 关于工期的一般规定</w:t>
      </w:r>
      <w:bookmarkEnd w:id="1051"/>
    </w:p>
    <w:p w14:paraId="21ABFA03">
      <w:pPr>
        <w:spacing w:line="360" w:lineRule="auto"/>
        <w:ind w:firstLine="420" w:firstLineChars="200"/>
        <w:rPr>
          <w:color w:val="auto"/>
          <w:szCs w:val="21"/>
          <w:highlight w:val="none"/>
        </w:rPr>
      </w:pPr>
      <w:r>
        <w:rPr>
          <w:color w:val="auto"/>
          <w:szCs w:val="21"/>
          <w:highlight w:val="none"/>
        </w:rPr>
        <w:t>3.2.1 承包人在投标函中承诺的工期和计划开、竣工日期之间发生矛盾或者不一致时，以承包人承诺的工期为准。实际开工日期以合同条款约定的监理人发出的开工通知中载明的开工日期为准。</w:t>
      </w:r>
    </w:p>
    <w:p w14:paraId="4F79B190">
      <w:pPr>
        <w:spacing w:line="360" w:lineRule="auto"/>
        <w:ind w:firstLine="420" w:firstLineChars="200"/>
        <w:rPr>
          <w:color w:val="auto"/>
          <w:szCs w:val="21"/>
          <w:highlight w:val="none"/>
        </w:rPr>
      </w:pPr>
      <w:r>
        <w:rPr>
          <w:color w:val="auto"/>
          <w:szCs w:val="21"/>
          <w:highlight w:val="none"/>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361BFBBA">
      <w:pPr>
        <w:spacing w:line="360" w:lineRule="auto"/>
        <w:ind w:firstLine="420" w:firstLineChars="200"/>
        <w:rPr>
          <w:color w:val="auto"/>
          <w:szCs w:val="21"/>
          <w:highlight w:val="none"/>
        </w:rPr>
      </w:pPr>
      <w:r>
        <w:rPr>
          <w:color w:val="auto"/>
          <w:szCs w:val="21"/>
          <w:highlight w:val="none"/>
        </w:rPr>
        <w:t>3.2.3 承包人在投标函附录中所承诺的工期应当包括实施并完成本节上述2.1.2项规定的暂估价项目和上述2.1.3项规定的实际可能发生的暂列金额在内的所有工作的工期。</w:t>
      </w:r>
    </w:p>
    <w:p w14:paraId="7CA5F19E">
      <w:pPr>
        <w:pStyle w:val="4"/>
        <w:keepNext/>
        <w:keepLines/>
        <w:widowControl w:val="0"/>
        <w:jc w:val="left"/>
        <w:rPr>
          <w:rFonts w:eastAsia="黑体"/>
          <w:b w:val="0"/>
          <w:bCs w:val="0"/>
          <w:color w:val="auto"/>
          <w:sz w:val="28"/>
          <w:szCs w:val="28"/>
          <w:highlight w:val="none"/>
        </w:rPr>
      </w:pPr>
      <w:bookmarkStart w:id="1052" w:name="_Toc79998858"/>
      <w:bookmarkStart w:id="1053" w:name="_Toc9178555"/>
      <w:bookmarkStart w:id="1054" w:name="_Toc300678521"/>
      <w:bookmarkStart w:id="1055" w:name="_Toc211498735"/>
      <w:bookmarkStart w:id="1056" w:name="_Toc80006238"/>
      <w:bookmarkStart w:id="1057" w:name="_Toc80006128"/>
      <w:bookmarkStart w:id="1058" w:name="_Toc79998414"/>
      <w:r>
        <w:rPr>
          <w:rFonts w:eastAsia="黑体"/>
          <w:b w:val="0"/>
          <w:bCs w:val="0"/>
          <w:color w:val="auto"/>
          <w:sz w:val="28"/>
          <w:szCs w:val="28"/>
          <w:highlight w:val="none"/>
        </w:rPr>
        <w:t>4.质量要求</w:t>
      </w:r>
      <w:bookmarkEnd w:id="1052"/>
      <w:bookmarkEnd w:id="1053"/>
      <w:bookmarkEnd w:id="1054"/>
      <w:bookmarkEnd w:id="1055"/>
      <w:bookmarkEnd w:id="1056"/>
      <w:bookmarkEnd w:id="1057"/>
      <w:bookmarkEnd w:id="1058"/>
    </w:p>
    <w:p w14:paraId="17CB0105">
      <w:pPr>
        <w:pStyle w:val="5"/>
        <w:rPr>
          <w:rFonts w:ascii="Times New Roman" w:hAnsi="Times New Roman" w:eastAsia="黑体"/>
          <w:b w:val="0"/>
          <w:bCs w:val="0"/>
          <w:color w:val="auto"/>
          <w:sz w:val="24"/>
          <w:highlight w:val="none"/>
        </w:rPr>
      </w:pPr>
      <w:bookmarkStart w:id="1059" w:name="_Toc300678522"/>
      <w:r>
        <w:rPr>
          <w:rFonts w:ascii="Times New Roman" w:hAnsi="Times New Roman" w:eastAsia="黑体"/>
          <w:b w:val="0"/>
          <w:bCs w:val="0"/>
          <w:color w:val="auto"/>
          <w:sz w:val="24"/>
          <w:highlight w:val="none"/>
        </w:rPr>
        <w:t>4.1 质量标准</w:t>
      </w:r>
      <w:bookmarkEnd w:id="1059"/>
    </w:p>
    <w:p w14:paraId="230E0AB3">
      <w:pPr>
        <w:spacing w:line="360" w:lineRule="auto"/>
        <w:ind w:firstLine="420" w:firstLineChars="200"/>
        <w:rPr>
          <w:color w:val="auto"/>
          <w:szCs w:val="21"/>
          <w:highlight w:val="none"/>
        </w:rPr>
      </w:pPr>
      <w:r>
        <w:rPr>
          <w:color w:val="auto"/>
          <w:szCs w:val="21"/>
          <w:highlight w:val="none"/>
        </w:rPr>
        <w:t>4.1.1 本工程要求的质量标准为符合现行国家有关工程施工验收规范和标准的要求合格。</w:t>
      </w:r>
    </w:p>
    <w:p w14:paraId="7D6E5652">
      <w:pPr>
        <w:pStyle w:val="5"/>
        <w:rPr>
          <w:rFonts w:ascii="Times New Roman" w:hAnsi="Times New Roman" w:eastAsia="黑体"/>
          <w:b w:val="0"/>
          <w:bCs w:val="0"/>
          <w:color w:val="auto"/>
          <w:sz w:val="24"/>
          <w:highlight w:val="none"/>
        </w:rPr>
      </w:pPr>
      <w:bookmarkStart w:id="1060" w:name="_Toc300678523"/>
      <w:r>
        <w:rPr>
          <w:rFonts w:ascii="Times New Roman" w:hAnsi="Times New Roman" w:eastAsia="黑体"/>
          <w:b w:val="0"/>
          <w:bCs w:val="0"/>
          <w:color w:val="auto"/>
          <w:sz w:val="24"/>
          <w:highlight w:val="none"/>
        </w:rPr>
        <w:t>4.2 特殊质量要求</w:t>
      </w:r>
      <w:bookmarkEnd w:id="1060"/>
    </w:p>
    <w:p w14:paraId="2BEE1952">
      <w:pPr>
        <w:spacing w:line="360" w:lineRule="auto"/>
        <w:ind w:firstLine="420" w:firstLineChars="200"/>
        <w:rPr>
          <w:color w:val="auto"/>
          <w:szCs w:val="21"/>
          <w:highlight w:val="none"/>
        </w:rPr>
      </w:pPr>
      <w:r>
        <w:rPr>
          <w:color w:val="auto"/>
          <w:szCs w:val="21"/>
          <w:highlight w:val="none"/>
        </w:rPr>
        <w:t>4.2.1 有关本工程质量方面的特殊要求如下：</w:t>
      </w:r>
      <w:r>
        <w:rPr>
          <w:color w:val="auto"/>
          <w:szCs w:val="21"/>
          <w:highlight w:val="none"/>
          <w:u w:val="single"/>
        </w:rPr>
        <w:t xml:space="preserve">     </w:t>
      </w:r>
      <w:r>
        <w:rPr>
          <w:color w:val="auto"/>
          <w:szCs w:val="21"/>
          <w:highlight w:val="none"/>
        </w:rPr>
        <w:t>。</w:t>
      </w:r>
    </w:p>
    <w:p w14:paraId="66C4DA19">
      <w:pPr>
        <w:pStyle w:val="4"/>
        <w:keepNext/>
        <w:keepLines/>
        <w:widowControl w:val="0"/>
        <w:jc w:val="left"/>
        <w:rPr>
          <w:rFonts w:eastAsia="黑体"/>
          <w:b w:val="0"/>
          <w:bCs w:val="0"/>
          <w:color w:val="auto"/>
          <w:sz w:val="28"/>
          <w:szCs w:val="28"/>
          <w:highlight w:val="none"/>
        </w:rPr>
      </w:pPr>
      <w:bookmarkStart w:id="1061" w:name="_Toc80006239"/>
      <w:bookmarkStart w:id="1062" w:name="_Toc300678524"/>
      <w:bookmarkStart w:id="1063" w:name="_Toc79998859"/>
      <w:bookmarkStart w:id="1064" w:name="_Toc79998415"/>
      <w:bookmarkStart w:id="1065" w:name="_Toc211498736"/>
      <w:bookmarkStart w:id="1066" w:name="_Toc80006129"/>
      <w:bookmarkStart w:id="1067" w:name="_Toc9178556"/>
      <w:r>
        <w:rPr>
          <w:rFonts w:eastAsia="黑体"/>
          <w:b w:val="0"/>
          <w:bCs w:val="0"/>
          <w:color w:val="auto"/>
          <w:sz w:val="28"/>
          <w:szCs w:val="28"/>
          <w:highlight w:val="none"/>
        </w:rPr>
        <w:t>5.适用规范和标准</w:t>
      </w:r>
      <w:bookmarkEnd w:id="1061"/>
      <w:bookmarkEnd w:id="1062"/>
      <w:bookmarkEnd w:id="1063"/>
      <w:bookmarkEnd w:id="1064"/>
      <w:bookmarkEnd w:id="1065"/>
      <w:bookmarkEnd w:id="1066"/>
      <w:bookmarkEnd w:id="1067"/>
    </w:p>
    <w:p w14:paraId="7ED18358">
      <w:pPr>
        <w:pStyle w:val="5"/>
        <w:rPr>
          <w:rFonts w:ascii="Times New Roman" w:hAnsi="Times New Roman" w:eastAsia="黑体"/>
          <w:b w:val="0"/>
          <w:bCs w:val="0"/>
          <w:color w:val="auto"/>
          <w:sz w:val="24"/>
          <w:highlight w:val="none"/>
        </w:rPr>
      </w:pPr>
      <w:bookmarkStart w:id="1068" w:name="_Toc300678525"/>
      <w:r>
        <w:rPr>
          <w:rFonts w:ascii="Times New Roman" w:hAnsi="Times New Roman" w:eastAsia="黑体"/>
          <w:b w:val="0"/>
          <w:bCs w:val="0"/>
          <w:color w:val="auto"/>
          <w:sz w:val="24"/>
          <w:highlight w:val="none"/>
        </w:rPr>
        <w:t>5.1 适用的规范、标准和规程</w:t>
      </w:r>
      <w:bookmarkEnd w:id="1068"/>
    </w:p>
    <w:p w14:paraId="60821600">
      <w:pPr>
        <w:spacing w:line="360" w:lineRule="auto"/>
        <w:ind w:firstLine="420" w:firstLineChars="200"/>
        <w:rPr>
          <w:color w:val="auto"/>
          <w:szCs w:val="21"/>
          <w:highlight w:val="none"/>
        </w:rPr>
      </w:pPr>
      <w:r>
        <w:rPr>
          <w:color w:val="auto"/>
          <w:szCs w:val="21"/>
          <w:highlight w:val="none"/>
        </w:rPr>
        <w:t>5.1.1 除合同另有约定外，本工程适用现行国家、行业和地方规范、标准和规程。适用于本工程的国家、行业和地方的规范、标准和规范等的名录见本章第三节。</w:t>
      </w:r>
    </w:p>
    <w:p w14:paraId="6DD9EE45">
      <w:pPr>
        <w:spacing w:line="360" w:lineRule="auto"/>
        <w:ind w:firstLine="420" w:firstLineChars="200"/>
        <w:rPr>
          <w:color w:val="auto"/>
          <w:szCs w:val="21"/>
          <w:highlight w:val="none"/>
        </w:rPr>
      </w:pPr>
      <w:r>
        <w:rPr>
          <w:color w:val="auto"/>
          <w:szCs w:val="21"/>
          <w:highlight w:val="none"/>
        </w:rPr>
        <w:t>构成合同文件的任何内容与适用的规范、标准和规程之间出现矛盾，承包人应书面要求监理人予以澄清，除监理人有特别指示外，承包人应按照其中要求最严格的标准执行。</w:t>
      </w:r>
    </w:p>
    <w:p w14:paraId="0EFB680A">
      <w:pPr>
        <w:spacing w:line="360" w:lineRule="auto"/>
        <w:ind w:firstLine="420" w:firstLineChars="200"/>
        <w:rPr>
          <w:color w:val="auto"/>
          <w:szCs w:val="21"/>
          <w:highlight w:val="none"/>
        </w:rPr>
      </w:pPr>
      <w:r>
        <w:rPr>
          <w:color w:val="auto"/>
          <w:szCs w:val="21"/>
          <w:highlight w:val="none"/>
        </w:rPr>
        <w:t>5.1.3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p>
    <w:p w14:paraId="4435A9BB">
      <w:pPr>
        <w:pStyle w:val="5"/>
        <w:ind w:firstLine="480" w:firstLineChars="200"/>
        <w:rPr>
          <w:rFonts w:ascii="Times New Roman" w:hAnsi="Times New Roman" w:eastAsia="黑体"/>
          <w:b w:val="0"/>
          <w:bCs w:val="0"/>
          <w:color w:val="auto"/>
          <w:sz w:val="24"/>
          <w:highlight w:val="none"/>
        </w:rPr>
      </w:pPr>
      <w:bookmarkStart w:id="1069" w:name="_Toc300678526"/>
      <w:r>
        <w:rPr>
          <w:rFonts w:ascii="Times New Roman" w:hAnsi="Times New Roman" w:eastAsia="黑体"/>
          <w:b w:val="0"/>
          <w:bCs w:val="0"/>
          <w:color w:val="auto"/>
          <w:sz w:val="24"/>
          <w:highlight w:val="none"/>
        </w:rPr>
        <w:t>5.2 特殊技术标准和要求</w:t>
      </w:r>
      <w:bookmarkEnd w:id="1069"/>
    </w:p>
    <w:p w14:paraId="4BADDA60">
      <w:pPr>
        <w:spacing w:line="360" w:lineRule="auto"/>
        <w:ind w:firstLine="420" w:firstLineChars="200"/>
        <w:rPr>
          <w:color w:val="auto"/>
          <w:szCs w:val="21"/>
          <w:highlight w:val="none"/>
        </w:rPr>
      </w:pPr>
      <w:r>
        <w:rPr>
          <w:color w:val="auto"/>
          <w:szCs w:val="21"/>
          <w:highlight w:val="none"/>
        </w:rPr>
        <w:t>5.2.1 适用本工程的特殊技术标准和要求见本章第二节。</w:t>
      </w:r>
    </w:p>
    <w:p w14:paraId="3F4EA953">
      <w:pPr>
        <w:spacing w:line="360" w:lineRule="auto"/>
        <w:ind w:firstLine="420" w:firstLineChars="200"/>
        <w:rPr>
          <w:color w:val="auto"/>
          <w:szCs w:val="21"/>
          <w:highlight w:val="none"/>
        </w:rPr>
      </w:pPr>
      <w:r>
        <w:rPr>
          <w:color w:val="auto"/>
          <w:szCs w:val="21"/>
          <w:highlight w:val="none"/>
        </w:rPr>
        <w:t>5.2.2 有合同约束力的图纸和其他设计文件中的有关文字说明是本节的组成内容。</w:t>
      </w:r>
    </w:p>
    <w:p w14:paraId="2728351E">
      <w:pPr>
        <w:pStyle w:val="4"/>
        <w:keepNext/>
        <w:keepLines/>
        <w:widowControl w:val="0"/>
        <w:jc w:val="left"/>
        <w:rPr>
          <w:rFonts w:eastAsia="黑体"/>
          <w:b w:val="0"/>
          <w:bCs w:val="0"/>
          <w:color w:val="auto"/>
          <w:sz w:val="28"/>
          <w:szCs w:val="28"/>
          <w:highlight w:val="none"/>
        </w:rPr>
      </w:pPr>
      <w:bookmarkStart w:id="1070" w:name="_Toc9178557"/>
      <w:bookmarkStart w:id="1071" w:name="_Toc79998416"/>
      <w:bookmarkStart w:id="1072" w:name="_Toc79998860"/>
      <w:bookmarkStart w:id="1073" w:name="_Toc80006130"/>
      <w:bookmarkStart w:id="1074" w:name="_Toc300678527"/>
      <w:bookmarkStart w:id="1075" w:name="_Toc80006240"/>
      <w:bookmarkStart w:id="1076" w:name="_Toc211498737"/>
      <w:r>
        <w:rPr>
          <w:rFonts w:eastAsia="黑体"/>
          <w:b w:val="0"/>
          <w:bCs w:val="0"/>
          <w:color w:val="auto"/>
          <w:sz w:val="28"/>
          <w:szCs w:val="28"/>
          <w:highlight w:val="none"/>
        </w:rPr>
        <w:t>6.安全文明施工</w:t>
      </w:r>
      <w:bookmarkEnd w:id="1070"/>
      <w:bookmarkEnd w:id="1071"/>
      <w:bookmarkEnd w:id="1072"/>
      <w:bookmarkEnd w:id="1073"/>
      <w:bookmarkEnd w:id="1074"/>
      <w:bookmarkEnd w:id="1075"/>
      <w:bookmarkEnd w:id="1076"/>
    </w:p>
    <w:p w14:paraId="48A85F0F">
      <w:pPr>
        <w:pStyle w:val="5"/>
        <w:rPr>
          <w:rFonts w:ascii="Times New Roman" w:hAnsi="Times New Roman" w:eastAsia="黑体"/>
          <w:b w:val="0"/>
          <w:bCs w:val="0"/>
          <w:color w:val="auto"/>
          <w:sz w:val="24"/>
          <w:highlight w:val="none"/>
        </w:rPr>
      </w:pPr>
      <w:bookmarkStart w:id="1077" w:name="_Toc300678528"/>
      <w:r>
        <w:rPr>
          <w:rFonts w:ascii="Times New Roman" w:hAnsi="Times New Roman" w:eastAsia="黑体"/>
          <w:b w:val="0"/>
          <w:bCs w:val="0"/>
          <w:color w:val="auto"/>
          <w:sz w:val="24"/>
          <w:highlight w:val="none"/>
        </w:rPr>
        <w:t>6.1 安全防护</w:t>
      </w:r>
      <w:bookmarkEnd w:id="1077"/>
    </w:p>
    <w:p w14:paraId="51D844C3">
      <w:pPr>
        <w:spacing w:line="360" w:lineRule="auto"/>
        <w:ind w:firstLine="420" w:firstLineChars="200"/>
        <w:rPr>
          <w:color w:val="auto"/>
          <w:szCs w:val="21"/>
          <w:highlight w:val="none"/>
        </w:rPr>
      </w:pPr>
      <w:r>
        <w:rPr>
          <w:color w:val="auto"/>
          <w:szCs w:val="21"/>
          <w:highlight w:val="none"/>
        </w:rPr>
        <w:t>6.1.1 在工程施工、竣工、交付及修补任何缺陷的过程中，承包人应当始终遵守国家和地方有关安全生产的法律、法规、规范、标准和规程等，按照合同条款的约定履行其安全施工职责。</w:t>
      </w:r>
    </w:p>
    <w:p w14:paraId="58048C55">
      <w:pPr>
        <w:spacing w:line="360" w:lineRule="auto"/>
        <w:ind w:firstLine="420" w:firstLineChars="200"/>
        <w:rPr>
          <w:color w:val="auto"/>
          <w:szCs w:val="21"/>
          <w:highlight w:val="none"/>
        </w:rPr>
      </w:pPr>
      <w:r>
        <w:rPr>
          <w:color w:val="auto"/>
          <w:szCs w:val="21"/>
          <w:highlight w:val="none"/>
        </w:rPr>
        <w:t>6.1.2 承包人应坚持“安全第一，预防为主”的方针，建立、健全安全生产责任制度和安全生产教育培训制度。在整个工程施工期间，承包人应在施工场地（现场）设立、提供和维护并在有关工作完成或竣工后撤除：</w:t>
      </w:r>
    </w:p>
    <w:p w14:paraId="0C8BC91E">
      <w:pPr>
        <w:spacing w:line="360" w:lineRule="auto"/>
        <w:ind w:firstLine="420" w:firstLineChars="200"/>
        <w:rPr>
          <w:color w:val="auto"/>
          <w:szCs w:val="21"/>
          <w:highlight w:val="none"/>
        </w:rPr>
      </w:pPr>
      <w:r>
        <w:rPr>
          <w:color w:val="auto"/>
          <w:szCs w:val="21"/>
          <w:highlight w:val="none"/>
        </w:rPr>
        <w:t>（1）设立在现场入口显著位置的现场施工总平面图、总平面管理、安全生产、文明施工、环境保护、质量控制、材料管理等的规章制度和主要参建单位名称和工程概况等说明的图板；</w:t>
      </w:r>
    </w:p>
    <w:p w14:paraId="1B279A25">
      <w:pPr>
        <w:spacing w:line="360" w:lineRule="auto"/>
        <w:ind w:firstLine="420" w:firstLineChars="200"/>
        <w:rPr>
          <w:color w:val="auto"/>
          <w:szCs w:val="21"/>
          <w:highlight w:val="none"/>
        </w:rPr>
      </w:pPr>
      <w:r>
        <w:rPr>
          <w:color w:val="auto"/>
          <w:szCs w:val="21"/>
          <w:highlight w:val="none"/>
        </w:rPr>
        <w:t>（2）为确保工程安全施工须设立的足够的标志、宣传画、标语、指示牌、警告牌、火警、匪警和急救电话提示牌等等；</w:t>
      </w:r>
    </w:p>
    <w:p w14:paraId="3FF92248">
      <w:pPr>
        <w:spacing w:line="360" w:lineRule="auto"/>
        <w:ind w:firstLine="420" w:firstLineChars="200"/>
        <w:rPr>
          <w:color w:val="auto"/>
          <w:szCs w:val="21"/>
          <w:highlight w:val="none"/>
        </w:rPr>
      </w:pPr>
      <w:r>
        <w:rPr>
          <w:color w:val="auto"/>
          <w:szCs w:val="21"/>
          <w:highlight w:val="none"/>
        </w:rPr>
        <w:t>（3）洞口和临边位置的安全防护设施，包括护身栏杆、脚手架、洞口盖板和加筋、竖井防护栏杆、防护棚、防护网、坡道等等；</w:t>
      </w:r>
    </w:p>
    <w:p w14:paraId="70683D35">
      <w:pPr>
        <w:spacing w:line="360" w:lineRule="auto"/>
        <w:ind w:firstLine="420" w:firstLineChars="200"/>
        <w:rPr>
          <w:color w:val="auto"/>
          <w:szCs w:val="21"/>
          <w:highlight w:val="none"/>
        </w:rPr>
      </w:pPr>
      <w:r>
        <w:rPr>
          <w:color w:val="auto"/>
          <w:szCs w:val="21"/>
          <w:highlight w:val="none"/>
        </w:rPr>
        <w:t>（4）安全带、安全绳、安全帽、安全网、绝缘鞋、绝缘手套、防护口罩和防护衣等安全生产用品；</w:t>
      </w:r>
    </w:p>
    <w:p w14:paraId="2F470195">
      <w:pPr>
        <w:spacing w:line="360" w:lineRule="auto"/>
        <w:ind w:firstLine="420" w:firstLineChars="200"/>
        <w:rPr>
          <w:color w:val="auto"/>
          <w:szCs w:val="21"/>
          <w:highlight w:val="none"/>
        </w:rPr>
      </w:pPr>
      <w:r>
        <w:rPr>
          <w:color w:val="auto"/>
          <w:szCs w:val="21"/>
          <w:highlight w:val="none"/>
        </w:rPr>
        <w:t>（5）所有机械设备包括各类电动工具的安全保护和接地装置和操作说明；</w:t>
      </w:r>
    </w:p>
    <w:p w14:paraId="649130F6">
      <w:pPr>
        <w:spacing w:line="360" w:lineRule="auto"/>
        <w:ind w:firstLine="420" w:firstLineChars="200"/>
        <w:rPr>
          <w:color w:val="auto"/>
          <w:szCs w:val="21"/>
          <w:highlight w:val="none"/>
        </w:rPr>
      </w:pPr>
      <w:r>
        <w:rPr>
          <w:color w:val="auto"/>
          <w:szCs w:val="21"/>
          <w:highlight w:val="none"/>
        </w:rPr>
        <w:t>（6）装备良好的临时急救站和配备称职的医护人员；</w:t>
      </w:r>
    </w:p>
    <w:p w14:paraId="60ECE086">
      <w:pPr>
        <w:spacing w:line="360" w:lineRule="auto"/>
        <w:ind w:firstLine="420" w:firstLineChars="200"/>
        <w:rPr>
          <w:color w:val="auto"/>
          <w:szCs w:val="21"/>
          <w:highlight w:val="none"/>
        </w:rPr>
      </w:pPr>
      <w:r>
        <w:rPr>
          <w:color w:val="auto"/>
          <w:szCs w:val="21"/>
          <w:highlight w:val="none"/>
        </w:rPr>
        <w:t>（7）主要作业场所和临时安全疏散通道24小时36伏安全照明和必要的警示等以防止各种可能的事故；</w:t>
      </w:r>
    </w:p>
    <w:p w14:paraId="02A1C9D5">
      <w:pPr>
        <w:spacing w:line="360" w:lineRule="auto"/>
        <w:ind w:firstLine="420" w:firstLineChars="200"/>
        <w:rPr>
          <w:color w:val="auto"/>
          <w:szCs w:val="21"/>
          <w:highlight w:val="none"/>
        </w:rPr>
      </w:pPr>
      <w:r>
        <w:rPr>
          <w:color w:val="auto"/>
          <w:szCs w:val="21"/>
          <w:highlight w:val="none"/>
        </w:rPr>
        <w:t>（8）足够数量的和合格的手提灭火器；</w:t>
      </w:r>
    </w:p>
    <w:p w14:paraId="2F933B8B">
      <w:pPr>
        <w:spacing w:line="360" w:lineRule="auto"/>
        <w:ind w:firstLine="420" w:firstLineChars="200"/>
        <w:rPr>
          <w:color w:val="auto"/>
          <w:szCs w:val="21"/>
          <w:highlight w:val="none"/>
        </w:rPr>
      </w:pPr>
      <w:r>
        <w:rPr>
          <w:color w:val="auto"/>
          <w:szCs w:val="21"/>
          <w:highlight w:val="none"/>
        </w:rPr>
        <w:t>（9）装备良好的易燃易爆物品仓库和相应的使用管理制度；</w:t>
      </w:r>
    </w:p>
    <w:p w14:paraId="557C1D50">
      <w:pPr>
        <w:spacing w:line="360" w:lineRule="auto"/>
        <w:ind w:firstLine="420" w:firstLineChars="200"/>
        <w:rPr>
          <w:color w:val="auto"/>
          <w:szCs w:val="21"/>
          <w:highlight w:val="none"/>
        </w:rPr>
      </w:pPr>
      <w:r>
        <w:rPr>
          <w:color w:val="auto"/>
          <w:szCs w:val="21"/>
          <w:highlight w:val="none"/>
        </w:rPr>
        <w:t>（10）对涉及明火施工的工作制定诸如用火证等的管理制度；</w:t>
      </w:r>
    </w:p>
    <w:p w14:paraId="77B2FD5E">
      <w:pPr>
        <w:spacing w:line="360" w:lineRule="auto"/>
        <w:ind w:firstLine="420" w:firstLineChars="200"/>
        <w:rPr>
          <w:color w:val="auto"/>
          <w:szCs w:val="21"/>
          <w:highlight w:val="none"/>
        </w:rPr>
      </w:pPr>
      <w:r>
        <w:rPr>
          <w:color w:val="auto"/>
          <w:szCs w:val="21"/>
          <w:highlight w:val="none"/>
        </w:rPr>
        <w:t>（11）其他：</w:t>
      </w:r>
      <w:r>
        <w:rPr>
          <w:color w:val="auto"/>
          <w:szCs w:val="21"/>
          <w:highlight w:val="none"/>
          <w:u w:val="single"/>
        </w:rPr>
        <w:t xml:space="preserve">                               </w:t>
      </w:r>
      <w:r>
        <w:rPr>
          <w:color w:val="auto"/>
          <w:szCs w:val="21"/>
          <w:highlight w:val="none"/>
        </w:rPr>
        <w:t>。</w:t>
      </w:r>
    </w:p>
    <w:p w14:paraId="3E537FB3">
      <w:pPr>
        <w:spacing w:line="360" w:lineRule="auto"/>
        <w:ind w:firstLine="420" w:firstLineChars="200"/>
        <w:rPr>
          <w:color w:val="auto"/>
          <w:szCs w:val="21"/>
          <w:highlight w:val="none"/>
        </w:rPr>
      </w:pPr>
      <w:r>
        <w:rPr>
          <w:color w:val="auto"/>
          <w:szCs w:val="21"/>
          <w:highlight w:val="none"/>
        </w:rPr>
        <w:t>6.1.3 安全文明施工费用必须专款专用，承包人应对其由于安全文明施工费用和施工安全措施不到位而发生的安全事故承担全部责任。</w:t>
      </w:r>
    </w:p>
    <w:p w14:paraId="1EE03FA3">
      <w:pPr>
        <w:spacing w:line="360" w:lineRule="auto"/>
        <w:ind w:firstLine="420" w:firstLineChars="200"/>
        <w:rPr>
          <w:color w:val="auto"/>
          <w:szCs w:val="21"/>
          <w:highlight w:val="none"/>
        </w:rPr>
      </w:pPr>
      <w:r>
        <w:rPr>
          <w:color w:val="auto"/>
          <w:szCs w:val="21"/>
          <w:highlight w:val="none"/>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7CB2F132">
      <w:pPr>
        <w:spacing w:line="360" w:lineRule="auto"/>
        <w:ind w:firstLine="420" w:firstLineChars="200"/>
        <w:rPr>
          <w:color w:val="auto"/>
          <w:szCs w:val="21"/>
          <w:highlight w:val="none"/>
        </w:rPr>
      </w:pPr>
      <w:r>
        <w:rPr>
          <w:color w:val="auto"/>
          <w:szCs w:val="21"/>
          <w:highlight w:val="none"/>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7EE81878">
      <w:pPr>
        <w:spacing w:line="360" w:lineRule="auto"/>
        <w:ind w:firstLine="420" w:firstLineChars="200"/>
        <w:rPr>
          <w:color w:val="auto"/>
          <w:szCs w:val="21"/>
          <w:highlight w:val="none"/>
        </w:rPr>
      </w:pPr>
      <w:r>
        <w:rPr>
          <w:color w:val="auto"/>
          <w:szCs w:val="21"/>
          <w:highlight w:val="none"/>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111CD785">
      <w:pPr>
        <w:spacing w:line="360" w:lineRule="auto"/>
        <w:ind w:firstLine="420" w:firstLineChars="200"/>
        <w:rPr>
          <w:color w:val="auto"/>
          <w:szCs w:val="21"/>
          <w:highlight w:val="none"/>
        </w:rPr>
      </w:pPr>
      <w:r>
        <w:rPr>
          <w:color w:val="auto"/>
          <w:szCs w:val="21"/>
          <w:highlight w:val="none"/>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6F264983">
      <w:pPr>
        <w:spacing w:line="360" w:lineRule="auto"/>
        <w:ind w:firstLine="420" w:firstLineChars="200"/>
        <w:rPr>
          <w:color w:val="auto"/>
          <w:szCs w:val="21"/>
          <w:highlight w:val="none"/>
        </w:rPr>
      </w:pPr>
      <w:r>
        <w:rPr>
          <w:color w:val="auto"/>
          <w:szCs w:val="21"/>
          <w:highlight w:val="none"/>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265171E2">
      <w:pPr>
        <w:spacing w:line="360" w:lineRule="auto"/>
        <w:ind w:firstLine="420" w:firstLineChars="200"/>
        <w:rPr>
          <w:color w:val="auto"/>
          <w:szCs w:val="21"/>
          <w:highlight w:val="none"/>
        </w:rPr>
      </w:pPr>
      <w:r>
        <w:rPr>
          <w:color w:val="auto"/>
          <w:szCs w:val="21"/>
          <w:highlight w:val="none"/>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18E822B1">
      <w:pPr>
        <w:spacing w:line="360" w:lineRule="auto"/>
        <w:ind w:firstLine="420" w:firstLineChars="200"/>
        <w:rPr>
          <w:color w:val="auto"/>
          <w:szCs w:val="21"/>
          <w:highlight w:val="none"/>
        </w:rPr>
      </w:pPr>
      <w:r>
        <w:rPr>
          <w:color w:val="auto"/>
          <w:szCs w:val="21"/>
          <w:highlight w:val="none"/>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2F9AD1C3">
      <w:pPr>
        <w:spacing w:line="360" w:lineRule="auto"/>
        <w:ind w:firstLine="420" w:firstLineChars="200"/>
        <w:rPr>
          <w:color w:val="auto"/>
          <w:szCs w:val="21"/>
          <w:highlight w:val="none"/>
        </w:rPr>
      </w:pPr>
      <w:r>
        <w:rPr>
          <w:color w:val="auto"/>
          <w:szCs w:val="21"/>
          <w:highlight w:val="none"/>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4E0A8F36">
      <w:pPr>
        <w:spacing w:line="360" w:lineRule="auto"/>
        <w:ind w:firstLine="420" w:firstLineChars="200"/>
        <w:rPr>
          <w:color w:val="auto"/>
          <w:szCs w:val="21"/>
          <w:highlight w:val="none"/>
        </w:rPr>
      </w:pPr>
      <w:r>
        <w:rPr>
          <w:color w:val="auto"/>
          <w:szCs w:val="21"/>
          <w:highlight w:val="none"/>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51AC88B6">
      <w:pPr>
        <w:spacing w:line="360" w:lineRule="auto"/>
        <w:ind w:firstLine="420" w:firstLineChars="200"/>
        <w:rPr>
          <w:color w:val="auto"/>
          <w:szCs w:val="21"/>
          <w:highlight w:val="none"/>
        </w:rPr>
      </w:pPr>
      <w:r>
        <w:rPr>
          <w:color w:val="auto"/>
          <w:szCs w:val="21"/>
          <w:highlight w:val="none"/>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1BB84B34">
      <w:pPr>
        <w:spacing w:line="360" w:lineRule="auto"/>
        <w:ind w:firstLine="420" w:firstLineChars="200"/>
        <w:rPr>
          <w:color w:val="auto"/>
          <w:szCs w:val="21"/>
          <w:highlight w:val="none"/>
        </w:rPr>
      </w:pPr>
      <w:r>
        <w:rPr>
          <w:color w:val="auto"/>
          <w:szCs w:val="21"/>
          <w:highlight w:val="none"/>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759D5725">
      <w:pPr>
        <w:spacing w:line="360" w:lineRule="auto"/>
        <w:ind w:firstLine="420" w:firstLineChars="200"/>
        <w:rPr>
          <w:color w:val="auto"/>
          <w:szCs w:val="21"/>
          <w:highlight w:val="none"/>
        </w:rPr>
      </w:pPr>
      <w:r>
        <w:rPr>
          <w:color w:val="auto"/>
          <w:szCs w:val="21"/>
          <w:highlight w:val="none"/>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60A45D92">
      <w:pPr>
        <w:spacing w:line="360" w:lineRule="auto"/>
        <w:ind w:firstLine="420" w:firstLineChars="200"/>
        <w:rPr>
          <w:color w:val="auto"/>
          <w:szCs w:val="21"/>
          <w:highlight w:val="none"/>
        </w:rPr>
      </w:pPr>
      <w:r>
        <w:rPr>
          <w:color w:val="auto"/>
          <w:szCs w:val="21"/>
          <w:highlight w:val="none"/>
        </w:rPr>
        <w:t>6.1.16 承包人应按照合同条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7E00D381">
      <w:pPr>
        <w:spacing w:line="360" w:lineRule="auto"/>
        <w:ind w:firstLine="420" w:firstLineChars="200"/>
        <w:rPr>
          <w:color w:val="auto"/>
          <w:szCs w:val="21"/>
          <w:highlight w:val="none"/>
        </w:rPr>
      </w:pPr>
      <w:r>
        <w:rPr>
          <w:color w:val="auto"/>
          <w:szCs w:val="21"/>
          <w:highlight w:val="none"/>
        </w:rPr>
        <w:t>6.1.17 承包人还应根据有关法律、法规、规定和条例等的要求，制定一套安全生产应急措施和程序，保证一旦出现任何安全事故，能立即保护好现场，抢救伤员和财产，保证施工生产的正常进行，防止损失扩大。</w:t>
      </w:r>
    </w:p>
    <w:p w14:paraId="6ADC0AAA">
      <w:pPr>
        <w:spacing w:line="360" w:lineRule="auto"/>
        <w:ind w:firstLine="420" w:firstLineChars="200"/>
        <w:rPr>
          <w:color w:val="auto"/>
          <w:szCs w:val="21"/>
          <w:highlight w:val="none"/>
        </w:rPr>
      </w:pPr>
      <w:r>
        <w:rPr>
          <w:color w:val="auto"/>
          <w:szCs w:val="21"/>
          <w:highlight w:val="none"/>
        </w:rPr>
        <w:t>6.1.18 安全防护方面的其他要求如下：</w:t>
      </w:r>
      <w:r>
        <w:rPr>
          <w:color w:val="auto"/>
          <w:szCs w:val="21"/>
          <w:highlight w:val="none"/>
          <w:u w:val="single"/>
        </w:rPr>
        <w:t xml:space="preserve">     </w:t>
      </w:r>
      <w:r>
        <w:rPr>
          <w:color w:val="auto"/>
          <w:szCs w:val="21"/>
          <w:highlight w:val="none"/>
        </w:rPr>
        <w:t>。</w:t>
      </w:r>
    </w:p>
    <w:p w14:paraId="2D66E7F7">
      <w:pPr>
        <w:pStyle w:val="5"/>
        <w:rPr>
          <w:rFonts w:ascii="Times New Roman" w:hAnsi="Times New Roman" w:eastAsia="黑体"/>
          <w:b w:val="0"/>
          <w:bCs w:val="0"/>
          <w:color w:val="auto"/>
          <w:sz w:val="24"/>
          <w:highlight w:val="none"/>
        </w:rPr>
      </w:pPr>
      <w:bookmarkStart w:id="1078" w:name="_Toc300678529"/>
      <w:r>
        <w:rPr>
          <w:rFonts w:ascii="Times New Roman" w:hAnsi="Times New Roman" w:eastAsia="黑体"/>
          <w:b w:val="0"/>
          <w:bCs w:val="0"/>
          <w:color w:val="auto"/>
          <w:sz w:val="24"/>
          <w:highlight w:val="none"/>
        </w:rPr>
        <w:t>6.2 临时消防</w:t>
      </w:r>
      <w:bookmarkEnd w:id="1078"/>
    </w:p>
    <w:p w14:paraId="71FE60B2">
      <w:pPr>
        <w:spacing w:line="360" w:lineRule="auto"/>
        <w:ind w:firstLine="420" w:firstLineChars="200"/>
        <w:rPr>
          <w:color w:val="auto"/>
          <w:szCs w:val="21"/>
          <w:highlight w:val="none"/>
        </w:rPr>
      </w:pPr>
      <w:r>
        <w:rPr>
          <w:color w:val="auto"/>
          <w:szCs w:val="21"/>
          <w:highlight w:val="none"/>
        </w:rPr>
        <w:t>6.2.1 承包人应建立消防安全责任制度，制定用火、用电和使用易燃易爆等危险品的消防安全管理制度和操作规程。各项制度和规程等应满足相关法律法规和政府消防管理机构的要求。</w:t>
      </w:r>
    </w:p>
    <w:p w14:paraId="7B8E5A7A">
      <w:pPr>
        <w:spacing w:line="360" w:lineRule="auto"/>
        <w:ind w:firstLine="420" w:firstLineChars="200"/>
        <w:rPr>
          <w:color w:val="auto"/>
          <w:szCs w:val="21"/>
          <w:highlight w:val="none"/>
        </w:rPr>
      </w:pPr>
      <w:r>
        <w:rPr>
          <w:color w:val="auto"/>
          <w:szCs w:val="21"/>
          <w:highlight w:val="none"/>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4EEC1143">
      <w:pPr>
        <w:spacing w:line="360" w:lineRule="auto"/>
        <w:ind w:firstLine="420" w:firstLineChars="200"/>
        <w:rPr>
          <w:color w:val="auto"/>
          <w:szCs w:val="21"/>
          <w:highlight w:val="none"/>
        </w:rPr>
      </w:pPr>
      <w:r>
        <w:rPr>
          <w:color w:val="auto"/>
          <w:szCs w:val="21"/>
          <w:highlight w:val="none"/>
        </w:rPr>
        <w:t>6.2.3 承包人应当成立由项目主要负责人担任组长的临时消防组或消防队，宣传消防基本知识和基本操作培训，组织消防演练，保证一旦发生火灾，能够组织有效的自救，保护生命和财产安全。</w:t>
      </w:r>
    </w:p>
    <w:p w14:paraId="0F296240">
      <w:pPr>
        <w:spacing w:line="360" w:lineRule="auto"/>
        <w:ind w:firstLine="420" w:firstLineChars="200"/>
        <w:rPr>
          <w:color w:val="auto"/>
          <w:szCs w:val="21"/>
          <w:highlight w:val="none"/>
        </w:rPr>
      </w:pPr>
      <w:r>
        <w:rPr>
          <w:color w:val="auto"/>
          <w:szCs w:val="21"/>
          <w:highlight w:val="none"/>
        </w:rPr>
        <w:t>6.2.4 施工场地（现场）内的易燃、易爆物品应单独和安全地存放，设专人进行存放和领用管理。施工场地（现场）储有或正在使用易燃、易爆或可燃材料时或有明火施工的工序，应当实行严格的“用火证”管理制度。</w:t>
      </w:r>
    </w:p>
    <w:p w14:paraId="5510AEB1">
      <w:pPr>
        <w:spacing w:line="360" w:lineRule="auto"/>
        <w:ind w:firstLine="424" w:firstLineChars="202"/>
        <w:rPr>
          <w:color w:val="auto"/>
          <w:szCs w:val="21"/>
          <w:highlight w:val="none"/>
        </w:rPr>
      </w:pPr>
      <w:r>
        <w:rPr>
          <w:color w:val="auto"/>
          <w:szCs w:val="21"/>
          <w:highlight w:val="none"/>
        </w:rPr>
        <w:t>6.2.5 临时消防方面的其他要求如下：</w:t>
      </w:r>
      <w:r>
        <w:rPr>
          <w:color w:val="auto"/>
          <w:szCs w:val="21"/>
          <w:highlight w:val="none"/>
          <w:u w:val="single"/>
        </w:rPr>
        <w:t xml:space="preserve">     </w:t>
      </w:r>
      <w:r>
        <w:rPr>
          <w:color w:val="auto"/>
          <w:szCs w:val="21"/>
          <w:highlight w:val="none"/>
        </w:rPr>
        <w:t>。</w:t>
      </w:r>
    </w:p>
    <w:p w14:paraId="52D51018">
      <w:pPr>
        <w:pStyle w:val="5"/>
        <w:rPr>
          <w:rFonts w:ascii="Times New Roman" w:hAnsi="Times New Roman" w:eastAsia="黑体"/>
          <w:b w:val="0"/>
          <w:bCs w:val="0"/>
          <w:color w:val="auto"/>
          <w:sz w:val="24"/>
          <w:highlight w:val="none"/>
        </w:rPr>
      </w:pPr>
      <w:bookmarkStart w:id="1079" w:name="_Toc300678530"/>
      <w:r>
        <w:rPr>
          <w:rFonts w:ascii="Times New Roman" w:hAnsi="Times New Roman" w:eastAsia="黑体"/>
          <w:b w:val="0"/>
          <w:bCs w:val="0"/>
          <w:color w:val="auto"/>
          <w:sz w:val="24"/>
          <w:highlight w:val="none"/>
        </w:rPr>
        <w:t>6.3 临时供电</w:t>
      </w:r>
      <w:bookmarkEnd w:id="1079"/>
    </w:p>
    <w:p w14:paraId="293FEB27">
      <w:pPr>
        <w:spacing w:line="360" w:lineRule="auto"/>
        <w:ind w:firstLine="420" w:firstLineChars="200"/>
        <w:rPr>
          <w:color w:val="auto"/>
          <w:szCs w:val="21"/>
          <w:highlight w:val="none"/>
        </w:rPr>
      </w:pPr>
      <w:r>
        <w:rPr>
          <w:color w:val="auto"/>
          <w:szCs w:val="21"/>
          <w:highlight w:val="none"/>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2361E7FB">
      <w:pPr>
        <w:spacing w:line="360" w:lineRule="auto"/>
        <w:ind w:firstLine="420" w:firstLineChars="200"/>
        <w:rPr>
          <w:color w:val="auto"/>
          <w:szCs w:val="21"/>
          <w:highlight w:val="none"/>
        </w:rPr>
      </w:pPr>
      <w:r>
        <w:rPr>
          <w:color w:val="auto"/>
          <w:szCs w:val="21"/>
          <w:highlight w:val="none"/>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0B9A2383">
      <w:pPr>
        <w:spacing w:line="360" w:lineRule="auto"/>
        <w:ind w:firstLine="420" w:firstLineChars="200"/>
        <w:rPr>
          <w:color w:val="auto"/>
          <w:szCs w:val="21"/>
          <w:highlight w:val="none"/>
        </w:rPr>
      </w:pPr>
      <w:r>
        <w:rPr>
          <w:color w:val="auto"/>
          <w:szCs w:val="21"/>
          <w:highlight w:val="none"/>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265F3CD6">
      <w:pPr>
        <w:spacing w:line="360" w:lineRule="auto"/>
        <w:ind w:firstLine="420" w:firstLineChars="200"/>
        <w:rPr>
          <w:color w:val="auto"/>
          <w:szCs w:val="21"/>
          <w:highlight w:val="none"/>
        </w:rPr>
      </w:pPr>
      <w:r>
        <w:rPr>
          <w:color w:val="auto"/>
          <w:szCs w:val="21"/>
          <w:highlight w:val="none"/>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64655569">
      <w:pPr>
        <w:spacing w:line="360" w:lineRule="auto"/>
        <w:ind w:firstLine="420" w:firstLineChars="200"/>
        <w:rPr>
          <w:color w:val="auto"/>
          <w:szCs w:val="21"/>
          <w:highlight w:val="none"/>
        </w:rPr>
      </w:pPr>
      <w:r>
        <w:rPr>
          <w:color w:val="auto"/>
          <w:szCs w:val="21"/>
          <w:highlight w:val="none"/>
        </w:rPr>
        <w:t>6.3.5 凡可能漏电伤人或易受雷击的电器及建筑物均应设置接地和避雷装置。承包人应负责避雷装置的采购、安装、管理和维修，并建立定期检查制度。</w:t>
      </w:r>
    </w:p>
    <w:p w14:paraId="0F29FC4E">
      <w:pPr>
        <w:spacing w:line="360" w:lineRule="auto"/>
        <w:ind w:firstLine="424" w:firstLineChars="202"/>
        <w:rPr>
          <w:color w:val="auto"/>
          <w:szCs w:val="21"/>
          <w:highlight w:val="none"/>
        </w:rPr>
      </w:pPr>
      <w:r>
        <w:rPr>
          <w:color w:val="auto"/>
          <w:szCs w:val="21"/>
          <w:highlight w:val="none"/>
        </w:rPr>
        <w:t>6.3.6 临时用电方面的其他要求如下：</w:t>
      </w:r>
      <w:r>
        <w:rPr>
          <w:color w:val="auto"/>
          <w:szCs w:val="21"/>
          <w:highlight w:val="none"/>
          <w:u w:val="single"/>
        </w:rPr>
        <w:t xml:space="preserve">     </w:t>
      </w:r>
      <w:r>
        <w:rPr>
          <w:color w:val="auto"/>
          <w:szCs w:val="21"/>
          <w:highlight w:val="none"/>
        </w:rPr>
        <w:t>。</w:t>
      </w:r>
    </w:p>
    <w:p w14:paraId="591A2B56">
      <w:pPr>
        <w:pStyle w:val="5"/>
        <w:rPr>
          <w:rFonts w:ascii="Times New Roman" w:hAnsi="Times New Roman" w:eastAsia="黑体"/>
          <w:b w:val="0"/>
          <w:bCs w:val="0"/>
          <w:color w:val="auto"/>
          <w:sz w:val="24"/>
          <w:highlight w:val="none"/>
        </w:rPr>
      </w:pPr>
      <w:bookmarkStart w:id="1080" w:name="_Toc300678531"/>
      <w:r>
        <w:rPr>
          <w:rFonts w:ascii="Times New Roman" w:hAnsi="Times New Roman" w:eastAsia="黑体"/>
          <w:b w:val="0"/>
          <w:bCs w:val="0"/>
          <w:color w:val="auto"/>
          <w:sz w:val="24"/>
          <w:highlight w:val="none"/>
        </w:rPr>
        <w:t>6.4 劳动保护</w:t>
      </w:r>
      <w:bookmarkEnd w:id="1080"/>
    </w:p>
    <w:p w14:paraId="6A94FC24">
      <w:pPr>
        <w:spacing w:line="360" w:lineRule="auto"/>
        <w:ind w:firstLine="420" w:firstLineChars="200"/>
        <w:rPr>
          <w:color w:val="auto"/>
          <w:szCs w:val="21"/>
          <w:highlight w:val="none"/>
        </w:rPr>
      </w:pPr>
      <w:r>
        <w:rPr>
          <w:color w:val="auto"/>
          <w:szCs w:val="21"/>
          <w:highlight w:val="none"/>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2940F375">
      <w:pPr>
        <w:spacing w:line="360" w:lineRule="auto"/>
        <w:ind w:firstLine="420" w:firstLineChars="200"/>
        <w:rPr>
          <w:color w:val="auto"/>
          <w:szCs w:val="21"/>
          <w:highlight w:val="none"/>
        </w:rPr>
      </w:pPr>
      <w:r>
        <w:rPr>
          <w:color w:val="auto"/>
          <w:szCs w:val="21"/>
          <w:highlight w:val="none"/>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11A0AC71">
      <w:pPr>
        <w:spacing w:line="360" w:lineRule="auto"/>
        <w:ind w:firstLine="420" w:firstLineChars="200"/>
        <w:rPr>
          <w:color w:val="auto"/>
          <w:szCs w:val="21"/>
          <w:highlight w:val="none"/>
        </w:rPr>
      </w:pPr>
      <w:r>
        <w:rPr>
          <w:color w:val="auto"/>
          <w:szCs w:val="21"/>
          <w:highlight w:val="none"/>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7D303EF7">
      <w:pPr>
        <w:spacing w:line="360" w:lineRule="auto"/>
        <w:ind w:firstLine="420" w:firstLineChars="200"/>
        <w:rPr>
          <w:color w:val="auto"/>
          <w:szCs w:val="21"/>
          <w:highlight w:val="none"/>
        </w:rPr>
      </w:pPr>
      <w:r>
        <w:rPr>
          <w:color w:val="auto"/>
          <w:szCs w:val="21"/>
          <w:highlight w:val="none"/>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4C615D14">
      <w:pPr>
        <w:spacing w:line="360" w:lineRule="auto"/>
        <w:ind w:firstLine="420" w:firstLineChars="200"/>
        <w:rPr>
          <w:color w:val="auto"/>
          <w:szCs w:val="21"/>
          <w:highlight w:val="none"/>
        </w:rPr>
      </w:pPr>
      <w:r>
        <w:rPr>
          <w:color w:val="auto"/>
          <w:szCs w:val="21"/>
          <w:highlight w:val="none"/>
        </w:rPr>
        <w:t>6.4.5 承包人应在现场设立专门的临时医疗站，配备足够的设施、药物和称职的医务人员，承包人还应准备急救担架，用于一旦发生安全事故时对受伤人员的急救。</w:t>
      </w:r>
    </w:p>
    <w:p w14:paraId="332C3FD1">
      <w:pPr>
        <w:spacing w:line="360" w:lineRule="auto"/>
        <w:ind w:firstLine="420" w:firstLineChars="200"/>
        <w:rPr>
          <w:color w:val="auto"/>
          <w:szCs w:val="21"/>
          <w:highlight w:val="none"/>
        </w:rPr>
      </w:pPr>
      <w:r>
        <w:rPr>
          <w:color w:val="auto"/>
          <w:szCs w:val="21"/>
          <w:highlight w:val="none"/>
        </w:rPr>
        <w:t>6.4.6 劳动保护方面的其他要求如下：</w:t>
      </w:r>
      <w:r>
        <w:rPr>
          <w:color w:val="auto"/>
          <w:szCs w:val="21"/>
          <w:highlight w:val="none"/>
          <w:u w:val="single"/>
        </w:rPr>
        <w:t xml:space="preserve">     </w:t>
      </w:r>
      <w:r>
        <w:rPr>
          <w:color w:val="auto"/>
          <w:szCs w:val="21"/>
          <w:highlight w:val="none"/>
        </w:rPr>
        <w:t>。</w:t>
      </w:r>
    </w:p>
    <w:p w14:paraId="15D7A099">
      <w:pPr>
        <w:pStyle w:val="5"/>
        <w:rPr>
          <w:rFonts w:ascii="Times New Roman" w:hAnsi="Times New Roman" w:eastAsia="黑体"/>
          <w:b w:val="0"/>
          <w:bCs w:val="0"/>
          <w:color w:val="auto"/>
          <w:sz w:val="24"/>
          <w:highlight w:val="none"/>
        </w:rPr>
      </w:pPr>
      <w:bookmarkStart w:id="1081" w:name="_Toc300678532"/>
      <w:r>
        <w:rPr>
          <w:rFonts w:ascii="Times New Roman" w:hAnsi="Times New Roman" w:eastAsia="黑体"/>
          <w:b w:val="0"/>
          <w:bCs w:val="0"/>
          <w:color w:val="auto"/>
          <w:sz w:val="24"/>
          <w:highlight w:val="none"/>
        </w:rPr>
        <w:t>6.5 脚手架</w:t>
      </w:r>
      <w:bookmarkEnd w:id="1081"/>
    </w:p>
    <w:p w14:paraId="59490334">
      <w:pPr>
        <w:spacing w:line="360" w:lineRule="auto"/>
        <w:ind w:firstLine="420" w:firstLineChars="200"/>
        <w:rPr>
          <w:color w:val="auto"/>
          <w:szCs w:val="21"/>
          <w:highlight w:val="none"/>
        </w:rPr>
      </w:pPr>
      <w:r>
        <w:rPr>
          <w:color w:val="auto"/>
          <w:szCs w:val="21"/>
          <w:highlight w:val="none"/>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7055C039">
      <w:pPr>
        <w:spacing w:line="360" w:lineRule="auto"/>
        <w:ind w:firstLine="420" w:firstLineChars="200"/>
        <w:rPr>
          <w:color w:val="auto"/>
          <w:szCs w:val="21"/>
          <w:highlight w:val="none"/>
        </w:rPr>
      </w:pPr>
      <w:r>
        <w:rPr>
          <w:color w:val="auto"/>
          <w:szCs w:val="21"/>
          <w:highlight w:val="none"/>
        </w:rPr>
        <w:t>6.5.2 所有脚手架，尤其是大型、复杂、高耸和非常规脚手架，要编制专项施工方案，还应当经过安全验算，脚手架安全验算结果必须报送监理人核查后方可实施。</w:t>
      </w:r>
    </w:p>
    <w:p w14:paraId="50A4FFF8">
      <w:pPr>
        <w:spacing w:line="360" w:lineRule="auto"/>
        <w:ind w:firstLine="420" w:firstLineChars="200"/>
        <w:rPr>
          <w:color w:val="auto"/>
          <w:szCs w:val="21"/>
          <w:highlight w:val="none"/>
        </w:rPr>
      </w:pPr>
      <w:r>
        <w:rPr>
          <w:color w:val="auto"/>
          <w:szCs w:val="21"/>
          <w:highlight w:val="none"/>
        </w:rPr>
        <w:t>6.5.3 搭设爬架、挂架、超高脚手架等特种或新型脚手架时，承包人应确保此类脚手架的安全性和保证此类脚手架已经过有关行政管理部门允许使用的批准，并承担与此有关的一切费用。</w:t>
      </w:r>
    </w:p>
    <w:p w14:paraId="01E3D9E9">
      <w:pPr>
        <w:spacing w:line="360" w:lineRule="auto"/>
        <w:ind w:firstLine="420" w:firstLineChars="200"/>
        <w:rPr>
          <w:color w:val="auto"/>
          <w:szCs w:val="21"/>
          <w:highlight w:val="none"/>
        </w:rPr>
      </w:pPr>
      <w:r>
        <w:rPr>
          <w:color w:val="auto"/>
          <w:szCs w:val="21"/>
          <w:highlight w:val="none"/>
        </w:rPr>
        <w:t>6.5.4 承包人应当加强脚手架的日常安全巡查，及时对其中的安全隐患进行整改，确保脚手架使用安全。雨、雪、雾、霜和大风等天气后，承包人必须对脚手架进行安全巡查，并及时消除安全隐患。</w:t>
      </w:r>
    </w:p>
    <w:p w14:paraId="7C73AE5B">
      <w:pPr>
        <w:spacing w:line="360" w:lineRule="auto"/>
        <w:ind w:firstLine="420" w:firstLineChars="200"/>
        <w:rPr>
          <w:color w:val="auto"/>
          <w:szCs w:val="21"/>
          <w:highlight w:val="none"/>
        </w:rPr>
      </w:pPr>
      <w:r>
        <w:rPr>
          <w:color w:val="auto"/>
          <w:szCs w:val="21"/>
          <w:highlight w:val="none"/>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44AD287D">
      <w:pPr>
        <w:spacing w:line="360" w:lineRule="auto"/>
        <w:ind w:firstLine="420" w:firstLineChars="200"/>
        <w:rPr>
          <w:color w:val="auto"/>
          <w:szCs w:val="21"/>
          <w:highlight w:val="none"/>
        </w:rPr>
      </w:pPr>
      <w:r>
        <w:rPr>
          <w:color w:val="auto"/>
          <w:szCs w:val="21"/>
          <w:highlight w:val="none"/>
        </w:rPr>
        <w:t>6.5.6 脚手架的其他要求如下：</w:t>
      </w:r>
      <w:r>
        <w:rPr>
          <w:color w:val="auto"/>
          <w:szCs w:val="21"/>
          <w:highlight w:val="none"/>
          <w:u w:val="single"/>
        </w:rPr>
        <w:t xml:space="preserve">     </w:t>
      </w:r>
      <w:r>
        <w:rPr>
          <w:color w:val="auto"/>
          <w:szCs w:val="21"/>
          <w:highlight w:val="none"/>
        </w:rPr>
        <w:t>。</w:t>
      </w:r>
    </w:p>
    <w:p w14:paraId="0BDF2379">
      <w:pPr>
        <w:pStyle w:val="5"/>
        <w:rPr>
          <w:rFonts w:ascii="Times New Roman" w:hAnsi="Times New Roman" w:eastAsia="黑体"/>
          <w:b w:val="0"/>
          <w:bCs w:val="0"/>
          <w:color w:val="auto"/>
          <w:sz w:val="24"/>
          <w:highlight w:val="none"/>
        </w:rPr>
      </w:pPr>
      <w:bookmarkStart w:id="1082" w:name="_Toc300678533"/>
      <w:r>
        <w:rPr>
          <w:rFonts w:ascii="Times New Roman" w:hAnsi="Times New Roman" w:eastAsia="黑体"/>
          <w:b w:val="0"/>
          <w:bCs w:val="0"/>
          <w:color w:val="auto"/>
          <w:sz w:val="24"/>
          <w:highlight w:val="none"/>
        </w:rPr>
        <w:t>6.6 施工安全措施计划</w:t>
      </w:r>
      <w:bookmarkEnd w:id="1082"/>
    </w:p>
    <w:p w14:paraId="2D895631">
      <w:pPr>
        <w:spacing w:line="360" w:lineRule="auto"/>
        <w:ind w:firstLine="420" w:firstLineChars="200"/>
        <w:rPr>
          <w:color w:val="auto"/>
          <w:szCs w:val="21"/>
          <w:highlight w:val="none"/>
        </w:rPr>
      </w:pPr>
      <w:r>
        <w:rPr>
          <w:color w:val="auto"/>
          <w:szCs w:val="21"/>
          <w:highlight w:val="none"/>
        </w:rPr>
        <w:t>6.6.1 承包人应根据《中华人民共和国安全生产法》、《职业健康安全管理体系规范》、《中华人民共和国消防法》、《中华人民共和国道路交通安全法》、《中华人民共和国传染病防治法实施办法》和地方有关的法规等，按照合同条款的约定，编制一份施工安全措施计划，报送监理人审批。</w:t>
      </w:r>
    </w:p>
    <w:p w14:paraId="7FE86C4E">
      <w:pPr>
        <w:spacing w:line="360" w:lineRule="auto"/>
        <w:ind w:firstLine="420" w:firstLineChars="200"/>
        <w:rPr>
          <w:color w:val="auto"/>
          <w:szCs w:val="21"/>
          <w:highlight w:val="none"/>
        </w:rPr>
      </w:pPr>
      <w:r>
        <w:rPr>
          <w:color w:val="auto"/>
          <w:szCs w:val="21"/>
          <w:highlight w:val="none"/>
        </w:rPr>
        <w:t>6.6.2 施工安全措施计划是承包人阐明其安全管理方针、管理体系、安全制度和安全措施等的文件，其内容应当反映现行法律法规规定的和合同条款约定的以及本条上述约定的承包人安全职责，包括但不限于：</w:t>
      </w:r>
    </w:p>
    <w:p w14:paraId="792F0BC2">
      <w:pPr>
        <w:spacing w:line="360" w:lineRule="auto"/>
        <w:rPr>
          <w:color w:val="auto"/>
          <w:szCs w:val="21"/>
          <w:highlight w:val="none"/>
        </w:rPr>
      </w:pPr>
      <w:r>
        <w:rPr>
          <w:color w:val="auto"/>
          <w:szCs w:val="21"/>
          <w:highlight w:val="none"/>
        </w:rPr>
        <w:t xml:space="preserve">    （1）施工安全管理机构的设置；</w:t>
      </w:r>
    </w:p>
    <w:p w14:paraId="1525241E">
      <w:pPr>
        <w:spacing w:line="360" w:lineRule="auto"/>
        <w:rPr>
          <w:color w:val="auto"/>
          <w:szCs w:val="21"/>
          <w:highlight w:val="none"/>
        </w:rPr>
      </w:pPr>
      <w:r>
        <w:rPr>
          <w:color w:val="auto"/>
          <w:szCs w:val="21"/>
          <w:highlight w:val="none"/>
        </w:rPr>
        <w:t xml:space="preserve">    （2）专职安全管理人员的配备；</w:t>
      </w:r>
    </w:p>
    <w:p w14:paraId="3CA35F61">
      <w:pPr>
        <w:spacing w:line="360" w:lineRule="auto"/>
        <w:rPr>
          <w:color w:val="auto"/>
          <w:szCs w:val="21"/>
          <w:highlight w:val="none"/>
        </w:rPr>
      </w:pPr>
      <w:r>
        <w:rPr>
          <w:color w:val="auto"/>
          <w:szCs w:val="21"/>
          <w:highlight w:val="none"/>
        </w:rPr>
        <w:t xml:space="preserve">    （3）安全责任制度和管理措施；</w:t>
      </w:r>
    </w:p>
    <w:p w14:paraId="41A9B230">
      <w:pPr>
        <w:spacing w:line="360" w:lineRule="auto"/>
        <w:rPr>
          <w:color w:val="auto"/>
          <w:szCs w:val="21"/>
          <w:highlight w:val="none"/>
        </w:rPr>
      </w:pPr>
      <w:r>
        <w:rPr>
          <w:color w:val="auto"/>
          <w:szCs w:val="21"/>
          <w:highlight w:val="none"/>
        </w:rPr>
        <w:t xml:space="preserve">    （4）安全教育和培训制度及管理措施；</w:t>
      </w:r>
    </w:p>
    <w:p w14:paraId="552A4C9C">
      <w:pPr>
        <w:spacing w:line="360" w:lineRule="auto"/>
        <w:rPr>
          <w:color w:val="auto"/>
          <w:szCs w:val="21"/>
          <w:highlight w:val="none"/>
        </w:rPr>
      </w:pPr>
      <w:r>
        <w:rPr>
          <w:color w:val="auto"/>
          <w:szCs w:val="21"/>
          <w:highlight w:val="none"/>
        </w:rPr>
        <w:t xml:space="preserve">    （5）各项安全生产规章制度和操作规程；</w:t>
      </w:r>
    </w:p>
    <w:p w14:paraId="23A097AA">
      <w:pPr>
        <w:spacing w:line="360" w:lineRule="auto"/>
        <w:rPr>
          <w:color w:val="auto"/>
          <w:szCs w:val="21"/>
          <w:highlight w:val="none"/>
        </w:rPr>
      </w:pPr>
      <w:r>
        <w:rPr>
          <w:color w:val="auto"/>
          <w:szCs w:val="21"/>
          <w:highlight w:val="none"/>
        </w:rPr>
        <w:t xml:space="preserve">    （6）各项施工安全措施和防护措施；</w:t>
      </w:r>
    </w:p>
    <w:p w14:paraId="0FD3A8EF">
      <w:pPr>
        <w:spacing w:line="360" w:lineRule="auto"/>
        <w:rPr>
          <w:color w:val="auto"/>
          <w:szCs w:val="21"/>
          <w:highlight w:val="none"/>
        </w:rPr>
      </w:pPr>
      <w:r>
        <w:rPr>
          <w:color w:val="auto"/>
          <w:szCs w:val="21"/>
          <w:highlight w:val="none"/>
        </w:rPr>
        <w:t xml:space="preserve">    （7）危险品管理和使用制度；</w:t>
      </w:r>
    </w:p>
    <w:p w14:paraId="76145B9A">
      <w:pPr>
        <w:spacing w:line="360" w:lineRule="auto"/>
        <w:rPr>
          <w:color w:val="auto"/>
          <w:szCs w:val="21"/>
          <w:highlight w:val="none"/>
        </w:rPr>
      </w:pPr>
      <w:r>
        <w:rPr>
          <w:color w:val="auto"/>
          <w:szCs w:val="21"/>
          <w:highlight w:val="none"/>
        </w:rPr>
        <w:t xml:space="preserve">    （8）安全设施、设备、器材和劳动保护用品的配置；</w:t>
      </w:r>
    </w:p>
    <w:p w14:paraId="478800FC">
      <w:pPr>
        <w:spacing w:line="360" w:lineRule="auto"/>
        <w:rPr>
          <w:color w:val="auto"/>
          <w:szCs w:val="21"/>
          <w:highlight w:val="none"/>
        </w:rPr>
      </w:pPr>
      <w:r>
        <w:rPr>
          <w:color w:val="auto"/>
          <w:szCs w:val="21"/>
          <w:highlight w:val="none"/>
        </w:rPr>
        <w:t xml:space="preserve">    （9）其他：</w:t>
      </w:r>
    </w:p>
    <w:p w14:paraId="58F847D5">
      <w:pPr>
        <w:spacing w:line="360" w:lineRule="auto"/>
        <w:ind w:firstLine="420" w:firstLineChars="200"/>
        <w:rPr>
          <w:color w:val="auto"/>
          <w:szCs w:val="21"/>
          <w:highlight w:val="none"/>
        </w:rPr>
      </w:pPr>
      <w:r>
        <w:rPr>
          <w:color w:val="auto"/>
          <w:szCs w:val="21"/>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422BE71D">
      <w:pPr>
        <w:spacing w:line="360" w:lineRule="auto"/>
        <w:ind w:firstLine="420" w:firstLineChars="200"/>
        <w:rPr>
          <w:color w:val="auto"/>
          <w:szCs w:val="21"/>
          <w:highlight w:val="none"/>
        </w:rPr>
      </w:pPr>
      <w:r>
        <w:rPr>
          <w:color w:val="auto"/>
          <w:szCs w:val="21"/>
          <w:highlight w:val="none"/>
        </w:rPr>
        <w:t>6.6.3 施工安全措施计划应当在合同条款约定的期限内报送监理人。承包人应当严格执行经监理人批准的施工安全措施计划，并及时补充、修订和完善施工安全措施计划，确保安全生产。</w:t>
      </w:r>
    </w:p>
    <w:p w14:paraId="2718CA19">
      <w:pPr>
        <w:pStyle w:val="5"/>
        <w:rPr>
          <w:rFonts w:ascii="Times New Roman" w:hAnsi="Times New Roman" w:eastAsia="黑体"/>
          <w:b w:val="0"/>
          <w:bCs w:val="0"/>
          <w:color w:val="auto"/>
          <w:sz w:val="24"/>
          <w:highlight w:val="none"/>
        </w:rPr>
      </w:pPr>
      <w:bookmarkStart w:id="1083" w:name="_Toc300678534"/>
      <w:r>
        <w:rPr>
          <w:rFonts w:ascii="Times New Roman" w:hAnsi="Times New Roman" w:eastAsia="黑体"/>
          <w:b w:val="0"/>
          <w:bCs w:val="0"/>
          <w:color w:val="auto"/>
          <w:sz w:val="24"/>
          <w:highlight w:val="none"/>
        </w:rPr>
        <w:t>6.7 文明施工</w:t>
      </w:r>
      <w:bookmarkEnd w:id="1083"/>
    </w:p>
    <w:p w14:paraId="0E85F864">
      <w:pPr>
        <w:spacing w:line="360" w:lineRule="auto"/>
        <w:ind w:firstLine="420" w:firstLineChars="200"/>
        <w:rPr>
          <w:color w:val="auto"/>
          <w:szCs w:val="21"/>
          <w:highlight w:val="none"/>
        </w:rPr>
      </w:pPr>
      <w:r>
        <w:rPr>
          <w:color w:val="auto"/>
          <w:szCs w:val="21"/>
          <w:highlight w:val="none"/>
        </w:rPr>
        <w:t>6.7.1 承包人应遵守国家和工程所在地有关法规、规范、规程和标准的规定，履行文明施工义务，确保文明施工专项费用专款专用。</w:t>
      </w:r>
    </w:p>
    <w:p w14:paraId="495CE34E">
      <w:pPr>
        <w:spacing w:line="360" w:lineRule="auto"/>
        <w:ind w:firstLine="420" w:firstLineChars="200"/>
        <w:rPr>
          <w:color w:val="auto"/>
          <w:szCs w:val="21"/>
          <w:highlight w:val="none"/>
        </w:rPr>
      </w:pPr>
      <w:r>
        <w:rPr>
          <w:color w:val="auto"/>
          <w:szCs w:val="21"/>
          <w:highlight w:val="none"/>
        </w:rPr>
        <w:t>6.7.2 承包人应当规范现场施工秩序，实行标准化管理：</w:t>
      </w:r>
    </w:p>
    <w:p w14:paraId="647BA13F">
      <w:pPr>
        <w:spacing w:line="360" w:lineRule="auto"/>
        <w:ind w:firstLine="420" w:firstLineChars="200"/>
        <w:rPr>
          <w:color w:val="auto"/>
          <w:szCs w:val="21"/>
          <w:highlight w:val="none"/>
        </w:rPr>
      </w:pPr>
      <w:r>
        <w:rPr>
          <w:color w:val="auto"/>
          <w:szCs w:val="21"/>
          <w:highlight w:val="none"/>
        </w:rPr>
        <w:t>（1）承包人的施工场地（现场）必须干净</w:t>
      </w:r>
      <w:r>
        <w:rPr>
          <w:rFonts w:hint="eastAsia"/>
          <w:color w:val="auto"/>
          <w:szCs w:val="21"/>
          <w:highlight w:val="none"/>
        </w:rPr>
        <w:t>整洁</w:t>
      </w:r>
      <w:r>
        <w:rPr>
          <w:color w:val="auto"/>
          <w:szCs w:val="21"/>
          <w:highlight w:val="none"/>
        </w:rPr>
        <w:t>、做到无积水、无淤泥、无杂物，材料堆放整齐；</w:t>
      </w:r>
    </w:p>
    <w:p w14:paraId="3EFA5F2A">
      <w:pPr>
        <w:spacing w:line="360" w:lineRule="auto"/>
        <w:ind w:right="-174" w:rightChars="-83" w:firstLine="420" w:firstLineChars="200"/>
        <w:rPr>
          <w:color w:val="auto"/>
          <w:szCs w:val="21"/>
          <w:highlight w:val="none"/>
        </w:rPr>
      </w:pPr>
      <w:r>
        <w:rPr>
          <w:color w:val="auto"/>
          <w:szCs w:val="21"/>
          <w:highlight w:val="none"/>
        </w:rPr>
        <w:t>（2）施工场地（现场）应进行硬化处理，定期定时洒水，做好防治扬尘和大气污染工作；</w:t>
      </w:r>
    </w:p>
    <w:p w14:paraId="1D2F41FF">
      <w:pPr>
        <w:spacing w:line="360" w:lineRule="auto"/>
        <w:ind w:firstLine="420" w:firstLineChars="200"/>
        <w:rPr>
          <w:color w:val="auto"/>
          <w:szCs w:val="21"/>
          <w:highlight w:val="none"/>
        </w:rPr>
      </w:pPr>
      <w:r>
        <w:rPr>
          <w:color w:val="auto"/>
          <w:szCs w:val="21"/>
          <w:highlight w:val="none"/>
        </w:rPr>
        <w:t>（3）严格遵守“工完、料尽、场地净”的原则，不留垃圾、不留剩余施工材料和施工机具，各种设备运转正常；</w:t>
      </w:r>
    </w:p>
    <w:p w14:paraId="1BDA5DAF">
      <w:pPr>
        <w:spacing w:line="360" w:lineRule="auto"/>
        <w:ind w:firstLine="420" w:firstLineChars="200"/>
        <w:rPr>
          <w:color w:val="auto"/>
          <w:szCs w:val="21"/>
          <w:highlight w:val="none"/>
        </w:rPr>
      </w:pPr>
      <w:r>
        <w:rPr>
          <w:color w:val="auto"/>
          <w:szCs w:val="21"/>
          <w:highlight w:val="none"/>
        </w:rPr>
        <w:t>（4）承包人修建的施工临时设施应符合监理人批准的施工规划要求，并应满足本节规定的各项安全要求；</w:t>
      </w:r>
    </w:p>
    <w:p w14:paraId="0B951CE8">
      <w:pPr>
        <w:spacing w:line="360" w:lineRule="auto"/>
        <w:ind w:firstLine="420" w:firstLineChars="200"/>
        <w:rPr>
          <w:color w:val="auto"/>
          <w:szCs w:val="21"/>
          <w:highlight w:val="none"/>
        </w:rPr>
      </w:pPr>
      <w:r>
        <w:rPr>
          <w:color w:val="auto"/>
          <w:szCs w:val="21"/>
          <w:highlight w:val="none"/>
        </w:rPr>
        <w:t>（5）监理人可要求承包人在施工场地（现场）设置各级承包人的安全文明施工责任牌等文明施工警示牌；</w:t>
      </w:r>
    </w:p>
    <w:p w14:paraId="3B0E40A5">
      <w:pPr>
        <w:spacing w:line="360" w:lineRule="auto"/>
        <w:ind w:firstLine="420" w:firstLineChars="200"/>
        <w:rPr>
          <w:color w:val="auto"/>
          <w:szCs w:val="21"/>
          <w:highlight w:val="none"/>
        </w:rPr>
      </w:pPr>
      <w:r>
        <w:rPr>
          <w:color w:val="auto"/>
          <w:szCs w:val="21"/>
          <w:highlight w:val="none"/>
        </w:rPr>
        <w:t>（6）材料进入现场应按指定位置堆放整齐，不得影响现场施工和堵塞施工、消防通道。材料堆放场地应有专职的管理人员；</w:t>
      </w:r>
    </w:p>
    <w:p w14:paraId="64B5DF0D">
      <w:pPr>
        <w:spacing w:line="360" w:lineRule="auto"/>
        <w:ind w:firstLine="420" w:firstLineChars="200"/>
        <w:rPr>
          <w:color w:val="auto"/>
          <w:szCs w:val="21"/>
          <w:highlight w:val="none"/>
        </w:rPr>
      </w:pPr>
      <w:r>
        <w:rPr>
          <w:color w:val="auto"/>
          <w:szCs w:val="21"/>
          <w:highlight w:val="none"/>
        </w:rPr>
        <w:t>（7）施工和安装用的各种扣件、紧固件、绳索具、小型配件、镙钉等应在专设的仓库内装箱放置；</w:t>
      </w:r>
    </w:p>
    <w:p w14:paraId="7D97F9DF">
      <w:pPr>
        <w:spacing w:line="360" w:lineRule="auto"/>
        <w:ind w:firstLine="420" w:firstLineChars="200"/>
        <w:rPr>
          <w:color w:val="auto"/>
          <w:szCs w:val="21"/>
          <w:highlight w:val="none"/>
        </w:rPr>
      </w:pPr>
      <w:r>
        <w:rPr>
          <w:color w:val="auto"/>
          <w:szCs w:val="21"/>
          <w:highlight w:val="none"/>
        </w:rPr>
        <w:t>（8）现场风、水管及照明电线的布置应安全、合理、规范、有序，做到整齐美观。不得随意架设  和造成隐患或影响施工。</w:t>
      </w:r>
    </w:p>
    <w:p w14:paraId="3FB04E94">
      <w:pPr>
        <w:spacing w:line="360" w:lineRule="auto"/>
        <w:ind w:right="42" w:rightChars="20" w:firstLine="420" w:firstLineChars="200"/>
        <w:rPr>
          <w:color w:val="auto"/>
          <w:szCs w:val="21"/>
          <w:highlight w:val="none"/>
        </w:rPr>
      </w:pPr>
      <w:r>
        <w:rPr>
          <w:color w:val="auto"/>
          <w:szCs w:val="21"/>
          <w:highlight w:val="none"/>
        </w:rPr>
        <w:t>6.7.3 承包人应为其雇佣的施工工人建立并维护相应的生活宿舍、食堂、浴室、厕所和文化活动室等，其标准应满足政府有关机构的生活标准和卫生标准等的要求。</w:t>
      </w:r>
    </w:p>
    <w:p w14:paraId="75B16157">
      <w:pPr>
        <w:spacing w:line="360" w:lineRule="auto"/>
        <w:ind w:right="42" w:rightChars="20" w:firstLine="420" w:firstLineChars="200"/>
        <w:rPr>
          <w:color w:val="auto"/>
          <w:szCs w:val="21"/>
          <w:highlight w:val="none"/>
        </w:rPr>
      </w:pPr>
      <w:r>
        <w:rPr>
          <w:color w:val="auto"/>
          <w:szCs w:val="21"/>
          <w:highlight w:val="none"/>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49DBBC0C">
      <w:pPr>
        <w:spacing w:line="360" w:lineRule="auto"/>
        <w:ind w:right="42" w:rightChars="20" w:firstLine="420" w:firstLineChars="200"/>
        <w:rPr>
          <w:color w:val="auto"/>
          <w:szCs w:val="21"/>
          <w:highlight w:val="none"/>
        </w:rPr>
      </w:pPr>
      <w:r>
        <w:rPr>
          <w:color w:val="auto"/>
          <w:szCs w:val="21"/>
          <w:highlight w:val="none"/>
        </w:rPr>
        <w:t>6.7.5 在工程施工期间，承包人应始终避免现场出现不必要的障碍物，妥当存放并处置施工设备和多余的材料，及时从现场清除运走任何废料、垃圾或不再需要的临时工程和设施。</w:t>
      </w:r>
    </w:p>
    <w:p w14:paraId="4183B5C1">
      <w:pPr>
        <w:spacing w:line="360" w:lineRule="auto"/>
        <w:ind w:right="42" w:rightChars="20" w:firstLine="420" w:firstLineChars="200"/>
        <w:rPr>
          <w:color w:val="auto"/>
          <w:szCs w:val="21"/>
          <w:highlight w:val="none"/>
        </w:rPr>
      </w:pPr>
      <w:r>
        <w:rPr>
          <w:color w:val="auto"/>
          <w:szCs w:val="21"/>
          <w:highlight w:val="none"/>
        </w:rPr>
        <w:t>6.7.6 承包人应为现场的工人和其他所有工作人员提供符合卫生要求的厕所，厕所应贴有</w:t>
      </w:r>
      <w:r>
        <w:rPr>
          <w:rFonts w:hint="eastAsia"/>
          <w:color w:val="auto"/>
          <w:szCs w:val="21"/>
          <w:highlight w:val="none"/>
        </w:rPr>
        <w:t>瓷砖</w:t>
      </w:r>
      <w:r>
        <w:rPr>
          <w:color w:val="auto"/>
          <w:szCs w:val="21"/>
          <w:highlight w:val="none"/>
        </w:rPr>
        <w:t>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01D8E5CF">
      <w:pPr>
        <w:spacing w:line="360" w:lineRule="auto"/>
        <w:ind w:right="42" w:rightChars="20" w:firstLine="420" w:firstLineChars="200"/>
        <w:rPr>
          <w:color w:val="auto"/>
          <w:szCs w:val="21"/>
          <w:highlight w:val="none"/>
        </w:rPr>
      </w:pPr>
      <w:r>
        <w:rPr>
          <w:color w:val="auto"/>
          <w:szCs w:val="21"/>
          <w:highlight w:val="none"/>
        </w:rPr>
        <w:t>6.7.7 承包人应在现场设立固定的垃圾临时存放点并在各楼层或区域设立必要的垃圾箱；所有垃圾必须在当天清除出现场，并按有关行政管理部门的规定，运送到指定的垃圾消纳场。</w:t>
      </w:r>
    </w:p>
    <w:p w14:paraId="7647E5DD">
      <w:pPr>
        <w:spacing w:line="360" w:lineRule="auto"/>
        <w:ind w:right="42" w:rightChars="20" w:firstLine="420" w:firstLineChars="200"/>
        <w:rPr>
          <w:color w:val="auto"/>
          <w:szCs w:val="21"/>
          <w:highlight w:val="none"/>
        </w:rPr>
      </w:pPr>
      <w:r>
        <w:rPr>
          <w:color w:val="auto"/>
          <w:szCs w:val="21"/>
          <w:highlight w:val="none"/>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w:t>
      </w:r>
      <w:r>
        <w:rPr>
          <w:rFonts w:hint="eastAsia"/>
          <w:color w:val="auto"/>
          <w:szCs w:val="21"/>
          <w:highlight w:val="none"/>
        </w:rPr>
        <w:t>浇筑</w:t>
      </w:r>
      <w:r>
        <w:rPr>
          <w:color w:val="auto"/>
          <w:szCs w:val="21"/>
          <w:highlight w:val="none"/>
        </w:rPr>
        <w:t>、材料运输、材料装卸、现场清理等工作中应采取一切必要的措施防止影响公共交通。</w:t>
      </w:r>
    </w:p>
    <w:p w14:paraId="3EB85A1A">
      <w:pPr>
        <w:spacing w:line="360" w:lineRule="auto"/>
        <w:ind w:right="42" w:rightChars="20" w:firstLine="420" w:firstLineChars="200"/>
        <w:rPr>
          <w:color w:val="auto"/>
          <w:szCs w:val="21"/>
          <w:highlight w:val="none"/>
        </w:rPr>
      </w:pPr>
      <w:r>
        <w:rPr>
          <w:color w:val="auto"/>
          <w:szCs w:val="21"/>
          <w:highlight w:val="none"/>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6200431C">
      <w:pPr>
        <w:spacing w:line="360" w:lineRule="auto"/>
        <w:ind w:right="42" w:rightChars="20" w:firstLine="420" w:firstLineChars="200"/>
        <w:rPr>
          <w:color w:val="auto"/>
          <w:szCs w:val="21"/>
          <w:highlight w:val="none"/>
        </w:rPr>
      </w:pPr>
      <w:r>
        <w:rPr>
          <w:color w:val="auto"/>
          <w:szCs w:val="21"/>
          <w:highlight w:val="none"/>
        </w:rPr>
        <w:t>6.7.10 文明施工方面的其他要求如下：</w:t>
      </w:r>
      <w:r>
        <w:rPr>
          <w:color w:val="auto"/>
          <w:szCs w:val="21"/>
          <w:highlight w:val="none"/>
          <w:u w:val="single"/>
        </w:rPr>
        <w:t xml:space="preserve">     </w:t>
      </w:r>
      <w:r>
        <w:rPr>
          <w:color w:val="auto"/>
          <w:szCs w:val="21"/>
          <w:highlight w:val="none"/>
        </w:rPr>
        <w:t>。</w:t>
      </w:r>
    </w:p>
    <w:p w14:paraId="0390A3B9">
      <w:pPr>
        <w:spacing w:line="360" w:lineRule="auto"/>
        <w:ind w:right="42" w:rightChars="20" w:firstLine="480" w:firstLineChars="200"/>
        <w:rPr>
          <w:rFonts w:eastAsia="黑体"/>
          <w:bCs/>
          <w:color w:val="auto"/>
          <w:sz w:val="24"/>
          <w:highlight w:val="none"/>
        </w:rPr>
      </w:pPr>
      <w:bookmarkStart w:id="1084" w:name="_Toc300678535"/>
      <w:r>
        <w:rPr>
          <w:rFonts w:eastAsia="黑体"/>
          <w:bCs/>
          <w:color w:val="auto"/>
          <w:sz w:val="24"/>
          <w:highlight w:val="none"/>
        </w:rPr>
        <w:t>6.8 环境保护</w:t>
      </w:r>
      <w:bookmarkEnd w:id="1084"/>
    </w:p>
    <w:p w14:paraId="1B5A984B">
      <w:pPr>
        <w:spacing w:line="360" w:lineRule="auto"/>
        <w:ind w:right="42" w:rightChars="20" w:firstLine="420" w:firstLineChars="200"/>
        <w:rPr>
          <w:color w:val="auto"/>
          <w:szCs w:val="21"/>
          <w:highlight w:val="none"/>
        </w:rPr>
      </w:pPr>
      <w:r>
        <w:rPr>
          <w:color w:val="auto"/>
          <w:szCs w:val="21"/>
          <w:highlight w:val="none"/>
        </w:rPr>
        <w:t>6.8.1 在工程施工、完工及修补任何缺陷的过程中，承包人应当始终遵守国家和工程所在地有关环境保护、水土保护和污染防治的法律、法规、规章、规范、标准和规程等，按照合同条款的约定履行其环境与生态保护职责。</w:t>
      </w:r>
    </w:p>
    <w:p w14:paraId="46D8587B">
      <w:pPr>
        <w:spacing w:line="360" w:lineRule="auto"/>
        <w:ind w:right="42" w:rightChars="20" w:firstLine="420" w:firstLineChars="200"/>
        <w:rPr>
          <w:color w:val="auto"/>
          <w:szCs w:val="21"/>
          <w:highlight w:val="none"/>
        </w:rPr>
      </w:pPr>
      <w:r>
        <w:rPr>
          <w:color w:val="auto"/>
          <w:szCs w:val="21"/>
          <w:highlight w:val="none"/>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5DB23ABD">
      <w:pPr>
        <w:spacing w:line="360" w:lineRule="auto"/>
        <w:ind w:right="42" w:rightChars="20" w:firstLine="420" w:firstLineChars="200"/>
        <w:rPr>
          <w:color w:val="auto"/>
          <w:szCs w:val="21"/>
          <w:highlight w:val="none"/>
        </w:rPr>
      </w:pPr>
      <w:r>
        <w:rPr>
          <w:color w:val="auto"/>
          <w:szCs w:val="21"/>
          <w:highlight w:val="none"/>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548002FE">
      <w:pPr>
        <w:spacing w:line="360" w:lineRule="auto"/>
        <w:ind w:right="42" w:rightChars="20" w:firstLine="420" w:firstLineChars="200"/>
        <w:rPr>
          <w:color w:val="auto"/>
          <w:szCs w:val="21"/>
          <w:highlight w:val="none"/>
        </w:rPr>
      </w:pPr>
      <w:r>
        <w:rPr>
          <w:color w:val="auto"/>
          <w:szCs w:val="21"/>
          <w:highlight w:val="none"/>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5E90BFF1">
      <w:pPr>
        <w:spacing w:line="360" w:lineRule="auto"/>
        <w:ind w:right="42" w:rightChars="20" w:firstLine="420" w:firstLineChars="200"/>
        <w:rPr>
          <w:color w:val="auto"/>
          <w:szCs w:val="21"/>
          <w:highlight w:val="none"/>
        </w:rPr>
      </w:pPr>
      <w:r>
        <w:rPr>
          <w:color w:val="auto"/>
          <w:szCs w:val="21"/>
          <w:highlight w:val="none"/>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4FDA7436">
      <w:pPr>
        <w:spacing w:line="360" w:lineRule="auto"/>
        <w:ind w:right="42" w:rightChars="20" w:firstLine="420" w:firstLineChars="200"/>
        <w:rPr>
          <w:color w:val="auto"/>
          <w:szCs w:val="21"/>
          <w:highlight w:val="none"/>
        </w:rPr>
      </w:pPr>
      <w:r>
        <w:rPr>
          <w:color w:val="auto"/>
          <w:szCs w:val="21"/>
          <w:highlight w:val="none"/>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14:paraId="3340E67E">
      <w:pPr>
        <w:spacing w:line="360" w:lineRule="auto"/>
        <w:ind w:right="42" w:rightChars="20" w:firstLine="420" w:firstLineChars="200"/>
        <w:rPr>
          <w:color w:val="auto"/>
          <w:szCs w:val="21"/>
          <w:highlight w:val="none"/>
        </w:rPr>
      </w:pPr>
      <w:r>
        <w:rPr>
          <w:color w:val="auto"/>
          <w:szCs w:val="21"/>
          <w:highlight w:val="none"/>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09B57FE6">
      <w:pPr>
        <w:spacing w:line="360" w:lineRule="auto"/>
        <w:ind w:right="42" w:rightChars="20" w:firstLine="420" w:firstLineChars="200"/>
        <w:rPr>
          <w:color w:val="auto"/>
          <w:szCs w:val="21"/>
          <w:highlight w:val="none"/>
        </w:rPr>
      </w:pPr>
      <w:r>
        <w:rPr>
          <w:color w:val="auto"/>
          <w:szCs w:val="21"/>
          <w:highlight w:val="none"/>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14:paraId="33DE5BC0">
      <w:pPr>
        <w:spacing w:line="360" w:lineRule="auto"/>
        <w:ind w:right="42" w:rightChars="20" w:firstLine="420" w:firstLineChars="200"/>
        <w:rPr>
          <w:color w:val="auto"/>
          <w:szCs w:val="21"/>
          <w:highlight w:val="none"/>
        </w:rPr>
      </w:pPr>
      <w:r>
        <w:rPr>
          <w:color w:val="auto"/>
          <w:szCs w:val="21"/>
          <w:highlight w:val="none"/>
        </w:rPr>
        <w:t>6.8.9 环境保护方面的其他要求如下：</w:t>
      </w:r>
      <w:r>
        <w:rPr>
          <w:color w:val="auto"/>
          <w:szCs w:val="21"/>
          <w:highlight w:val="none"/>
          <w:u w:val="single"/>
        </w:rPr>
        <w:t xml:space="preserve">     </w:t>
      </w:r>
      <w:r>
        <w:rPr>
          <w:color w:val="auto"/>
          <w:szCs w:val="21"/>
          <w:highlight w:val="none"/>
        </w:rPr>
        <w:t>。</w:t>
      </w:r>
    </w:p>
    <w:p w14:paraId="08245762">
      <w:pPr>
        <w:pStyle w:val="5"/>
        <w:rPr>
          <w:rFonts w:ascii="Times New Roman" w:hAnsi="Times New Roman" w:eastAsia="黑体"/>
          <w:b w:val="0"/>
          <w:bCs w:val="0"/>
          <w:color w:val="auto"/>
          <w:sz w:val="24"/>
          <w:highlight w:val="none"/>
        </w:rPr>
      </w:pPr>
      <w:bookmarkStart w:id="1085" w:name="_Toc300678536"/>
      <w:r>
        <w:rPr>
          <w:rFonts w:ascii="Times New Roman" w:hAnsi="Times New Roman" w:eastAsia="黑体"/>
          <w:b w:val="0"/>
          <w:bCs w:val="0"/>
          <w:color w:val="auto"/>
          <w:sz w:val="24"/>
          <w:highlight w:val="none"/>
        </w:rPr>
        <w:t>6.9 施工环保措施计划</w:t>
      </w:r>
      <w:bookmarkEnd w:id="1085"/>
    </w:p>
    <w:p w14:paraId="5E1BE691">
      <w:pPr>
        <w:spacing w:line="360" w:lineRule="auto"/>
        <w:ind w:right="42" w:rightChars="20" w:firstLine="420" w:firstLineChars="200"/>
        <w:rPr>
          <w:color w:val="auto"/>
          <w:szCs w:val="21"/>
          <w:highlight w:val="none"/>
        </w:rPr>
      </w:pPr>
      <w:r>
        <w:rPr>
          <w:color w:val="auto"/>
          <w:szCs w:val="21"/>
          <w:highlight w:val="none"/>
        </w:rPr>
        <w:t>6.9.1 合同条款约定的施工环保措施计划是承包人阐明环保方针和拟采用的环保措施及方法等的文件，其内容应包括但不限于：</w:t>
      </w:r>
    </w:p>
    <w:p w14:paraId="1D0D577C">
      <w:pPr>
        <w:spacing w:line="360" w:lineRule="auto"/>
        <w:ind w:right="42" w:rightChars="20" w:firstLine="420" w:firstLineChars="200"/>
        <w:rPr>
          <w:color w:val="auto"/>
          <w:szCs w:val="21"/>
          <w:highlight w:val="none"/>
        </w:rPr>
      </w:pPr>
      <w:r>
        <w:rPr>
          <w:color w:val="auto"/>
          <w:szCs w:val="21"/>
          <w:highlight w:val="none"/>
        </w:rPr>
        <w:t>（1）承包人生活区（如果有）的生活用水和生活污水处理措施；</w:t>
      </w:r>
    </w:p>
    <w:p w14:paraId="7778D9CE">
      <w:pPr>
        <w:spacing w:line="360" w:lineRule="auto"/>
        <w:ind w:right="42" w:rightChars="20" w:firstLine="420" w:firstLineChars="200"/>
        <w:rPr>
          <w:color w:val="auto"/>
          <w:szCs w:val="21"/>
          <w:highlight w:val="none"/>
        </w:rPr>
      </w:pPr>
      <w:r>
        <w:rPr>
          <w:color w:val="auto"/>
          <w:szCs w:val="21"/>
          <w:highlight w:val="none"/>
        </w:rPr>
        <w:t>（2）施工生产废水处理措施；</w:t>
      </w:r>
    </w:p>
    <w:p w14:paraId="1A6EF425">
      <w:pPr>
        <w:spacing w:line="360" w:lineRule="auto"/>
        <w:ind w:right="42" w:rightChars="20" w:firstLine="420" w:firstLineChars="200"/>
        <w:rPr>
          <w:color w:val="auto"/>
          <w:szCs w:val="21"/>
          <w:highlight w:val="none"/>
        </w:rPr>
      </w:pPr>
      <w:r>
        <w:rPr>
          <w:color w:val="auto"/>
          <w:szCs w:val="21"/>
          <w:highlight w:val="none"/>
        </w:rPr>
        <w:t>（3）施工扬尘和废气的处理措施；</w:t>
      </w:r>
    </w:p>
    <w:p w14:paraId="5DDDEE6D">
      <w:pPr>
        <w:spacing w:line="360" w:lineRule="auto"/>
        <w:ind w:right="42" w:rightChars="20" w:firstLine="420" w:firstLineChars="200"/>
        <w:rPr>
          <w:color w:val="auto"/>
          <w:szCs w:val="21"/>
          <w:highlight w:val="none"/>
        </w:rPr>
      </w:pPr>
      <w:r>
        <w:rPr>
          <w:color w:val="auto"/>
          <w:szCs w:val="21"/>
          <w:highlight w:val="none"/>
        </w:rPr>
        <w:t>（4）施工噪声和光污染控制措施；</w:t>
      </w:r>
    </w:p>
    <w:p w14:paraId="1C8C6071">
      <w:pPr>
        <w:spacing w:line="360" w:lineRule="auto"/>
        <w:ind w:right="42" w:rightChars="20" w:firstLine="420" w:firstLineChars="200"/>
        <w:rPr>
          <w:color w:val="auto"/>
          <w:szCs w:val="21"/>
          <w:highlight w:val="none"/>
        </w:rPr>
      </w:pPr>
      <w:r>
        <w:rPr>
          <w:color w:val="auto"/>
          <w:szCs w:val="21"/>
          <w:highlight w:val="none"/>
        </w:rPr>
        <w:t>（5）节能减排措施；</w:t>
      </w:r>
    </w:p>
    <w:p w14:paraId="6B8F8697">
      <w:pPr>
        <w:spacing w:line="360" w:lineRule="auto"/>
        <w:ind w:right="42" w:rightChars="20" w:firstLine="420" w:firstLineChars="200"/>
        <w:rPr>
          <w:color w:val="auto"/>
          <w:szCs w:val="21"/>
          <w:highlight w:val="none"/>
        </w:rPr>
      </w:pPr>
      <w:r>
        <w:rPr>
          <w:color w:val="auto"/>
          <w:szCs w:val="21"/>
          <w:highlight w:val="none"/>
        </w:rPr>
        <w:t>（6）不可再生资源循环利用措施；</w:t>
      </w:r>
    </w:p>
    <w:p w14:paraId="2D3B9239">
      <w:pPr>
        <w:spacing w:line="360" w:lineRule="auto"/>
        <w:ind w:right="42" w:rightChars="20" w:firstLine="420" w:firstLineChars="200"/>
        <w:rPr>
          <w:color w:val="auto"/>
          <w:szCs w:val="21"/>
          <w:highlight w:val="none"/>
        </w:rPr>
      </w:pPr>
      <w:r>
        <w:rPr>
          <w:color w:val="auto"/>
          <w:szCs w:val="21"/>
          <w:highlight w:val="none"/>
        </w:rPr>
        <w:t>（7）固体废弃物处理措施；</w:t>
      </w:r>
    </w:p>
    <w:p w14:paraId="4E9126B7">
      <w:pPr>
        <w:spacing w:line="360" w:lineRule="auto"/>
        <w:ind w:right="42" w:rightChars="20" w:firstLine="420" w:firstLineChars="200"/>
        <w:rPr>
          <w:color w:val="auto"/>
          <w:szCs w:val="21"/>
          <w:highlight w:val="none"/>
        </w:rPr>
      </w:pPr>
      <w:r>
        <w:rPr>
          <w:color w:val="auto"/>
          <w:szCs w:val="21"/>
          <w:highlight w:val="none"/>
        </w:rPr>
        <w:t>（8）人群健康保护和卫生防疫措施；</w:t>
      </w:r>
    </w:p>
    <w:p w14:paraId="00959539">
      <w:pPr>
        <w:spacing w:line="360" w:lineRule="auto"/>
        <w:ind w:right="42" w:rightChars="20" w:firstLine="420" w:firstLineChars="200"/>
        <w:rPr>
          <w:color w:val="auto"/>
          <w:szCs w:val="21"/>
          <w:highlight w:val="none"/>
        </w:rPr>
      </w:pPr>
      <w:r>
        <w:rPr>
          <w:color w:val="auto"/>
          <w:szCs w:val="21"/>
          <w:highlight w:val="none"/>
        </w:rPr>
        <w:t>（9）防止误用有害材料的保证措施；</w:t>
      </w:r>
    </w:p>
    <w:p w14:paraId="52D56E44">
      <w:pPr>
        <w:spacing w:line="360" w:lineRule="auto"/>
        <w:ind w:right="42" w:rightChars="20" w:firstLine="420" w:firstLineChars="200"/>
        <w:rPr>
          <w:color w:val="auto"/>
          <w:szCs w:val="21"/>
          <w:highlight w:val="none"/>
        </w:rPr>
      </w:pPr>
      <w:r>
        <w:rPr>
          <w:color w:val="auto"/>
          <w:szCs w:val="21"/>
          <w:highlight w:val="none"/>
        </w:rPr>
        <w:t>（10）施工边坡工程的水土流失保护措施；</w:t>
      </w:r>
    </w:p>
    <w:p w14:paraId="46F6A6F2">
      <w:pPr>
        <w:spacing w:line="360" w:lineRule="auto"/>
        <w:ind w:right="42" w:rightChars="20" w:firstLine="420" w:firstLineChars="200"/>
        <w:rPr>
          <w:color w:val="auto"/>
          <w:szCs w:val="21"/>
          <w:highlight w:val="none"/>
        </w:rPr>
      </w:pPr>
      <w:r>
        <w:rPr>
          <w:color w:val="auto"/>
          <w:szCs w:val="21"/>
          <w:highlight w:val="none"/>
        </w:rPr>
        <w:t>（11）道路污染防治措施；</w:t>
      </w:r>
    </w:p>
    <w:p w14:paraId="673F281F">
      <w:pPr>
        <w:spacing w:line="360" w:lineRule="auto"/>
        <w:ind w:right="42" w:rightChars="20" w:firstLine="420" w:firstLineChars="200"/>
        <w:rPr>
          <w:color w:val="auto"/>
          <w:szCs w:val="21"/>
          <w:highlight w:val="none"/>
        </w:rPr>
      </w:pPr>
      <w:r>
        <w:rPr>
          <w:color w:val="auto"/>
          <w:szCs w:val="21"/>
          <w:highlight w:val="none"/>
        </w:rPr>
        <w:t>（12）完工后场地清理及其植被（如果有）恢复的规划和措施；</w:t>
      </w:r>
    </w:p>
    <w:p w14:paraId="2BC38873">
      <w:pPr>
        <w:spacing w:line="360" w:lineRule="auto"/>
        <w:ind w:right="42" w:rightChars="20" w:firstLine="420" w:firstLineChars="200"/>
        <w:rPr>
          <w:color w:val="auto"/>
          <w:szCs w:val="21"/>
          <w:highlight w:val="none"/>
        </w:rPr>
      </w:pPr>
      <w:r>
        <w:rPr>
          <w:color w:val="auto"/>
          <w:szCs w:val="21"/>
          <w:highlight w:val="none"/>
        </w:rPr>
        <w:t>（13）其他：</w:t>
      </w:r>
      <w:r>
        <w:rPr>
          <w:color w:val="auto"/>
          <w:szCs w:val="21"/>
          <w:highlight w:val="none"/>
          <w:u w:val="single"/>
        </w:rPr>
        <w:t xml:space="preserve">                </w:t>
      </w:r>
      <w:r>
        <w:rPr>
          <w:color w:val="auto"/>
          <w:szCs w:val="21"/>
          <w:highlight w:val="none"/>
        </w:rPr>
        <w:t>。</w:t>
      </w:r>
    </w:p>
    <w:p w14:paraId="280B356D">
      <w:pPr>
        <w:spacing w:line="360" w:lineRule="auto"/>
        <w:ind w:right="42" w:rightChars="20" w:firstLine="420" w:firstLineChars="200"/>
        <w:rPr>
          <w:color w:val="auto"/>
          <w:szCs w:val="21"/>
          <w:highlight w:val="none"/>
        </w:rPr>
      </w:pPr>
      <w:r>
        <w:rPr>
          <w:color w:val="auto"/>
          <w:szCs w:val="21"/>
          <w:highlight w:val="none"/>
        </w:rPr>
        <w:t>6.9.2 施工环保措施计划应当在合同条款约定的期限内报送监理人。承包人应当严格执行经监理人批准的施工环保措施计划，并及时补充、修订和完善施工环保措施计划。</w:t>
      </w:r>
    </w:p>
    <w:p w14:paraId="65B37F15">
      <w:pPr>
        <w:pStyle w:val="4"/>
        <w:keepNext/>
        <w:keepLines/>
        <w:widowControl w:val="0"/>
        <w:jc w:val="left"/>
        <w:rPr>
          <w:rFonts w:eastAsia="黑体"/>
          <w:b w:val="0"/>
          <w:bCs w:val="0"/>
          <w:color w:val="auto"/>
          <w:sz w:val="28"/>
          <w:szCs w:val="28"/>
          <w:highlight w:val="none"/>
        </w:rPr>
      </w:pPr>
      <w:bookmarkStart w:id="1086" w:name="_Toc300678537"/>
      <w:bookmarkStart w:id="1087" w:name="_Toc9178558"/>
      <w:bookmarkStart w:id="1088" w:name="_Toc211498738"/>
      <w:bookmarkStart w:id="1089" w:name="_Toc79998861"/>
      <w:bookmarkStart w:id="1090" w:name="_Toc79998417"/>
      <w:bookmarkStart w:id="1091" w:name="_Toc80006131"/>
      <w:bookmarkStart w:id="1092" w:name="_Toc80006241"/>
      <w:r>
        <w:rPr>
          <w:rFonts w:eastAsia="黑体"/>
          <w:b w:val="0"/>
          <w:bCs w:val="0"/>
          <w:color w:val="auto"/>
          <w:sz w:val="28"/>
          <w:szCs w:val="28"/>
          <w:highlight w:val="none"/>
        </w:rPr>
        <w:t>7.治安保卫</w:t>
      </w:r>
      <w:bookmarkEnd w:id="1086"/>
      <w:bookmarkEnd w:id="1087"/>
      <w:bookmarkEnd w:id="1088"/>
      <w:bookmarkEnd w:id="1089"/>
      <w:bookmarkEnd w:id="1090"/>
      <w:bookmarkEnd w:id="1091"/>
      <w:bookmarkEnd w:id="1092"/>
    </w:p>
    <w:p w14:paraId="27D206E2">
      <w:pPr>
        <w:spacing w:line="360" w:lineRule="auto"/>
        <w:ind w:firstLine="420" w:firstLineChars="200"/>
        <w:rPr>
          <w:color w:val="auto"/>
          <w:szCs w:val="21"/>
          <w:highlight w:val="none"/>
        </w:rPr>
      </w:pPr>
      <w:r>
        <w:rPr>
          <w:color w:val="auto"/>
          <w:szCs w:val="21"/>
          <w:highlight w:val="none"/>
        </w:rPr>
        <w:t xml:space="preserve">7.1 </w:t>
      </w:r>
      <w:r>
        <w:rPr>
          <w:color w:val="auto"/>
          <w:spacing w:val="6"/>
          <w:szCs w:val="21"/>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2C9537F4">
      <w:pPr>
        <w:spacing w:line="360" w:lineRule="auto"/>
        <w:ind w:firstLine="420" w:firstLineChars="200"/>
        <w:rPr>
          <w:color w:val="auto"/>
          <w:szCs w:val="21"/>
          <w:highlight w:val="none"/>
        </w:rPr>
      </w:pPr>
      <w:r>
        <w:rPr>
          <w:color w:val="auto"/>
          <w:szCs w:val="21"/>
          <w:highlight w:val="none"/>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2019FDA9">
      <w:pPr>
        <w:spacing w:line="360" w:lineRule="auto"/>
        <w:ind w:firstLine="420" w:firstLineChars="200"/>
        <w:rPr>
          <w:color w:val="auto"/>
          <w:szCs w:val="21"/>
          <w:highlight w:val="none"/>
        </w:rPr>
      </w:pPr>
      <w:r>
        <w:rPr>
          <w:color w:val="auto"/>
          <w:szCs w:val="21"/>
          <w:highlight w:val="none"/>
        </w:rPr>
        <w:t>7.3 承包人应制定并实施严格的施工场地（现场）出入制度并报监理人审批；车辆的出入须有出入审批制度，并有指定的专人负责管理；人员进出现场应有出入证，出入证须以经过监理人批准的格式印制。</w:t>
      </w:r>
    </w:p>
    <w:p w14:paraId="73BFF586">
      <w:pPr>
        <w:spacing w:line="360" w:lineRule="auto"/>
        <w:ind w:firstLine="420" w:firstLineChars="200"/>
        <w:rPr>
          <w:color w:val="auto"/>
          <w:szCs w:val="21"/>
          <w:highlight w:val="none"/>
        </w:rPr>
      </w:pPr>
      <w:r>
        <w:rPr>
          <w:color w:val="auto"/>
          <w:szCs w:val="21"/>
          <w:highlight w:val="none"/>
        </w:rPr>
        <w:t>7.4 承包人应确保杜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3707E56E">
      <w:pPr>
        <w:spacing w:line="360" w:lineRule="auto"/>
        <w:ind w:firstLine="420" w:firstLineChars="200"/>
        <w:rPr>
          <w:color w:val="auto"/>
          <w:szCs w:val="21"/>
          <w:highlight w:val="none"/>
        </w:rPr>
      </w:pPr>
      <w:r>
        <w:rPr>
          <w:color w:val="auto"/>
          <w:szCs w:val="21"/>
          <w:highlight w:val="none"/>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7F5C022D">
      <w:pPr>
        <w:spacing w:line="360" w:lineRule="auto"/>
        <w:ind w:firstLine="420" w:firstLineChars="200"/>
        <w:rPr>
          <w:color w:val="auto"/>
          <w:szCs w:val="21"/>
          <w:highlight w:val="none"/>
        </w:rPr>
      </w:pPr>
      <w:r>
        <w:rPr>
          <w:color w:val="auto"/>
          <w:szCs w:val="21"/>
          <w:highlight w:val="none"/>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789BA4B3">
      <w:pPr>
        <w:spacing w:line="360" w:lineRule="auto"/>
        <w:ind w:firstLine="420" w:firstLineChars="200"/>
        <w:rPr>
          <w:color w:val="auto"/>
          <w:szCs w:val="21"/>
          <w:highlight w:val="none"/>
        </w:rPr>
      </w:pPr>
      <w:r>
        <w:rPr>
          <w:color w:val="auto"/>
          <w:szCs w:val="21"/>
          <w:highlight w:val="none"/>
        </w:rPr>
        <w:t xml:space="preserve"> 7.7 施工场地（现场）治安管理计划的要求：</w:t>
      </w:r>
      <w:r>
        <w:rPr>
          <w:color w:val="auto"/>
          <w:szCs w:val="21"/>
          <w:highlight w:val="none"/>
          <w:u w:val="single"/>
        </w:rPr>
        <w:t xml:space="preserve">     </w:t>
      </w:r>
      <w:r>
        <w:rPr>
          <w:color w:val="auto"/>
          <w:szCs w:val="21"/>
          <w:highlight w:val="none"/>
        </w:rPr>
        <w:t>。</w:t>
      </w:r>
    </w:p>
    <w:p w14:paraId="318EDDE8">
      <w:pPr>
        <w:spacing w:line="360" w:lineRule="auto"/>
        <w:ind w:firstLine="424" w:firstLineChars="202"/>
        <w:rPr>
          <w:color w:val="auto"/>
          <w:szCs w:val="21"/>
          <w:highlight w:val="none"/>
        </w:rPr>
      </w:pPr>
      <w:r>
        <w:rPr>
          <w:color w:val="auto"/>
          <w:szCs w:val="21"/>
          <w:highlight w:val="none"/>
        </w:rPr>
        <w:t>7.8 突发治安事件紧急预案的要求：</w:t>
      </w:r>
      <w:r>
        <w:rPr>
          <w:color w:val="auto"/>
          <w:szCs w:val="21"/>
          <w:highlight w:val="none"/>
          <w:u w:val="single"/>
        </w:rPr>
        <w:t xml:space="preserve">     </w:t>
      </w:r>
      <w:r>
        <w:rPr>
          <w:color w:val="auto"/>
          <w:szCs w:val="21"/>
          <w:highlight w:val="none"/>
        </w:rPr>
        <w:t>。</w:t>
      </w:r>
    </w:p>
    <w:p w14:paraId="36F7FAA1">
      <w:pPr>
        <w:spacing w:line="360" w:lineRule="auto"/>
        <w:ind w:firstLine="424" w:firstLineChars="202"/>
        <w:rPr>
          <w:color w:val="auto"/>
          <w:szCs w:val="21"/>
          <w:highlight w:val="none"/>
        </w:rPr>
      </w:pPr>
      <w:r>
        <w:rPr>
          <w:color w:val="auto"/>
          <w:szCs w:val="21"/>
          <w:highlight w:val="none"/>
        </w:rPr>
        <w:t>7.9 治安保卫方面的其他要求如下：</w:t>
      </w:r>
      <w:r>
        <w:rPr>
          <w:color w:val="auto"/>
          <w:szCs w:val="21"/>
          <w:highlight w:val="none"/>
          <w:u w:val="single"/>
        </w:rPr>
        <w:t xml:space="preserve">     </w:t>
      </w:r>
      <w:r>
        <w:rPr>
          <w:color w:val="auto"/>
          <w:szCs w:val="21"/>
          <w:highlight w:val="none"/>
        </w:rPr>
        <w:t>。</w:t>
      </w:r>
    </w:p>
    <w:p w14:paraId="04F58125">
      <w:pPr>
        <w:pStyle w:val="4"/>
        <w:keepNext/>
        <w:keepLines/>
        <w:widowControl w:val="0"/>
        <w:jc w:val="left"/>
        <w:rPr>
          <w:rFonts w:eastAsia="黑体"/>
          <w:b w:val="0"/>
          <w:bCs w:val="0"/>
          <w:color w:val="auto"/>
          <w:sz w:val="28"/>
          <w:szCs w:val="28"/>
          <w:highlight w:val="none"/>
        </w:rPr>
      </w:pPr>
      <w:bookmarkStart w:id="1093" w:name="_Toc9178559"/>
      <w:bookmarkStart w:id="1094" w:name="_Toc79998418"/>
      <w:bookmarkStart w:id="1095" w:name="_Toc79998862"/>
      <w:bookmarkStart w:id="1096" w:name="_Toc80006242"/>
      <w:bookmarkStart w:id="1097" w:name="_Toc300678538"/>
      <w:bookmarkStart w:id="1098" w:name="_Toc80006132"/>
      <w:bookmarkStart w:id="1099" w:name="_Toc211498739"/>
      <w:r>
        <w:rPr>
          <w:rFonts w:eastAsia="黑体"/>
          <w:b w:val="0"/>
          <w:bCs w:val="0"/>
          <w:color w:val="auto"/>
          <w:sz w:val="28"/>
          <w:szCs w:val="28"/>
          <w:highlight w:val="none"/>
        </w:rPr>
        <w:t>8.地上、地下设施和周边建筑物的临时保护</w:t>
      </w:r>
      <w:bookmarkEnd w:id="1093"/>
      <w:bookmarkEnd w:id="1094"/>
      <w:bookmarkEnd w:id="1095"/>
      <w:bookmarkEnd w:id="1096"/>
      <w:bookmarkEnd w:id="1097"/>
      <w:bookmarkEnd w:id="1098"/>
      <w:bookmarkEnd w:id="1099"/>
    </w:p>
    <w:p w14:paraId="4E215CEF">
      <w:pPr>
        <w:spacing w:line="360" w:lineRule="auto"/>
        <w:ind w:firstLine="420" w:firstLineChars="200"/>
        <w:rPr>
          <w:color w:val="auto"/>
          <w:szCs w:val="21"/>
          <w:highlight w:val="none"/>
        </w:rPr>
      </w:pPr>
      <w:r>
        <w:rPr>
          <w:color w:val="auto"/>
          <w:szCs w:val="21"/>
          <w:highlight w:val="none"/>
        </w:rPr>
        <w:t>8.1 承包人应为施工场地及其周边现有的地上、地下设施和建筑物提供足够的临时保护设施，确保施工过程中这些设施和建筑物不会受到干扰和破坏。</w:t>
      </w:r>
    </w:p>
    <w:p w14:paraId="555368FA">
      <w:pPr>
        <w:spacing w:line="360" w:lineRule="auto"/>
        <w:ind w:firstLine="420" w:firstLineChars="200"/>
        <w:rPr>
          <w:color w:val="auto"/>
          <w:szCs w:val="21"/>
          <w:highlight w:val="none"/>
        </w:rPr>
      </w:pPr>
      <w:r>
        <w:rPr>
          <w:color w:val="auto"/>
          <w:szCs w:val="21"/>
          <w:highlight w:val="none"/>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513E979E">
      <w:pPr>
        <w:spacing w:line="360" w:lineRule="auto"/>
        <w:ind w:firstLine="420" w:firstLineChars="200"/>
        <w:rPr>
          <w:color w:val="auto"/>
          <w:szCs w:val="21"/>
          <w:highlight w:val="none"/>
        </w:rPr>
      </w:pPr>
      <w:r>
        <w:rPr>
          <w:color w:val="auto"/>
          <w:szCs w:val="21"/>
          <w:highlight w:val="none"/>
        </w:rPr>
        <w:t>8.3 发包人特别提醒承包人注意以下地上、地下设施和周边建筑物的保护：</w:t>
      </w:r>
      <w:r>
        <w:rPr>
          <w:color w:val="auto"/>
          <w:szCs w:val="21"/>
          <w:highlight w:val="none"/>
          <w:u w:val="single"/>
        </w:rPr>
        <w:t xml:space="preserve">     </w:t>
      </w:r>
      <w:r>
        <w:rPr>
          <w:color w:val="auto"/>
          <w:szCs w:val="21"/>
          <w:highlight w:val="none"/>
        </w:rPr>
        <w:t>。</w:t>
      </w:r>
    </w:p>
    <w:p w14:paraId="18A91FD0">
      <w:pPr>
        <w:spacing w:line="360" w:lineRule="auto"/>
        <w:ind w:firstLine="420" w:firstLineChars="200"/>
        <w:rPr>
          <w:color w:val="auto"/>
          <w:szCs w:val="21"/>
          <w:highlight w:val="none"/>
        </w:rPr>
      </w:pPr>
      <w:r>
        <w:rPr>
          <w:color w:val="auto"/>
          <w:szCs w:val="21"/>
          <w:highlight w:val="none"/>
        </w:rPr>
        <w:t>8.4 地上、地下设施和周边建筑物的临时保护的其他要求如下：</w:t>
      </w:r>
      <w:r>
        <w:rPr>
          <w:color w:val="auto"/>
          <w:szCs w:val="21"/>
          <w:highlight w:val="none"/>
          <w:u w:val="single"/>
        </w:rPr>
        <w:t xml:space="preserve">     </w:t>
      </w:r>
      <w:r>
        <w:rPr>
          <w:color w:val="auto"/>
          <w:szCs w:val="21"/>
          <w:highlight w:val="none"/>
        </w:rPr>
        <w:t>。</w:t>
      </w:r>
    </w:p>
    <w:p w14:paraId="0A4DCC20">
      <w:pPr>
        <w:pStyle w:val="4"/>
        <w:keepNext/>
        <w:keepLines/>
        <w:widowControl w:val="0"/>
        <w:jc w:val="left"/>
        <w:rPr>
          <w:rFonts w:eastAsia="黑体"/>
          <w:b w:val="0"/>
          <w:bCs w:val="0"/>
          <w:color w:val="auto"/>
          <w:sz w:val="28"/>
          <w:szCs w:val="28"/>
          <w:highlight w:val="none"/>
        </w:rPr>
      </w:pPr>
      <w:bookmarkStart w:id="1100" w:name="_Toc79998863"/>
      <w:bookmarkStart w:id="1101" w:name="_Toc300678539"/>
      <w:bookmarkStart w:id="1102" w:name="_Toc80006133"/>
      <w:bookmarkStart w:id="1103" w:name="_Toc79998419"/>
      <w:bookmarkStart w:id="1104" w:name="_Toc9178560"/>
      <w:bookmarkStart w:id="1105" w:name="_Toc211498740"/>
      <w:bookmarkStart w:id="1106" w:name="_Toc80006243"/>
      <w:r>
        <w:rPr>
          <w:rFonts w:eastAsia="黑体"/>
          <w:b w:val="0"/>
          <w:bCs w:val="0"/>
          <w:color w:val="auto"/>
          <w:sz w:val="28"/>
          <w:szCs w:val="28"/>
          <w:highlight w:val="none"/>
        </w:rPr>
        <w:t>9.样品和材料代换</w:t>
      </w:r>
      <w:bookmarkEnd w:id="1100"/>
      <w:bookmarkEnd w:id="1101"/>
      <w:bookmarkEnd w:id="1102"/>
      <w:bookmarkEnd w:id="1103"/>
      <w:bookmarkEnd w:id="1104"/>
      <w:bookmarkEnd w:id="1105"/>
      <w:bookmarkEnd w:id="1106"/>
    </w:p>
    <w:p w14:paraId="0426C015">
      <w:pPr>
        <w:pStyle w:val="5"/>
        <w:rPr>
          <w:rFonts w:ascii="Times New Roman" w:hAnsi="Times New Roman" w:eastAsia="黑体"/>
          <w:b w:val="0"/>
          <w:bCs w:val="0"/>
          <w:color w:val="auto"/>
          <w:sz w:val="24"/>
          <w:highlight w:val="none"/>
        </w:rPr>
      </w:pPr>
      <w:bookmarkStart w:id="1107" w:name="_Toc300678540"/>
      <w:r>
        <w:rPr>
          <w:rFonts w:ascii="Times New Roman" w:hAnsi="Times New Roman" w:eastAsia="黑体"/>
          <w:b w:val="0"/>
          <w:bCs w:val="0"/>
          <w:color w:val="auto"/>
          <w:sz w:val="24"/>
          <w:highlight w:val="none"/>
        </w:rPr>
        <w:t>9.1 样品</w:t>
      </w:r>
      <w:bookmarkEnd w:id="1107"/>
    </w:p>
    <w:p w14:paraId="34F87316">
      <w:pPr>
        <w:spacing w:line="360" w:lineRule="auto"/>
        <w:ind w:firstLine="420" w:firstLineChars="200"/>
        <w:rPr>
          <w:color w:val="auto"/>
          <w:szCs w:val="21"/>
          <w:highlight w:val="none"/>
        </w:rPr>
      </w:pPr>
      <w:r>
        <w:rPr>
          <w:color w:val="auto"/>
          <w:szCs w:val="21"/>
          <w:highlight w:val="none"/>
        </w:rPr>
        <w:t>9.1.1 本工程需要承包人提供样品的材料和工程设备如下：</w:t>
      </w:r>
      <w:r>
        <w:rPr>
          <w:color w:val="auto"/>
          <w:szCs w:val="21"/>
          <w:highlight w:val="none"/>
          <w:u w:val="single"/>
        </w:rPr>
        <w:t xml:space="preserve">     </w:t>
      </w:r>
      <w:r>
        <w:rPr>
          <w:color w:val="auto"/>
          <w:szCs w:val="21"/>
          <w:highlight w:val="none"/>
        </w:rPr>
        <w:t>。</w:t>
      </w:r>
    </w:p>
    <w:p w14:paraId="51E19953">
      <w:pPr>
        <w:spacing w:line="360" w:lineRule="auto"/>
        <w:ind w:firstLine="420" w:firstLineChars="200"/>
        <w:rPr>
          <w:color w:val="auto"/>
          <w:szCs w:val="21"/>
          <w:highlight w:val="none"/>
        </w:rPr>
      </w:pPr>
      <w:r>
        <w:rPr>
          <w:color w:val="auto"/>
          <w:szCs w:val="21"/>
          <w:highlight w:val="none"/>
        </w:rPr>
        <w:t>9.1.2 对于本款第9.1.1项约定的材料和工程设备，承包人应按照合同条款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75507CD7">
      <w:pPr>
        <w:spacing w:line="360" w:lineRule="auto"/>
        <w:ind w:firstLine="420" w:firstLineChars="200"/>
        <w:rPr>
          <w:color w:val="auto"/>
          <w:szCs w:val="21"/>
          <w:highlight w:val="none"/>
        </w:rPr>
      </w:pPr>
      <w:r>
        <w:rPr>
          <w:color w:val="auto"/>
          <w:szCs w:val="21"/>
          <w:highlight w:val="none"/>
        </w:rPr>
        <w:t>9.1.3 合同条款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28265A2C">
      <w:pPr>
        <w:spacing w:line="360" w:lineRule="auto"/>
        <w:ind w:firstLine="420" w:firstLineChars="200"/>
        <w:rPr>
          <w:color w:val="auto"/>
          <w:szCs w:val="21"/>
          <w:highlight w:val="none"/>
        </w:rPr>
      </w:pPr>
      <w:r>
        <w:rPr>
          <w:color w:val="auto"/>
          <w:szCs w:val="21"/>
          <w:highlight w:val="none"/>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3E81C439">
      <w:pPr>
        <w:spacing w:line="360" w:lineRule="auto"/>
        <w:ind w:firstLine="420" w:firstLineChars="200"/>
        <w:rPr>
          <w:color w:val="auto"/>
          <w:szCs w:val="21"/>
          <w:highlight w:val="none"/>
        </w:rPr>
      </w:pPr>
      <w:r>
        <w:rPr>
          <w:color w:val="auto"/>
          <w:szCs w:val="21"/>
          <w:highlight w:val="none"/>
        </w:rPr>
        <w:t>9.1.5 得到批准后的样品由监理人负责存放。但承包人应为保存样品提供适当和固定的场所并保持适当和良好的环境条件。</w:t>
      </w:r>
    </w:p>
    <w:p w14:paraId="580F6ABF">
      <w:pPr>
        <w:spacing w:line="360" w:lineRule="auto"/>
        <w:ind w:firstLine="420" w:firstLineChars="200"/>
        <w:rPr>
          <w:color w:val="auto"/>
          <w:szCs w:val="21"/>
          <w:highlight w:val="none"/>
        </w:rPr>
      </w:pPr>
      <w:r>
        <w:rPr>
          <w:color w:val="auto"/>
          <w:szCs w:val="21"/>
          <w:highlight w:val="none"/>
        </w:rPr>
        <w:t>9.1.6 提供样品和提供存放样品场所的费用由承包人承担。</w:t>
      </w:r>
    </w:p>
    <w:p w14:paraId="2C7EC588">
      <w:pPr>
        <w:pStyle w:val="5"/>
        <w:rPr>
          <w:rFonts w:ascii="Times New Roman" w:hAnsi="Times New Roman" w:eastAsia="黑体"/>
          <w:b w:val="0"/>
          <w:bCs w:val="0"/>
          <w:color w:val="auto"/>
          <w:sz w:val="24"/>
          <w:highlight w:val="none"/>
        </w:rPr>
      </w:pPr>
      <w:bookmarkStart w:id="1108" w:name="_Toc300678541"/>
      <w:r>
        <w:rPr>
          <w:rFonts w:ascii="Times New Roman" w:hAnsi="Times New Roman" w:eastAsia="黑体"/>
          <w:b w:val="0"/>
          <w:bCs w:val="0"/>
          <w:color w:val="auto"/>
          <w:sz w:val="24"/>
          <w:highlight w:val="none"/>
        </w:rPr>
        <w:t>9.2 材料代换</w:t>
      </w:r>
      <w:bookmarkEnd w:id="1108"/>
    </w:p>
    <w:p w14:paraId="350DDB55">
      <w:pPr>
        <w:spacing w:line="360" w:lineRule="auto"/>
        <w:ind w:firstLine="420" w:firstLineChars="200"/>
        <w:rPr>
          <w:color w:val="auto"/>
          <w:szCs w:val="21"/>
          <w:highlight w:val="none"/>
        </w:rPr>
      </w:pPr>
      <w:r>
        <w:rPr>
          <w:color w:val="auto"/>
          <w:szCs w:val="21"/>
          <w:highlight w:val="none"/>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793EDE40">
      <w:pPr>
        <w:spacing w:line="360" w:lineRule="auto"/>
        <w:ind w:firstLine="420" w:firstLineChars="200"/>
        <w:rPr>
          <w:color w:val="auto"/>
          <w:szCs w:val="21"/>
          <w:highlight w:val="none"/>
        </w:rPr>
      </w:pPr>
      <w:r>
        <w:rPr>
          <w:color w:val="auto"/>
          <w:szCs w:val="21"/>
          <w:highlight w:val="none"/>
        </w:rPr>
        <w:t>9.2.2 如果使用替代品，承包人应至少在被替代品按批准的进度计划用于永久工程前56天以书面形式通知监理人并随此通知提交下列文件：</w:t>
      </w:r>
    </w:p>
    <w:p w14:paraId="12267DA2">
      <w:pPr>
        <w:spacing w:line="360" w:lineRule="auto"/>
        <w:ind w:firstLine="420" w:firstLineChars="200"/>
        <w:rPr>
          <w:color w:val="auto"/>
          <w:szCs w:val="21"/>
          <w:highlight w:val="none"/>
        </w:rPr>
      </w:pPr>
      <w:r>
        <w:rPr>
          <w:color w:val="auto"/>
          <w:szCs w:val="21"/>
          <w:highlight w:val="none"/>
        </w:rPr>
        <w:t>（1）拟被替代的合同约定的材料和工程设备的名称、数量、规格、型号、品牌、性能、价格及其他任何详细资料；</w:t>
      </w:r>
    </w:p>
    <w:p w14:paraId="22F2F49A">
      <w:pPr>
        <w:spacing w:line="360" w:lineRule="auto"/>
        <w:ind w:firstLine="420" w:firstLineChars="200"/>
        <w:rPr>
          <w:color w:val="auto"/>
          <w:szCs w:val="21"/>
          <w:highlight w:val="none"/>
        </w:rPr>
      </w:pPr>
      <w:r>
        <w:rPr>
          <w:color w:val="auto"/>
          <w:szCs w:val="21"/>
          <w:highlight w:val="none"/>
        </w:rPr>
        <w:t>（2）拟采用的替代品的名称、数量、规格、型号、品牌、性能、价格及其他任何必要的详细资料；</w:t>
      </w:r>
    </w:p>
    <w:p w14:paraId="1FB86FCD">
      <w:pPr>
        <w:spacing w:line="360" w:lineRule="auto"/>
        <w:ind w:firstLine="420" w:firstLineChars="200"/>
        <w:rPr>
          <w:color w:val="auto"/>
          <w:szCs w:val="21"/>
          <w:highlight w:val="none"/>
        </w:rPr>
      </w:pPr>
      <w:r>
        <w:rPr>
          <w:color w:val="auto"/>
          <w:szCs w:val="21"/>
          <w:highlight w:val="none"/>
        </w:rPr>
        <w:t>（3）替代品使用的工程部位</w:t>
      </w:r>
      <w:r>
        <w:rPr>
          <w:color w:val="auto"/>
          <w:szCs w:val="21"/>
          <w:highlight w:val="none"/>
          <w:u w:val="single"/>
        </w:rPr>
        <w:t xml:space="preserve">                     </w:t>
      </w:r>
      <w:r>
        <w:rPr>
          <w:color w:val="auto"/>
          <w:szCs w:val="21"/>
          <w:highlight w:val="none"/>
        </w:rPr>
        <w:t>；</w:t>
      </w:r>
    </w:p>
    <w:p w14:paraId="29051115">
      <w:pPr>
        <w:spacing w:line="360" w:lineRule="auto"/>
        <w:ind w:firstLine="420" w:firstLineChars="200"/>
        <w:rPr>
          <w:color w:val="auto"/>
          <w:szCs w:val="21"/>
          <w:highlight w:val="none"/>
        </w:rPr>
      </w:pPr>
      <w:r>
        <w:rPr>
          <w:color w:val="auto"/>
          <w:szCs w:val="21"/>
          <w:highlight w:val="none"/>
        </w:rPr>
        <w:t>（4）采用替代品的理由和原因说明</w:t>
      </w:r>
      <w:r>
        <w:rPr>
          <w:color w:val="auto"/>
          <w:szCs w:val="21"/>
          <w:highlight w:val="none"/>
          <w:u w:val="single"/>
        </w:rPr>
        <w:t xml:space="preserve">                         </w:t>
      </w:r>
      <w:r>
        <w:rPr>
          <w:color w:val="auto"/>
          <w:szCs w:val="21"/>
          <w:highlight w:val="none"/>
        </w:rPr>
        <w:t>；</w:t>
      </w:r>
    </w:p>
    <w:p w14:paraId="3055754B">
      <w:pPr>
        <w:spacing w:line="360" w:lineRule="auto"/>
        <w:ind w:firstLine="420" w:firstLineChars="200"/>
        <w:rPr>
          <w:color w:val="auto"/>
          <w:szCs w:val="21"/>
          <w:highlight w:val="none"/>
        </w:rPr>
      </w:pPr>
      <w:r>
        <w:rPr>
          <w:color w:val="auto"/>
          <w:szCs w:val="21"/>
          <w:highlight w:val="none"/>
        </w:rPr>
        <w:t>（5）替代品与合同中约定的产品之间的差异以及使用替代品后可能对工程产生的任何影响</w:t>
      </w:r>
      <w:r>
        <w:rPr>
          <w:color w:val="auto"/>
          <w:szCs w:val="21"/>
          <w:highlight w:val="none"/>
          <w:u w:val="single"/>
        </w:rPr>
        <w:t xml:space="preserve">      </w:t>
      </w:r>
      <w:r>
        <w:rPr>
          <w:color w:val="auto"/>
          <w:szCs w:val="21"/>
          <w:highlight w:val="none"/>
        </w:rPr>
        <w:t>；</w:t>
      </w:r>
    </w:p>
    <w:p w14:paraId="2A53A5AF">
      <w:pPr>
        <w:spacing w:line="360" w:lineRule="auto"/>
        <w:ind w:firstLine="420" w:firstLineChars="200"/>
        <w:rPr>
          <w:color w:val="auto"/>
          <w:szCs w:val="21"/>
          <w:highlight w:val="none"/>
        </w:rPr>
      </w:pPr>
      <w:r>
        <w:rPr>
          <w:color w:val="auto"/>
          <w:szCs w:val="21"/>
          <w:highlight w:val="none"/>
        </w:rPr>
        <w:t>（6）价格上的差异</w:t>
      </w:r>
      <w:r>
        <w:rPr>
          <w:color w:val="auto"/>
          <w:szCs w:val="21"/>
          <w:highlight w:val="none"/>
          <w:u w:val="single"/>
        </w:rPr>
        <w:t xml:space="preserve">             </w:t>
      </w:r>
      <w:r>
        <w:rPr>
          <w:color w:val="auto"/>
          <w:szCs w:val="21"/>
          <w:highlight w:val="none"/>
        </w:rPr>
        <w:t>；</w:t>
      </w:r>
    </w:p>
    <w:p w14:paraId="15788E77">
      <w:pPr>
        <w:spacing w:line="360" w:lineRule="auto"/>
        <w:ind w:firstLine="420" w:firstLineChars="200"/>
        <w:rPr>
          <w:color w:val="auto"/>
          <w:szCs w:val="21"/>
          <w:highlight w:val="none"/>
        </w:rPr>
      </w:pPr>
      <w:r>
        <w:rPr>
          <w:color w:val="auto"/>
          <w:szCs w:val="21"/>
          <w:highlight w:val="none"/>
        </w:rPr>
        <w:t>（7）监理人为做出适当的决定而随时要求承包人提供的任何其他文件</w:t>
      </w:r>
      <w:r>
        <w:rPr>
          <w:color w:val="auto"/>
          <w:szCs w:val="21"/>
          <w:highlight w:val="none"/>
          <w:u w:val="single"/>
        </w:rPr>
        <w:t xml:space="preserve">          </w:t>
      </w:r>
      <w:r>
        <w:rPr>
          <w:color w:val="auto"/>
          <w:szCs w:val="21"/>
          <w:highlight w:val="none"/>
        </w:rPr>
        <w:t>。</w:t>
      </w:r>
    </w:p>
    <w:p w14:paraId="41F6D540">
      <w:pPr>
        <w:spacing w:line="360" w:lineRule="auto"/>
        <w:ind w:firstLine="420" w:firstLineChars="200"/>
        <w:rPr>
          <w:color w:val="auto"/>
          <w:szCs w:val="21"/>
          <w:highlight w:val="none"/>
        </w:rPr>
      </w:pPr>
      <w:r>
        <w:rPr>
          <w:color w:val="auto"/>
          <w:szCs w:val="21"/>
          <w:highlight w:val="none"/>
        </w:rPr>
        <w:t>监理人在收到此类通知及上述文件后，应在28天内向承包人给出书面指示。如果28天内  监理人未给出书面指示，应视为监理人和发包人已经批准使用上述替代品，承包人可以据此使用替代品。</w:t>
      </w:r>
    </w:p>
    <w:p w14:paraId="784AA26A">
      <w:pPr>
        <w:spacing w:line="360" w:lineRule="auto"/>
        <w:ind w:firstLine="420" w:firstLineChars="200"/>
        <w:rPr>
          <w:color w:val="auto"/>
          <w:szCs w:val="21"/>
          <w:highlight w:val="none"/>
        </w:rPr>
      </w:pPr>
      <w:r>
        <w:rPr>
          <w:color w:val="auto"/>
          <w:szCs w:val="21"/>
          <w:highlight w:val="none"/>
        </w:rPr>
        <w:t>9.2.3 任何情况下，替代品都应遵守本合同中对相关材料和工程设备的要求。</w:t>
      </w:r>
    </w:p>
    <w:p w14:paraId="0775742C">
      <w:pPr>
        <w:spacing w:line="360" w:lineRule="auto"/>
        <w:ind w:firstLine="420" w:firstLineChars="200"/>
        <w:rPr>
          <w:color w:val="auto"/>
          <w:szCs w:val="21"/>
          <w:highlight w:val="none"/>
        </w:rPr>
      </w:pPr>
      <w:r>
        <w:rPr>
          <w:color w:val="auto"/>
          <w:szCs w:val="21"/>
          <w:highlight w:val="none"/>
        </w:rPr>
        <w:t>9.2.4 如果承包人根据本条约定使用了替代品，监理人应与承包人适当协商之后并在合理的期限内确定替代材料和工程设备与合同中约定的材料和工程设备之间的价值差值，并决定：</w:t>
      </w:r>
    </w:p>
    <w:p w14:paraId="40967697">
      <w:pPr>
        <w:spacing w:line="360" w:lineRule="auto"/>
        <w:ind w:firstLine="420" w:firstLineChars="200"/>
        <w:rPr>
          <w:color w:val="auto"/>
          <w:szCs w:val="21"/>
          <w:highlight w:val="none"/>
        </w:rPr>
      </w:pPr>
      <w:r>
        <w:rPr>
          <w:color w:val="auto"/>
          <w:szCs w:val="21"/>
          <w:highlight w:val="none"/>
        </w:rPr>
        <w:t>（1）如果替代材料和工程设备的价值高于合同中约定的材料和工程设备的价值，则将高出部分的价值追加到合同价格中并相应地通知承包人；</w:t>
      </w:r>
    </w:p>
    <w:p w14:paraId="7F18B7EB">
      <w:pPr>
        <w:spacing w:line="360" w:lineRule="auto"/>
        <w:ind w:firstLine="420" w:firstLineChars="200"/>
        <w:rPr>
          <w:color w:val="auto"/>
          <w:szCs w:val="21"/>
          <w:highlight w:val="none"/>
        </w:rPr>
      </w:pPr>
      <w:r>
        <w:rPr>
          <w:color w:val="auto"/>
          <w:szCs w:val="21"/>
          <w:highlight w:val="none"/>
        </w:rPr>
        <w:t>（2）如果替代材料和工程设备的价值低于合同中约定的材料和工程设备的价值，则将节余部分的价值从合同价格中扣除并相应地通知承包人。</w:t>
      </w:r>
    </w:p>
    <w:p w14:paraId="3F5C2B90">
      <w:pPr>
        <w:pStyle w:val="4"/>
        <w:keepNext/>
        <w:keepLines/>
        <w:widowControl w:val="0"/>
        <w:jc w:val="left"/>
        <w:rPr>
          <w:rFonts w:eastAsia="黑体"/>
          <w:b w:val="0"/>
          <w:bCs w:val="0"/>
          <w:color w:val="auto"/>
          <w:sz w:val="28"/>
          <w:szCs w:val="28"/>
          <w:highlight w:val="none"/>
        </w:rPr>
      </w:pPr>
      <w:bookmarkStart w:id="1109" w:name="_Toc80006244"/>
      <w:bookmarkStart w:id="1110" w:name="_Toc79998420"/>
      <w:bookmarkStart w:id="1111" w:name="_Toc211498741"/>
      <w:bookmarkStart w:id="1112" w:name="_Toc9178561"/>
      <w:bookmarkStart w:id="1113" w:name="_Toc80006134"/>
      <w:bookmarkStart w:id="1114" w:name="_Toc79998864"/>
      <w:bookmarkStart w:id="1115" w:name="_Toc300678542"/>
      <w:r>
        <w:rPr>
          <w:rFonts w:eastAsia="黑体"/>
          <w:b w:val="0"/>
          <w:bCs w:val="0"/>
          <w:color w:val="auto"/>
          <w:sz w:val="28"/>
          <w:szCs w:val="28"/>
          <w:highlight w:val="none"/>
        </w:rPr>
        <w:t>10.进口材料和工程设备</w:t>
      </w:r>
      <w:bookmarkEnd w:id="1109"/>
      <w:bookmarkEnd w:id="1110"/>
      <w:bookmarkEnd w:id="1111"/>
      <w:bookmarkEnd w:id="1112"/>
      <w:bookmarkEnd w:id="1113"/>
      <w:bookmarkEnd w:id="1114"/>
      <w:bookmarkEnd w:id="1115"/>
    </w:p>
    <w:p w14:paraId="69E3B7F4">
      <w:pPr>
        <w:spacing w:line="360" w:lineRule="auto"/>
        <w:ind w:firstLine="420" w:firstLineChars="200"/>
        <w:rPr>
          <w:color w:val="auto"/>
          <w:szCs w:val="21"/>
          <w:highlight w:val="none"/>
        </w:rPr>
      </w:pPr>
      <w:r>
        <w:rPr>
          <w:color w:val="auto"/>
          <w:szCs w:val="21"/>
          <w:highlight w:val="none"/>
        </w:rPr>
        <w:t>10.1 本工程需要进口的材料和工程设备如下：</w:t>
      </w:r>
      <w:r>
        <w:rPr>
          <w:color w:val="auto"/>
          <w:szCs w:val="21"/>
          <w:highlight w:val="none"/>
          <w:u w:val="single"/>
        </w:rPr>
        <w:t xml:space="preserve">     </w:t>
      </w:r>
      <w:r>
        <w:rPr>
          <w:color w:val="auto"/>
          <w:szCs w:val="21"/>
          <w:highlight w:val="none"/>
        </w:rPr>
        <w:t>。</w:t>
      </w:r>
    </w:p>
    <w:p w14:paraId="21643693">
      <w:pPr>
        <w:spacing w:line="360" w:lineRule="auto"/>
        <w:ind w:firstLine="420" w:firstLineChars="200"/>
        <w:rPr>
          <w:color w:val="auto"/>
          <w:szCs w:val="21"/>
          <w:highlight w:val="none"/>
        </w:rPr>
      </w:pPr>
      <w:r>
        <w:rPr>
          <w:color w:val="auto"/>
          <w:szCs w:val="21"/>
          <w:highlight w:val="none"/>
        </w:rPr>
        <w:t>10.2 上述进口材料和工程设备采购、进口、报关、清关、商检、境内运输（包括保险）、保管的责任以及费用承担方式划分如下：</w:t>
      </w:r>
      <w:r>
        <w:rPr>
          <w:color w:val="auto"/>
          <w:szCs w:val="21"/>
          <w:highlight w:val="none"/>
          <w:u w:val="single"/>
        </w:rPr>
        <w:t xml:space="preserve">     </w:t>
      </w:r>
      <w:r>
        <w:rPr>
          <w:color w:val="auto"/>
          <w:szCs w:val="21"/>
          <w:highlight w:val="none"/>
        </w:rPr>
        <w:t>。</w:t>
      </w:r>
    </w:p>
    <w:p w14:paraId="2566D928">
      <w:pPr>
        <w:pStyle w:val="4"/>
        <w:keepNext/>
        <w:keepLines/>
        <w:widowControl w:val="0"/>
        <w:jc w:val="left"/>
        <w:rPr>
          <w:rFonts w:eastAsia="黑体"/>
          <w:b w:val="0"/>
          <w:bCs w:val="0"/>
          <w:color w:val="auto"/>
          <w:sz w:val="28"/>
          <w:szCs w:val="28"/>
          <w:highlight w:val="none"/>
        </w:rPr>
      </w:pPr>
      <w:bookmarkStart w:id="1116" w:name="_Toc80006245"/>
      <w:bookmarkStart w:id="1117" w:name="_Toc9178562"/>
      <w:bookmarkStart w:id="1118" w:name="_Toc211498742"/>
      <w:bookmarkStart w:id="1119" w:name="_Toc79998421"/>
      <w:bookmarkStart w:id="1120" w:name="_Toc300678543"/>
      <w:bookmarkStart w:id="1121" w:name="_Toc79998865"/>
      <w:bookmarkStart w:id="1122" w:name="_Toc80006135"/>
      <w:r>
        <w:rPr>
          <w:rFonts w:eastAsia="黑体"/>
          <w:b w:val="0"/>
          <w:bCs w:val="0"/>
          <w:color w:val="auto"/>
          <w:sz w:val="28"/>
          <w:szCs w:val="28"/>
          <w:highlight w:val="none"/>
        </w:rPr>
        <w:t>11.进度报告和进度例会</w:t>
      </w:r>
      <w:bookmarkEnd w:id="1116"/>
      <w:bookmarkEnd w:id="1117"/>
      <w:bookmarkEnd w:id="1118"/>
      <w:bookmarkEnd w:id="1119"/>
      <w:bookmarkEnd w:id="1120"/>
      <w:bookmarkEnd w:id="1121"/>
      <w:bookmarkEnd w:id="1122"/>
    </w:p>
    <w:p w14:paraId="11774FAF">
      <w:pPr>
        <w:pStyle w:val="5"/>
        <w:rPr>
          <w:rFonts w:ascii="Times New Roman" w:hAnsi="Times New Roman" w:eastAsia="黑体"/>
          <w:b w:val="0"/>
          <w:bCs w:val="0"/>
          <w:color w:val="auto"/>
          <w:sz w:val="24"/>
          <w:highlight w:val="none"/>
        </w:rPr>
      </w:pPr>
      <w:bookmarkStart w:id="1123" w:name="_Toc300678544"/>
      <w:r>
        <w:rPr>
          <w:rFonts w:ascii="Times New Roman" w:hAnsi="Times New Roman" w:eastAsia="黑体"/>
          <w:b w:val="0"/>
          <w:bCs w:val="0"/>
          <w:color w:val="auto"/>
          <w:sz w:val="24"/>
          <w:highlight w:val="none"/>
        </w:rPr>
        <w:t>11.1 进度报告</w:t>
      </w:r>
      <w:bookmarkEnd w:id="1123"/>
    </w:p>
    <w:p w14:paraId="0499FA60">
      <w:pPr>
        <w:spacing w:line="360" w:lineRule="auto"/>
        <w:ind w:firstLine="420" w:firstLineChars="200"/>
        <w:jc w:val="left"/>
        <w:rPr>
          <w:color w:val="auto"/>
          <w:szCs w:val="21"/>
          <w:highlight w:val="none"/>
        </w:rPr>
      </w:pPr>
      <w:r>
        <w:rPr>
          <w:color w:val="auto"/>
          <w:szCs w:val="21"/>
          <w:highlight w:val="none"/>
        </w:rPr>
        <w:t>11.1.1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约定的进度付款申请单一并递交。</w:t>
      </w:r>
    </w:p>
    <w:p w14:paraId="5BD5EF65">
      <w:pPr>
        <w:spacing w:line="360" w:lineRule="auto"/>
        <w:ind w:firstLine="420" w:firstLineChars="200"/>
        <w:jc w:val="left"/>
        <w:rPr>
          <w:color w:val="auto"/>
          <w:szCs w:val="21"/>
          <w:highlight w:val="none"/>
        </w:rPr>
      </w:pPr>
      <w:r>
        <w:rPr>
          <w:color w:val="auto"/>
          <w:szCs w:val="21"/>
          <w:highlight w:val="none"/>
        </w:rPr>
        <w:t>11.1.2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29EACDCF">
      <w:pPr>
        <w:spacing w:line="360" w:lineRule="auto"/>
        <w:ind w:firstLine="420" w:firstLineChars="200"/>
        <w:jc w:val="left"/>
        <w:rPr>
          <w:color w:val="auto"/>
          <w:szCs w:val="21"/>
          <w:highlight w:val="none"/>
        </w:rPr>
      </w:pPr>
      <w:r>
        <w:rPr>
          <w:color w:val="auto"/>
          <w:szCs w:val="21"/>
          <w:highlight w:val="none"/>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609F9F46">
      <w:pPr>
        <w:spacing w:line="360" w:lineRule="auto"/>
        <w:ind w:left="-21" w:leftChars="-10" w:firstLine="420" w:firstLineChars="200"/>
        <w:jc w:val="left"/>
        <w:rPr>
          <w:color w:val="auto"/>
          <w:szCs w:val="21"/>
          <w:highlight w:val="none"/>
        </w:rPr>
      </w:pPr>
      <w:r>
        <w:rPr>
          <w:color w:val="auto"/>
          <w:szCs w:val="21"/>
          <w:highlight w:val="none"/>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0F80C433">
      <w:pPr>
        <w:spacing w:line="360" w:lineRule="auto"/>
        <w:ind w:firstLine="420" w:firstLineChars="200"/>
        <w:jc w:val="left"/>
        <w:rPr>
          <w:color w:val="auto"/>
          <w:szCs w:val="21"/>
          <w:highlight w:val="none"/>
        </w:rPr>
      </w:pPr>
      <w:r>
        <w:rPr>
          <w:color w:val="auto"/>
          <w:szCs w:val="21"/>
          <w:highlight w:val="none"/>
        </w:rPr>
        <w:t>11.1.5 各个进度报表的格式和内容应经过监理人的审批。进度报表应如实填写，由承包人委托代理人签名，并报监理人的指定代表签名确认后再行分发。</w:t>
      </w:r>
    </w:p>
    <w:p w14:paraId="5B6AC1A3">
      <w:pPr>
        <w:spacing w:line="360" w:lineRule="auto"/>
        <w:ind w:firstLine="420" w:firstLineChars="200"/>
        <w:jc w:val="left"/>
        <w:rPr>
          <w:color w:val="auto"/>
          <w:szCs w:val="21"/>
          <w:highlight w:val="none"/>
        </w:rPr>
      </w:pPr>
      <w:r>
        <w:rPr>
          <w:color w:val="auto"/>
          <w:szCs w:val="21"/>
          <w:highlight w:val="none"/>
        </w:rPr>
        <w:t>11.1.6 如果监理人认为必要，进度报告和进度照片应同时以存储在磁盘或光盘中的数据文件的形式递交给发包人和监理人。数据文件采用的应用软件及其版本应经过监理人的审批。</w:t>
      </w:r>
    </w:p>
    <w:p w14:paraId="5610B771">
      <w:pPr>
        <w:spacing w:line="360" w:lineRule="auto"/>
        <w:ind w:firstLine="420" w:firstLineChars="200"/>
        <w:jc w:val="left"/>
        <w:rPr>
          <w:color w:val="auto"/>
          <w:szCs w:val="21"/>
          <w:highlight w:val="none"/>
        </w:rPr>
      </w:pPr>
      <w:r>
        <w:rPr>
          <w:color w:val="auto"/>
          <w:szCs w:val="21"/>
          <w:highlight w:val="none"/>
        </w:rPr>
        <w:t>11.1.7 有关进度报告的其他要求：</w:t>
      </w:r>
      <w:r>
        <w:rPr>
          <w:color w:val="auto"/>
          <w:szCs w:val="21"/>
          <w:highlight w:val="none"/>
          <w:u w:val="single"/>
        </w:rPr>
        <w:t xml:space="preserve">     </w:t>
      </w:r>
      <w:r>
        <w:rPr>
          <w:color w:val="auto"/>
          <w:szCs w:val="21"/>
          <w:highlight w:val="none"/>
        </w:rPr>
        <w:t>。</w:t>
      </w:r>
    </w:p>
    <w:p w14:paraId="5B1BC669">
      <w:pPr>
        <w:pStyle w:val="5"/>
        <w:rPr>
          <w:rFonts w:ascii="Times New Roman" w:hAnsi="Times New Roman" w:eastAsia="黑体"/>
          <w:b w:val="0"/>
          <w:bCs w:val="0"/>
          <w:color w:val="auto"/>
          <w:sz w:val="24"/>
          <w:highlight w:val="none"/>
        </w:rPr>
      </w:pPr>
      <w:bookmarkStart w:id="1124" w:name="_Toc300678545"/>
      <w:r>
        <w:rPr>
          <w:rFonts w:ascii="Times New Roman" w:hAnsi="Times New Roman" w:eastAsia="黑体"/>
          <w:b w:val="0"/>
          <w:bCs w:val="0"/>
          <w:color w:val="auto"/>
          <w:sz w:val="24"/>
          <w:highlight w:val="none"/>
        </w:rPr>
        <w:t>11.2 进度例会</w:t>
      </w:r>
      <w:bookmarkEnd w:id="1124"/>
    </w:p>
    <w:p w14:paraId="49A4B0DE">
      <w:pPr>
        <w:spacing w:line="360" w:lineRule="auto"/>
        <w:ind w:firstLine="420" w:firstLineChars="200"/>
        <w:jc w:val="left"/>
        <w:rPr>
          <w:color w:val="auto"/>
          <w:szCs w:val="21"/>
          <w:highlight w:val="none"/>
        </w:rPr>
      </w:pPr>
      <w:r>
        <w:rPr>
          <w:color w:val="auto"/>
          <w:szCs w:val="21"/>
          <w:highlight w:val="none"/>
        </w:rPr>
        <w:t>11.2.1 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18652AC0">
      <w:pPr>
        <w:spacing w:line="360" w:lineRule="auto"/>
        <w:ind w:firstLine="420" w:firstLineChars="200"/>
        <w:jc w:val="left"/>
        <w:rPr>
          <w:color w:val="auto"/>
          <w:szCs w:val="21"/>
          <w:highlight w:val="none"/>
        </w:rPr>
      </w:pPr>
      <w:r>
        <w:rPr>
          <w:color w:val="auto"/>
          <w:szCs w:val="21"/>
          <w:highlight w:val="none"/>
        </w:rPr>
        <w:t>11.2.2 进度例会的内容将涉及合同管理、进度协调和工程管理的各个方面，由监理人准备的会议议题将随会议通知在会议召开前至少24小时发给各参会方。</w:t>
      </w:r>
    </w:p>
    <w:p w14:paraId="192222EA">
      <w:pPr>
        <w:spacing w:line="360" w:lineRule="auto"/>
        <w:ind w:firstLine="420" w:firstLineChars="200"/>
        <w:jc w:val="left"/>
        <w:rPr>
          <w:color w:val="auto"/>
          <w:szCs w:val="21"/>
          <w:highlight w:val="none"/>
        </w:rPr>
      </w:pPr>
      <w:r>
        <w:rPr>
          <w:color w:val="auto"/>
          <w:szCs w:val="21"/>
          <w:highlight w:val="none"/>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6B4BB4F1">
      <w:pPr>
        <w:spacing w:line="360" w:lineRule="auto"/>
        <w:ind w:firstLine="420" w:firstLineChars="200"/>
        <w:jc w:val="left"/>
        <w:rPr>
          <w:color w:val="auto"/>
          <w:szCs w:val="21"/>
          <w:highlight w:val="none"/>
        </w:rPr>
      </w:pPr>
      <w:r>
        <w:rPr>
          <w:color w:val="auto"/>
          <w:szCs w:val="21"/>
          <w:highlight w:val="none"/>
        </w:rPr>
        <w:t>11.2.4 有关进度例会的其他要求：</w:t>
      </w:r>
      <w:r>
        <w:rPr>
          <w:color w:val="auto"/>
          <w:szCs w:val="21"/>
          <w:highlight w:val="none"/>
          <w:u w:val="single"/>
        </w:rPr>
        <w:t xml:space="preserve">     </w:t>
      </w:r>
      <w:r>
        <w:rPr>
          <w:color w:val="auto"/>
          <w:szCs w:val="21"/>
          <w:highlight w:val="none"/>
        </w:rPr>
        <w:t>。</w:t>
      </w:r>
    </w:p>
    <w:p w14:paraId="0110404E">
      <w:pPr>
        <w:pStyle w:val="4"/>
        <w:keepNext/>
        <w:keepLines/>
        <w:widowControl w:val="0"/>
        <w:jc w:val="left"/>
        <w:rPr>
          <w:rFonts w:eastAsia="黑体"/>
          <w:b w:val="0"/>
          <w:bCs w:val="0"/>
          <w:color w:val="auto"/>
          <w:sz w:val="28"/>
          <w:szCs w:val="28"/>
          <w:highlight w:val="none"/>
        </w:rPr>
      </w:pPr>
      <w:bookmarkStart w:id="1125" w:name="_Toc80006136"/>
      <w:bookmarkStart w:id="1126" w:name="_Toc300678546"/>
      <w:bookmarkStart w:id="1127" w:name="_Toc79998422"/>
      <w:bookmarkStart w:id="1128" w:name="_Toc79998866"/>
      <w:bookmarkStart w:id="1129" w:name="_Toc9178563"/>
      <w:bookmarkStart w:id="1130" w:name="_Toc80006246"/>
      <w:bookmarkStart w:id="1131" w:name="_Toc211498743"/>
      <w:r>
        <w:rPr>
          <w:rFonts w:eastAsia="黑体"/>
          <w:b w:val="0"/>
          <w:bCs w:val="0"/>
          <w:color w:val="auto"/>
          <w:sz w:val="28"/>
          <w:szCs w:val="28"/>
          <w:highlight w:val="none"/>
        </w:rPr>
        <w:t>12.试验和检验</w:t>
      </w:r>
      <w:bookmarkEnd w:id="1125"/>
      <w:bookmarkEnd w:id="1126"/>
      <w:bookmarkEnd w:id="1127"/>
      <w:bookmarkEnd w:id="1128"/>
      <w:bookmarkEnd w:id="1129"/>
      <w:bookmarkEnd w:id="1130"/>
      <w:bookmarkEnd w:id="1131"/>
    </w:p>
    <w:p w14:paraId="3AB53898">
      <w:pPr>
        <w:spacing w:line="360" w:lineRule="auto"/>
        <w:ind w:firstLine="420" w:firstLineChars="200"/>
        <w:jc w:val="left"/>
        <w:rPr>
          <w:color w:val="auto"/>
          <w:szCs w:val="21"/>
          <w:highlight w:val="none"/>
        </w:rPr>
      </w:pPr>
      <w:r>
        <w:rPr>
          <w:color w:val="auto"/>
          <w:szCs w:val="21"/>
          <w:highlight w:val="none"/>
        </w:rPr>
        <w:t>12.1 承包人应当按照工程施工验收规范和标准的规定和合同条款的约定，对用于永久工程的主要材料、半成品、成品、建筑构配件、工程设备等进行试验和检验。</w:t>
      </w:r>
    </w:p>
    <w:p w14:paraId="0B74775C">
      <w:pPr>
        <w:spacing w:line="360" w:lineRule="auto"/>
        <w:ind w:firstLine="420" w:firstLineChars="200"/>
        <w:jc w:val="left"/>
        <w:rPr>
          <w:color w:val="auto"/>
          <w:szCs w:val="21"/>
          <w:highlight w:val="none"/>
        </w:rPr>
      </w:pPr>
      <w:r>
        <w:rPr>
          <w:color w:val="auto"/>
          <w:szCs w:val="21"/>
          <w:highlight w:val="none"/>
        </w:rPr>
        <w:t>12.2 本工程需要承包人进行试验和检验的材料、工程设备和工艺如下：</w:t>
      </w:r>
      <w:r>
        <w:rPr>
          <w:color w:val="auto"/>
          <w:szCs w:val="21"/>
          <w:highlight w:val="none"/>
          <w:u w:val="single"/>
        </w:rPr>
        <w:t xml:space="preserve">     </w:t>
      </w:r>
      <w:r>
        <w:rPr>
          <w:color w:val="auto"/>
          <w:szCs w:val="21"/>
          <w:highlight w:val="none"/>
        </w:rPr>
        <w:t>。</w:t>
      </w:r>
    </w:p>
    <w:p w14:paraId="1B98EFD9">
      <w:pPr>
        <w:spacing w:line="360" w:lineRule="auto"/>
        <w:ind w:firstLine="420" w:firstLineChars="200"/>
        <w:jc w:val="left"/>
        <w:rPr>
          <w:color w:val="auto"/>
          <w:szCs w:val="21"/>
          <w:highlight w:val="none"/>
        </w:rPr>
      </w:pPr>
      <w:r>
        <w:rPr>
          <w:color w:val="auto"/>
          <w:szCs w:val="21"/>
          <w:highlight w:val="none"/>
        </w:rPr>
        <w:t>监理人可以根据工程需要，指示承包人进行其他现场材料和工艺的试验和检验。</w:t>
      </w:r>
    </w:p>
    <w:p w14:paraId="212BA1E2">
      <w:pPr>
        <w:spacing w:line="360" w:lineRule="auto"/>
        <w:ind w:firstLine="420" w:firstLineChars="200"/>
        <w:jc w:val="left"/>
        <w:rPr>
          <w:color w:val="auto"/>
          <w:szCs w:val="21"/>
          <w:highlight w:val="none"/>
        </w:rPr>
      </w:pPr>
      <w:r>
        <w:rPr>
          <w:color w:val="auto"/>
          <w:szCs w:val="21"/>
          <w:highlight w:val="none"/>
        </w:rPr>
        <w:t xml:space="preserve">12.3 </w:t>
      </w:r>
      <w:r>
        <w:rPr>
          <w:color w:val="auto"/>
          <w:spacing w:val="4"/>
          <w:szCs w:val="21"/>
          <w:highlight w:val="none"/>
        </w:rPr>
        <w:t>本工程需要由监理人和承包人共同进行试验和检验的材料、工程设备和工艺如下：</w:t>
      </w:r>
      <w:r>
        <w:rPr>
          <w:color w:val="auto"/>
          <w:szCs w:val="21"/>
          <w:highlight w:val="none"/>
          <w:u w:val="single"/>
        </w:rPr>
        <w:t xml:space="preserve">     </w:t>
      </w:r>
      <w:r>
        <w:rPr>
          <w:color w:val="auto"/>
          <w:szCs w:val="21"/>
          <w:highlight w:val="none"/>
        </w:rPr>
        <w:t>。</w:t>
      </w:r>
    </w:p>
    <w:p w14:paraId="1E1568C3">
      <w:pPr>
        <w:spacing w:line="360" w:lineRule="auto"/>
        <w:ind w:firstLine="420" w:firstLineChars="200"/>
        <w:jc w:val="left"/>
        <w:rPr>
          <w:color w:val="auto"/>
          <w:szCs w:val="21"/>
          <w:highlight w:val="none"/>
        </w:rPr>
      </w:pPr>
      <w:r>
        <w:rPr>
          <w:color w:val="auto"/>
          <w:szCs w:val="21"/>
          <w:highlight w:val="none"/>
        </w:rPr>
        <w:t>12.4 本条上述约定需要进行检验的材料、工程设备和工艺在经过检验并获得监理人批准以前，不得用于任何永久工程。</w:t>
      </w:r>
    </w:p>
    <w:p w14:paraId="5CB23692">
      <w:pPr>
        <w:spacing w:line="360" w:lineRule="auto"/>
        <w:ind w:firstLine="420" w:firstLineChars="200"/>
        <w:jc w:val="left"/>
        <w:rPr>
          <w:color w:val="auto"/>
          <w:szCs w:val="21"/>
          <w:highlight w:val="none"/>
        </w:rPr>
      </w:pPr>
      <w:r>
        <w:rPr>
          <w:color w:val="auto"/>
          <w:szCs w:val="21"/>
          <w:highlight w:val="none"/>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196B3E95">
      <w:pPr>
        <w:spacing w:line="360" w:lineRule="auto"/>
        <w:ind w:firstLine="420" w:firstLineChars="200"/>
        <w:jc w:val="left"/>
        <w:rPr>
          <w:color w:val="auto"/>
          <w:szCs w:val="21"/>
          <w:highlight w:val="none"/>
        </w:rPr>
      </w:pPr>
      <w:r>
        <w:rPr>
          <w:color w:val="auto"/>
          <w:szCs w:val="21"/>
          <w:highlight w:val="none"/>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4CB021FB">
      <w:pPr>
        <w:spacing w:line="360" w:lineRule="auto"/>
        <w:ind w:firstLine="420" w:firstLineChars="200"/>
        <w:jc w:val="left"/>
        <w:rPr>
          <w:color w:val="auto"/>
          <w:szCs w:val="21"/>
          <w:highlight w:val="none"/>
        </w:rPr>
      </w:pPr>
      <w:r>
        <w:rPr>
          <w:color w:val="auto"/>
          <w:szCs w:val="21"/>
          <w:highlight w:val="none"/>
        </w:rPr>
        <w:t>12.7 承包人应在监理人的监督下，对涉及结构安全的试块、试件以及有关材料进行现场取样，并送质量检测单位进行检测。</w:t>
      </w:r>
    </w:p>
    <w:p w14:paraId="5D0AD077">
      <w:pPr>
        <w:spacing w:line="360" w:lineRule="auto"/>
        <w:ind w:firstLine="420" w:firstLineChars="200"/>
        <w:jc w:val="left"/>
        <w:rPr>
          <w:color w:val="auto"/>
          <w:szCs w:val="21"/>
          <w:highlight w:val="none"/>
        </w:rPr>
      </w:pPr>
      <w:r>
        <w:rPr>
          <w:color w:val="auto"/>
          <w:szCs w:val="21"/>
          <w:highlight w:val="none"/>
        </w:rPr>
        <w:t>12.8  除合同另有约定外，承包人应负担本合同项下的所有材料、工程设备和工艺检验的费用。</w:t>
      </w:r>
    </w:p>
    <w:p w14:paraId="5E27862D">
      <w:pPr>
        <w:pStyle w:val="4"/>
        <w:keepNext/>
        <w:keepLines/>
        <w:widowControl w:val="0"/>
        <w:jc w:val="left"/>
        <w:rPr>
          <w:rFonts w:eastAsia="黑体"/>
          <w:b w:val="0"/>
          <w:bCs w:val="0"/>
          <w:color w:val="auto"/>
          <w:sz w:val="28"/>
          <w:szCs w:val="28"/>
          <w:highlight w:val="none"/>
        </w:rPr>
      </w:pPr>
      <w:bookmarkStart w:id="1132" w:name="_Toc80006247"/>
      <w:bookmarkStart w:id="1133" w:name="_Toc9178564"/>
      <w:bookmarkStart w:id="1134" w:name="_Toc79998423"/>
      <w:bookmarkStart w:id="1135" w:name="_Toc300678547"/>
      <w:bookmarkStart w:id="1136" w:name="_Toc80006137"/>
      <w:bookmarkStart w:id="1137" w:name="_Toc211498744"/>
      <w:bookmarkStart w:id="1138" w:name="_Toc79998867"/>
      <w:r>
        <w:rPr>
          <w:rFonts w:eastAsia="黑体"/>
          <w:b w:val="0"/>
          <w:bCs w:val="0"/>
          <w:color w:val="auto"/>
          <w:sz w:val="28"/>
          <w:szCs w:val="28"/>
          <w:highlight w:val="none"/>
        </w:rPr>
        <w:t>13.计日工</w:t>
      </w:r>
      <w:bookmarkEnd w:id="1132"/>
      <w:bookmarkEnd w:id="1133"/>
      <w:bookmarkEnd w:id="1134"/>
      <w:bookmarkEnd w:id="1135"/>
      <w:bookmarkEnd w:id="1136"/>
      <w:bookmarkEnd w:id="1137"/>
      <w:bookmarkEnd w:id="1138"/>
    </w:p>
    <w:p w14:paraId="6624C246">
      <w:pPr>
        <w:spacing w:line="360" w:lineRule="auto"/>
        <w:ind w:firstLine="420" w:firstLineChars="200"/>
        <w:jc w:val="left"/>
        <w:rPr>
          <w:color w:val="auto"/>
          <w:szCs w:val="21"/>
          <w:highlight w:val="none"/>
        </w:rPr>
      </w:pPr>
      <w:r>
        <w:rPr>
          <w:color w:val="auto"/>
          <w:szCs w:val="21"/>
          <w:highlight w:val="none"/>
        </w:rPr>
        <w:t>13.1 合同条款约定的计日工，一般适用于合同约定之外的或者因变更而产生的、工程量清单中没有设立相应项目或者即便有相应项目但因工作条件发生变化而无法适用的额外工作，尤其是那些时间不允许事先商定价格的额外工作。计日工在发包人认为必要时，由监理人按合同条款约定通知承包人实施。</w:t>
      </w:r>
    </w:p>
    <w:p w14:paraId="625E30EB">
      <w:pPr>
        <w:spacing w:line="360" w:lineRule="auto"/>
        <w:ind w:firstLine="420" w:firstLineChars="200"/>
        <w:jc w:val="left"/>
        <w:rPr>
          <w:color w:val="auto"/>
          <w:szCs w:val="21"/>
          <w:highlight w:val="none"/>
        </w:rPr>
      </w:pPr>
      <w:r>
        <w:rPr>
          <w:color w:val="auto"/>
          <w:szCs w:val="21"/>
          <w:highlight w:val="none"/>
        </w:rPr>
        <w:t>13.2 在工程实际开工后14天内，承包人应当按合同条款约定的计日工报表内容，准备一份计日工日报表的格式，报送监理人审批，监理人应当在收到之日后7天内给予批复或提出修改意见。</w:t>
      </w:r>
    </w:p>
    <w:p w14:paraId="53022321">
      <w:pPr>
        <w:spacing w:line="360" w:lineRule="auto"/>
        <w:ind w:firstLine="420" w:firstLineChars="200"/>
        <w:jc w:val="left"/>
        <w:rPr>
          <w:color w:val="auto"/>
          <w:szCs w:val="21"/>
          <w:highlight w:val="none"/>
        </w:rPr>
      </w:pPr>
      <w:r>
        <w:rPr>
          <w:color w:val="auto"/>
          <w:szCs w:val="21"/>
          <w:highlight w:val="none"/>
        </w:rPr>
        <w:t>13.3 按计日工实施相关变更的过程中，承包人应当按经监理人批准的计日工日报表格式，每天提交计日工报表和有关凭证，报送监理人审批，监理人应当在收到相关报表和凭证后24小时内给予批复。</w:t>
      </w:r>
    </w:p>
    <w:p w14:paraId="251CB57B">
      <w:pPr>
        <w:spacing w:line="360" w:lineRule="auto"/>
        <w:ind w:firstLine="420" w:firstLineChars="200"/>
        <w:jc w:val="left"/>
        <w:rPr>
          <w:color w:val="auto"/>
          <w:szCs w:val="21"/>
          <w:highlight w:val="none"/>
        </w:rPr>
      </w:pPr>
      <w:r>
        <w:rPr>
          <w:color w:val="auto"/>
          <w:szCs w:val="21"/>
          <w:highlight w:val="none"/>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0BBCD40C">
      <w:pPr>
        <w:spacing w:line="360" w:lineRule="auto"/>
        <w:ind w:firstLine="420" w:firstLineChars="200"/>
        <w:jc w:val="left"/>
        <w:rPr>
          <w:color w:val="auto"/>
          <w:szCs w:val="21"/>
          <w:highlight w:val="none"/>
        </w:rPr>
      </w:pPr>
      <w:r>
        <w:rPr>
          <w:color w:val="auto"/>
          <w:szCs w:val="21"/>
          <w:highlight w:val="none"/>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0BE87F73">
      <w:pPr>
        <w:spacing w:line="360" w:lineRule="auto"/>
        <w:ind w:firstLine="420" w:firstLineChars="200"/>
        <w:jc w:val="left"/>
        <w:rPr>
          <w:color w:val="auto"/>
          <w:szCs w:val="21"/>
          <w:highlight w:val="none"/>
        </w:rPr>
      </w:pPr>
      <w:r>
        <w:rPr>
          <w:color w:val="auto"/>
          <w:szCs w:val="21"/>
          <w:highlight w:val="none"/>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5EA5DBDF">
      <w:pPr>
        <w:spacing w:line="360" w:lineRule="auto"/>
        <w:ind w:firstLine="420" w:firstLineChars="200"/>
        <w:jc w:val="left"/>
        <w:rPr>
          <w:color w:val="auto"/>
          <w:szCs w:val="21"/>
          <w:highlight w:val="none"/>
        </w:rPr>
      </w:pPr>
      <w:r>
        <w:rPr>
          <w:color w:val="auto"/>
          <w:szCs w:val="21"/>
          <w:highlight w:val="none"/>
        </w:rPr>
        <w:t>13.7 关于计日工的其他约定：</w:t>
      </w:r>
      <w:r>
        <w:rPr>
          <w:color w:val="auto"/>
          <w:szCs w:val="21"/>
          <w:highlight w:val="none"/>
          <w:u w:val="single"/>
        </w:rPr>
        <w:t xml:space="preserve">     </w:t>
      </w:r>
      <w:r>
        <w:rPr>
          <w:color w:val="auto"/>
          <w:szCs w:val="21"/>
          <w:highlight w:val="none"/>
        </w:rPr>
        <w:t>。</w:t>
      </w:r>
    </w:p>
    <w:p w14:paraId="09FA47E6">
      <w:pPr>
        <w:pStyle w:val="4"/>
        <w:keepNext/>
        <w:keepLines/>
        <w:widowControl w:val="0"/>
        <w:jc w:val="left"/>
        <w:rPr>
          <w:rFonts w:eastAsia="黑体"/>
          <w:b w:val="0"/>
          <w:bCs w:val="0"/>
          <w:color w:val="auto"/>
          <w:sz w:val="28"/>
          <w:szCs w:val="28"/>
          <w:highlight w:val="none"/>
        </w:rPr>
      </w:pPr>
      <w:bookmarkStart w:id="1139" w:name="_Toc80006138"/>
      <w:bookmarkStart w:id="1140" w:name="_Toc80006248"/>
      <w:bookmarkStart w:id="1141" w:name="_Toc79998424"/>
      <w:bookmarkStart w:id="1142" w:name="_Toc300678548"/>
      <w:bookmarkStart w:id="1143" w:name="_Toc9178565"/>
      <w:bookmarkStart w:id="1144" w:name="_Toc79998868"/>
      <w:bookmarkStart w:id="1145" w:name="_Toc211498745"/>
      <w:r>
        <w:rPr>
          <w:rFonts w:eastAsia="黑体"/>
          <w:b w:val="0"/>
          <w:bCs w:val="0"/>
          <w:color w:val="auto"/>
          <w:sz w:val="28"/>
          <w:szCs w:val="28"/>
          <w:highlight w:val="none"/>
        </w:rPr>
        <w:t>14.计量与支付</w:t>
      </w:r>
      <w:bookmarkEnd w:id="1139"/>
      <w:bookmarkEnd w:id="1140"/>
      <w:bookmarkEnd w:id="1141"/>
      <w:bookmarkEnd w:id="1142"/>
      <w:bookmarkEnd w:id="1143"/>
      <w:bookmarkEnd w:id="1144"/>
      <w:bookmarkEnd w:id="1145"/>
    </w:p>
    <w:p w14:paraId="50E9D4B2">
      <w:pPr>
        <w:pStyle w:val="5"/>
        <w:rPr>
          <w:rFonts w:ascii="Times New Roman" w:hAnsi="Times New Roman" w:eastAsia="黑体"/>
          <w:b w:val="0"/>
          <w:bCs w:val="0"/>
          <w:color w:val="auto"/>
          <w:sz w:val="24"/>
          <w:highlight w:val="none"/>
        </w:rPr>
      </w:pPr>
      <w:bookmarkStart w:id="1146" w:name="_Toc300678549"/>
      <w:r>
        <w:rPr>
          <w:rFonts w:ascii="Times New Roman" w:hAnsi="Times New Roman" w:eastAsia="黑体"/>
          <w:b w:val="0"/>
          <w:bCs w:val="0"/>
          <w:color w:val="auto"/>
          <w:sz w:val="24"/>
          <w:highlight w:val="none"/>
        </w:rPr>
        <w:t>14.1 付款申请单</w:t>
      </w:r>
      <w:bookmarkEnd w:id="1146"/>
    </w:p>
    <w:p w14:paraId="27CDB393">
      <w:pPr>
        <w:spacing w:line="360" w:lineRule="auto"/>
        <w:ind w:firstLine="420" w:firstLineChars="200"/>
        <w:jc w:val="left"/>
        <w:rPr>
          <w:color w:val="auto"/>
          <w:szCs w:val="21"/>
          <w:highlight w:val="none"/>
        </w:rPr>
      </w:pPr>
      <w:r>
        <w:rPr>
          <w:color w:val="auto"/>
          <w:szCs w:val="21"/>
          <w:highlight w:val="none"/>
        </w:rPr>
        <w:t>14.1.1 在工程实际开工后14天内，承包人应当按照合同条款的约定，准备一份已完工程量报表、进度付款申请单和计量文件的格式等报送监理人，监理人应当在收到承包人报送的格式后7天内给予批复或者提出修改意见。</w:t>
      </w:r>
    </w:p>
    <w:p w14:paraId="498F07A8">
      <w:pPr>
        <w:spacing w:line="360" w:lineRule="auto"/>
        <w:ind w:firstLine="420" w:firstLineChars="200"/>
        <w:jc w:val="left"/>
        <w:rPr>
          <w:color w:val="auto"/>
          <w:szCs w:val="21"/>
          <w:highlight w:val="none"/>
        </w:rPr>
      </w:pPr>
      <w:r>
        <w:rPr>
          <w:color w:val="auto"/>
          <w:szCs w:val="21"/>
          <w:highlight w:val="none"/>
        </w:rPr>
        <w:t>14.1.2 根据合同条款，承包人应当在合同约定的每个付款周期末，对当期完成的各项工程量进行计量和计价，并按照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5E4DA56F">
      <w:pPr>
        <w:spacing w:line="360" w:lineRule="auto"/>
        <w:ind w:firstLine="420" w:firstLineChars="200"/>
        <w:jc w:val="left"/>
        <w:rPr>
          <w:color w:val="auto"/>
          <w:szCs w:val="21"/>
          <w:highlight w:val="none"/>
        </w:rPr>
      </w:pPr>
      <w:r>
        <w:rPr>
          <w:color w:val="auto"/>
          <w:szCs w:val="21"/>
          <w:highlight w:val="none"/>
        </w:rPr>
        <w:t>14.1.3 竣工付款申请单的内容按合同条款的约定。采用单价合同形式的，竣工付款申请单应当附上按合同条款确定的结算工程量和最近一</w:t>
      </w:r>
      <w:r>
        <w:rPr>
          <w:rFonts w:hint="eastAsia"/>
          <w:color w:val="auto"/>
          <w:szCs w:val="21"/>
          <w:highlight w:val="none"/>
        </w:rPr>
        <w:t>次</w:t>
      </w:r>
      <w:r>
        <w:rPr>
          <w:color w:val="auto"/>
          <w:szCs w:val="21"/>
          <w:highlight w:val="none"/>
        </w:rPr>
        <w:t>进度付款和竣工付款之间完成的各项目的工程量计量文件。采用总价合同形式的，签约合同价所基于的工程量就是相应的竣工结算工程量，但是，变更应按合同约定进行计量和计价。</w:t>
      </w:r>
    </w:p>
    <w:p w14:paraId="6DFC5451">
      <w:pPr>
        <w:spacing w:line="360" w:lineRule="auto"/>
        <w:ind w:firstLine="420" w:firstLineChars="200"/>
        <w:jc w:val="left"/>
        <w:rPr>
          <w:color w:val="auto"/>
          <w:szCs w:val="21"/>
          <w:highlight w:val="none"/>
        </w:rPr>
      </w:pPr>
      <w:r>
        <w:rPr>
          <w:color w:val="auto"/>
          <w:szCs w:val="21"/>
          <w:highlight w:val="none"/>
        </w:rPr>
        <w:t>14.1.4 竣工结算总价（合同价格）应当按以下内容梳理：</w:t>
      </w:r>
    </w:p>
    <w:p w14:paraId="65E33DCB">
      <w:pPr>
        <w:spacing w:line="360" w:lineRule="auto"/>
        <w:ind w:firstLine="420" w:firstLineChars="200"/>
        <w:jc w:val="left"/>
        <w:rPr>
          <w:color w:val="auto"/>
          <w:szCs w:val="21"/>
          <w:highlight w:val="none"/>
        </w:rPr>
      </w:pPr>
      <w:r>
        <w:rPr>
          <w:color w:val="auto"/>
          <w:szCs w:val="21"/>
          <w:highlight w:val="none"/>
        </w:rPr>
        <w:t>（1）签约合同价；</w:t>
      </w:r>
    </w:p>
    <w:p w14:paraId="758A0999">
      <w:pPr>
        <w:spacing w:line="360" w:lineRule="auto"/>
        <w:ind w:firstLine="420" w:firstLineChars="200"/>
        <w:jc w:val="left"/>
        <w:rPr>
          <w:color w:val="auto"/>
          <w:szCs w:val="21"/>
          <w:highlight w:val="none"/>
        </w:rPr>
      </w:pPr>
      <w:r>
        <w:rPr>
          <w:color w:val="auto"/>
          <w:szCs w:val="21"/>
          <w:highlight w:val="none"/>
        </w:rPr>
        <w:t>（2）应当扣减的项目；</w:t>
      </w:r>
    </w:p>
    <w:p w14:paraId="0B7FEA99">
      <w:pPr>
        <w:spacing w:line="360" w:lineRule="auto"/>
        <w:ind w:firstLine="420" w:firstLineChars="200"/>
        <w:jc w:val="left"/>
        <w:rPr>
          <w:color w:val="auto"/>
          <w:szCs w:val="21"/>
          <w:highlight w:val="none"/>
        </w:rPr>
      </w:pPr>
      <w:r>
        <w:rPr>
          <w:color w:val="auto"/>
          <w:szCs w:val="21"/>
          <w:highlight w:val="none"/>
        </w:rPr>
        <w:t>1）所有暂列金额；</w:t>
      </w:r>
    </w:p>
    <w:p w14:paraId="2C04B345">
      <w:pPr>
        <w:spacing w:line="360" w:lineRule="auto"/>
        <w:ind w:firstLine="420" w:firstLineChars="200"/>
        <w:jc w:val="left"/>
        <w:rPr>
          <w:color w:val="auto"/>
          <w:szCs w:val="21"/>
          <w:highlight w:val="none"/>
        </w:rPr>
      </w:pPr>
      <w:r>
        <w:rPr>
          <w:color w:val="auto"/>
          <w:szCs w:val="21"/>
          <w:highlight w:val="none"/>
        </w:rPr>
        <w:t>2）所有暂估价；</w:t>
      </w:r>
    </w:p>
    <w:p w14:paraId="0E8F3C38">
      <w:pPr>
        <w:spacing w:line="360" w:lineRule="auto"/>
        <w:ind w:firstLine="420" w:firstLineChars="200"/>
        <w:jc w:val="left"/>
        <w:rPr>
          <w:color w:val="auto"/>
          <w:szCs w:val="21"/>
          <w:highlight w:val="none"/>
        </w:rPr>
      </w:pPr>
      <w:r>
        <w:rPr>
          <w:color w:val="auto"/>
          <w:szCs w:val="21"/>
          <w:highlight w:val="none"/>
        </w:rPr>
        <w:t>3）根据合同条款应扣减的变更金额；</w:t>
      </w:r>
    </w:p>
    <w:p w14:paraId="32598A83">
      <w:pPr>
        <w:spacing w:line="360" w:lineRule="auto"/>
        <w:ind w:firstLine="420" w:firstLineChars="200"/>
        <w:jc w:val="left"/>
        <w:rPr>
          <w:color w:val="auto"/>
          <w:szCs w:val="21"/>
          <w:highlight w:val="none"/>
        </w:rPr>
      </w:pPr>
      <w:r>
        <w:rPr>
          <w:color w:val="auto"/>
          <w:szCs w:val="21"/>
          <w:highlight w:val="none"/>
        </w:rPr>
        <w:t>4）根据合同条款应扣减的价格调整（下调部分）；</w:t>
      </w:r>
    </w:p>
    <w:p w14:paraId="02591CC8">
      <w:pPr>
        <w:spacing w:line="360" w:lineRule="auto"/>
        <w:ind w:firstLine="420" w:firstLineChars="200"/>
        <w:jc w:val="left"/>
        <w:rPr>
          <w:color w:val="auto"/>
          <w:szCs w:val="21"/>
          <w:highlight w:val="none"/>
        </w:rPr>
      </w:pPr>
      <w:r>
        <w:rPr>
          <w:color w:val="auto"/>
          <w:szCs w:val="21"/>
          <w:highlight w:val="none"/>
        </w:rPr>
        <w:t>5）根据合同条款应扣减的发包人索赔金额；</w:t>
      </w:r>
    </w:p>
    <w:p w14:paraId="5520FA39">
      <w:pPr>
        <w:spacing w:line="360" w:lineRule="auto"/>
        <w:ind w:firstLine="420" w:firstLineChars="200"/>
        <w:jc w:val="left"/>
        <w:rPr>
          <w:color w:val="auto"/>
          <w:szCs w:val="21"/>
          <w:highlight w:val="none"/>
        </w:rPr>
      </w:pPr>
      <w:r>
        <w:rPr>
          <w:color w:val="auto"/>
          <w:szCs w:val="21"/>
          <w:highlight w:val="none"/>
        </w:rPr>
        <w:t>6）甩项工程的合同价值（如果有）；</w:t>
      </w:r>
    </w:p>
    <w:p w14:paraId="01F835E3">
      <w:pPr>
        <w:spacing w:line="360" w:lineRule="auto"/>
        <w:ind w:firstLine="420" w:firstLineChars="200"/>
        <w:jc w:val="left"/>
        <w:rPr>
          <w:color w:val="auto"/>
          <w:szCs w:val="21"/>
          <w:highlight w:val="none"/>
        </w:rPr>
      </w:pPr>
      <w:r>
        <w:rPr>
          <w:color w:val="auto"/>
          <w:szCs w:val="21"/>
          <w:highlight w:val="none"/>
        </w:rPr>
        <w:t>7）根据合同约定发包人应扣减的其他金额。</w:t>
      </w:r>
    </w:p>
    <w:p w14:paraId="1A46E880">
      <w:pPr>
        <w:spacing w:line="360" w:lineRule="auto"/>
        <w:ind w:firstLine="420" w:firstLineChars="200"/>
        <w:jc w:val="left"/>
        <w:rPr>
          <w:color w:val="auto"/>
          <w:szCs w:val="21"/>
          <w:highlight w:val="none"/>
        </w:rPr>
      </w:pPr>
      <w:r>
        <w:rPr>
          <w:color w:val="auto"/>
          <w:szCs w:val="21"/>
          <w:highlight w:val="none"/>
        </w:rPr>
        <w:t>（3）应当增加的项目；</w:t>
      </w:r>
    </w:p>
    <w:p w14:paraId="65FA0821">
      <w:pPr>
        <w:spacing w:line="360" w:lineRule="auto"/>
        <w:ind w:firstLine="420" w:firstLineChars="200"/>
        <w:jc w:val="left"/>
        <w:rPr>
          <w:color w:val="auto"/>
          <w:szCs w:val="21"/>
          <w:highlight w:val="none"/>
        </w:rPr>
      </w:pPr>
      <w:r>
        <w:rPr>
          <w:color w:val="auto"/>
          <w:szCs w:val="21"/>
          <w:highlight w:val="none"/>
        </w:rPr>
        <w:t>1）实际发生的暂列金额（包括计日工）；</w:t>
      </w:r>
    </w:p>
    <w:p w14:paraId="3803BB80">
      <w:pPr>
        <w:spacing w:line="360" w:lineRule="auto"/>
        <w:ind w:firstLine="420" w:firstLineChars="200"/>
        <w:jc w:val="left"/>
        <w:rPr>
          <w:color w:val="auto"/>
          <w:szCs w:val="21"/>
          <w:highlight w:val="none"/>
        </w:rPr>
      </w:pPr>
      <w:r>
        <w:rPr>
          <w:color w:val="auto"/>
          <w:szCs w:val="21"/>
          <w:highlight w:val="none"/>
        </w:rPr>
        <w:t>2）实际发生的暂估价；</w:t>
      </w:r>
    </w:p>
    <w:p w14:paraId="6D5736C2">
      <w:pPr>
        <w:spacing w:line="360" w:lineRule="auto"/>
        <w:ind w:firstLine="420" w:firstLineChars="200"/>
        <w:jc w:val="left"/>
        <w:rPr>
          <w:color w:val="auto"/>
          <w:szCs w:val="21"/>
          <w:highlight w:val="none"/>
        </w:rPr>
      </w:pPr>
      <w:r>
        <w:rPr>
          <w:color w:val="auto"/>
          <w:szCs w:val="21"/>
          <w:highlight w:val="none"/>
        </w:rPr>
        <w:t>3）根据合同条款应增加的变更金额；</w:t>
      </w:r>
    </w:p>
    <w:p w14:paraId="4DADC886">
      <w:pPr>
        <w:spacing w:line="360" w:lineRule="auto"/>
        <w:ind w:firstLine="420" w:firstLineChars="200"/>
        <w:jc w:val="left"/>
        <w:rPr>
          <w:color w:val="auto"/>
          <w:szCs w:val="21"/>
          <w:highlight w:val="none"/>
        </w:rPr>
      </w:pPr>
      <w:r>
        <w:rPr>
          <w:color w:val="auto"/>
          <w:szCs w:val="21"/>
          <w:highlight w:val="none"/>
        </w:rPr>
        <w:t>4）根据合同条款应增加的价格调整（上调部分）；</w:t>
      </w:r>
    </w:p>
    <w:p w14:paraId="57EEE942">
      <w:pPr>
        <w:spacing w:line="360" w:lineRule="auto"/>
        <w:ind w:firstLine="420" w:firstLineChars="200"/>
        <w:jc w:val="left"/>
        <w:rPr>
          <w:color w:val="auto"/>
          <w:szCs w:val="21"/>
          <w:highlight w:val="none"/>
        </w:rPr>
      </w:pPr>
      <w:r>
        <w:rPr>
          <w:color w:val="auto"/>
          <w:szCs w:val="21"/>
          <w:highlight w:val="none"/>
        </w:rPr>
        <w:t>5）根据合同条款应增加的承包人索赔金额；</w:t>
      </w:r>
    </w:p>
    <w:p w14:paraId="6AD11089">
      <w:pPr>
        <w:spacing w:line="360" w:lineRule="auto"/>
        <w:ind w:firstLine="420" w:firstLineChars="200"/>
        <w:jc w:val="left"/>
        <w:rPr>
          <w:color w:val="auto"/>
          <w:szCs w:val="21"/>
          <w:highlight w:val="none"/>
        </w:rPr>
      </w:pPr>
      <w:r>
        <w:rPr>
          <w:color w:val="auto"/>
          <w:szCs w:val="21"/>
          <w:highlight w:val="none"/>
        </w:rPr>
        <w:t>6）根据合同约定承包人应当得到的其他金额。</w:t>
      </w:r>
    </w:p>
    <w:p w14:paraId="4453D6C7">
      <w:pPr>
        <w:spacing w:line="360" w:lineRule="auto"/>
        <w:ind w:firstLine="420" w:firstLineChars="200"/>
        <w:jc w:val="left"/>
        <w:rPr>
          <w:color w:val="auto"/>
          <w:szCs w:val="21"/>
          <w:highlight w:val="none"/>
        </w:rPr>
      </w:pPr>
      <w:r>
        <w:rPr>
          <w:color w:val="auto"/>
          <w:szCs w:val="21"/>
          <w:highlight w:val="none"/>
        </w:rPr>
        <w:t>（4）规费和税金差额部分。</w:t>
      </w:r>
    </w:p>
    <w:p w14:paraId="104B5731">
      <w:pPr>
        <w:spacing w:line="360" w:lineRule="auto"/>
        <w:ind w:firstLine="420" w:firstLineChars="200"/>
        <w:jc w:val="left"/>
        <w:rPr>
          <w:color w:val="auto"/>
          <w:szCs w:val="21"/>
          <w:highlight w:val="none"/>
        </w:rPr>
      </w:pPr>
      <w:r>
        <w:rPr>
          <w:color w:val="auto"/>
          <w:szCs w:val="21"/>
          <w:highlight w:val="none"/>
        </w:rPr>
        <w:t>14.1.5 最终结清申请单的应付金额应当按下列内容梳理：</w:t>
      </w:r>
    </w:p>
    <w:p w14:paraId="67D2FCE4">
      <w:pPr>
        <w:spacing w:line="360" w:lineRule="auto"/>
        <w:ind w:firstLine="420" w:firstLineChars="200"/>
        <w:jc w:val="left"/>
        <w:rPr>
          <w:color w:val="auto"/>
          <w:szCs w:val="21"/>
          <w:highlight w:val="none"/>
        </w:rPr>
      </w:pPr>
      <w:r>
        <w:rPr>
          <w:color w:val="auto"/>
          <w:szCs w:val="21"/>
          <w:highlight w:val="none"/>
        </w:rPr>
        <w:t>（1）按合同约定扣留的质量保证金；</w:t>
      </w:r>
    </w:p>
    <w:p w14:paraId="3D1BCA46">
      <w:pPr>
        <w:spacing w:line="360" w:lineRule="auto"/>
        <w:ind w:firstLine="420" w:firstLineChars="200"/>
        <w:jc w:val="left"/>
        <w:rPr>
          <w:color w:val="auto"/>
          <w:szCs w:val="21"/>
          <w:highlight w:val="none"/>
        </w:rPr>
      </w:pPr>
      <w:r>
        <w:rPr>
          <w:color w:val="auto"/>
          <w:szCs w:val="21"/>
          <w:highlight w:val="none"/>
        </w:rPr>
        <w:t>（2）应当扣除的金额：</w:t>
      </w:r>
    </w:p>
    <w:p w14:paraId="14904488">
      <w:pPr>
        <w:spacing w:line="360" w:lineRule="auto"/>
        <w:ind w:firstLine="420" w:firstLineChars="200"/>
        <w:jc w:val="left"/>
        <w:rPr>
          <w:color w:val="auto"/>
          <w:szCs w:val="21"/>
          <w:highlight w:val="none"/>
        </w:rPr>
      </w:pPr>
      <w:r>
        <w:rPr>
          <w:color w:val="auto"/>
          <w:szCs w:val="21"/>
          <w:highlight w:val="none"/>
        </w:rPr>
        <w:t>1）按合同条款约定扣留的质量保证金；</w:t>
      </w:r>
    </w:p>
    <w:p w14:paraId="029E8C4B">
      <w:pPr>
        <w:spacing w:line="360" w:lineRule="auto"/>
        <w:ind w:firstLine="420" w:firstLineChars="200"/>
        <w:jc w:val="left"/>
        <w:rPr>
          <w:color w:val="auto"/>
          <w:szCs w:val="21"/>
          <w:highlight w:val="none"/>
        </w:rPr>
      </w:pPr>
      <w:r>
        <w:rPr>
          <w:color w:val="auto"/>
          <w:szCs w:val="21"/>
          <w:highlight w:val="none"/>
        </w:rPr>
        <w:t>2）按合同条款约定扣除的质量保证金；</w:t>
      </w:r>
    </w:p>
    <w:p w14:paraId="64D59FD2">
      <w:pPr>
        <w:spacing w:line="360" w:lineRule="auto"/>
        <w:ind w:firstLine="420" w:firstLineChars="200"/>
        <w:jc w:val="left"/>
        <w:rPr>
          <w:color w:val="auto"/>
          <w:szCs w:val="21"/>
          <w:highlight w:val="none"/>
        </w:rPr>
      </w:pPr>
      <w:r>
        <w:rPr>
          <w:color w:val="auto"/>
          <w:szCs w:val="21"/>
          <w:highlight w:val="none"/>
        </w:rPr>
        <w:t>3）根据合同条款应扣减的缺陷责任期内发生的发包人索赔金额；</w:t>
      </w:r>
    </w:p>
    <w:p w14:paraId="16B7726F">
      <w:pPr>
        <w:spacing w:line="360" w:lineRule="auto"/>
        <w:ind w:firstLine="420" w:firstLineChars="200"/>
        <w:jc w:val="left"/>
        <w:rPr>
          <w:color w:val="auto"/>
          <w:szCs w:val="21"/>
          <w:highlight w:val="none"/>
        </w:rPr>
      </w:pPr>
      <w:r>
        <w:rPr>
          <w:color w:val="auto"/>
          <w:szCs w:val="21"/>
          <w:highlight w:val="none"/>
        </w:rPr>
        <w:t>4）根据合同约定应扣减的其他金额。</w:t>
      </w:r>
    </w:p>
    <w:p w14:paraId="34EC9686">
      <w:pPr>
        <w:spacing w:line="360" w:lineRule="auto"/>
        <w:ind w:firstLine="420" w:firstLineChars="200"/>
        <w:jc w:val="left"/>
        <w:rPr>
          <w:color w:val="auto"/>
          <w:szCs w:val="21"/>
          <w:highlight w:val="none"/>
        </w:rPr>
      </w:pPr>
      <w:r>
        <w:rPr>
          <w:color w:val="auto"/>
          <w:szCs w:val="21"/>
          <w:highlight w:val="none"/>
        </w:rPr>
        <w:t>（3）应当增加的金额：</w:t>
      </w:r>
    </w:p>
    <w:p w14:paraId="0E202141">
      <w:pPr>
        <w:spacing w:line="360" w:lineRule="auto"/>
        <w:ind w:firstLine="420" w:firstLineChars="200"/>
        <w:jc w:val="left"/>
        <w:rPr>
          <w:color w:val="auto"/>
          <w:szCs w:val="21"/>
          <w:highlight w:val="none"/>
        </w:rPr>
      </w:pPr>
      <w:r>
        <w:rPr>
          <w:color w:val="auto"/>
          <w:szCs w:val="21"/>
          <w:highlight w:val="none"/>
        </w:rPr>
        <w:t>1）已完且符合合同约定的甩项工程的价值；</w:t>
      </w:r>
    </w:p>
    <w:p w14:paraId="0F210C7A">
      <w:pPr>
        <w:spacing w:line="360" w:lineRule="auto"/>
        <w:ind w:firstLine="420" w:firstLineChars="200"/>
        <w:jc w:val="left"/>
        <w:rPr>
          <w:color w:val="auto"/>
          <w:szCs w:val="21"/>
          <w:highlight w:val="none"/>
        </w:rPr>
      </w:pPr>
      <w:r>
        <w:rPr>
          <w:color w:val="auto"/>
          <w:szCs w:val="21"/>
          <w:highlight w:val="none"/>
        </w:rPr>
        <w:t>2）按合同条款约定由承包人修复的发包人原因造成的缺陷的价值；</w:t>
      </w:r>
    </w:p>
    <w:p w14:paraId="641D4792">
      <w:pPr>
        <w:spacing w:line="400" w:lineRule="exact"/>
        <w:ind w:firstLine="420" w:firstLineChars="200"/>
        <w:jc w:val="left"/>
        <w:rPr>
          <w:color w:val="auto"/>
          <w:szCs w:val="21"/>
          <w:highlight w:val="none"/>
        </w:rPr>
      </w:pPr>
      <w:r>
        <w:rPr>
          <w:color w:val="auto"/>
          <w:szCs w:val="21"/>
          <w:highlight w:val="none"/>
        </w:rPr>
        <w:t>3）根据合同条款应增加的缺陷责任期内发生的承包人索赔金额；</w:t>
      </w:r>
    </w:p>
    <w:p w14:paraId="134D971E">
      <w:pPr>
        <w:spacing w:line="400" w:lineRule="exact"/>
        <w:ind w:firstLine="420" w:firstLineChars="200"/>
        <w:jc w:val="left"/>
        <w:rPr>
          <w:color w:val="auto"/>
          <w:szCs w:val="21"/>
          <w:highlight w:val="none"/>
        </w:rPr>
      </w:pPr>
      <w:r>
        <w:rPr>
          <w:color w:val="auto"/>
          <w:szCs w:val="21"/>
          <w:highlight w:val="none"/>
        </w:rPr>
        <w:t>4）根据合同约定承包人应当得到的其他金额。</w:t>
      </w:r>
    </w:p>
    <w:p w14:paraId="76CD945E">
      <w:pPr>
        <w:spacing w:line="400" w:lineRule="exact"/>
        <w:ind w:firstLine="420" w:firstLineChars="200"/>
        <w:jc w:val="left"/>
        <w:rPr>
          <w:color w:val="auto"/>
          <w:szCs w:val="21"/>
          <w:highlight w:val="none"/>
        </w:rPr>
      </w:pPr>
      <w:r>
        <w:rPr>
          <w:color w:val="auto"/>
          <w:szCs w:val="21"/>
          <w:highlight w:val="none"/>
        </w:rPr>
        <w:t>最终结清应当由发包人和承包人按照“多退少补”的原则办理。</w:t>
      </w:r>
    </w:p>
    <w:p w14:paraId="7A819302">
      <w:pPr>
        <w:spacing w:line="400" w:lineRule="exact"/>
        <w:ind w:firstLine="420" w:firstLineChars="200"/>
        <w:jc w:val="left"/>
        <w:rPr>
          <w:color w:val="auto"/>
          <w:szCs w:val="21"/>
          <w:highlight w:val="none"/>
        </w:rPr>
      </w:pPr>
      <w:r>
        <w:rPr>
          <w:color w:val="auto"/>
          <w:szCs w:val="21"/>
          <w:highlight w:val="none"/>
        </w:rPr>
        <w:t>14.1.6 竣工付款申请单和最终结清申请单应当比照进度付款申请单的格式准备，并提供相关证明材料。</w:t>
      </w:r>
    </w:p>
    <w:p w14:paraId="27C40E53">
      <w:pPr>
        <w:pStyle w:val="5"/>
        <w:spacing w:line="400" w:lineRule="exact"/>
        <w:rPr>
          <w:rFonts w:ascii="Times New Roman" w:hAnsi="Times New Roman" w:eastAsia="黑体"/>
          <w:b w:val="0"/>
          <w:bCs w:val="0"/>
          <w:color w:val="auto"/>
          <w:sz w:val="24"/>
          <w:highlight w:val="none"/>
        </w:rPr>
      </w:pPr>
      <w:bookmarkStart w:id="1147" w:name="_Toc300678550"/>
      <w:r>
        <w:rPr>
          <w:rFonts w:ascii="Times New Roman" w:hAnsi="Times New Roman" w:eastAsia="黑体"/>
          <w:b w:val="0"/>
          <w:bCs w:val="0"/>
          <w:color w:val="auto"/>
          <w:sz w:val="24"/>
          <w:highlight w:val="none"/>
        </w:rPr>
        <w:t>14.2 其他约定</w:t>
      </w:r>
      <w:bookmarkEnd w:id="1147"/>
    </w:p>
    <w:p w14:paraId="072A95CA">
      <w:pPr>
        <w:spacing w:line="400" w:lineRule="exact"/>
        <w:ind w:firstLine="420" w:firstLineChars="200"/>
        <w:jc w:val="left"/>
        <w:rPr>
          <w:color w:val="auto"/>
          <w:szCs w:val="21"/>
          <w:highlight w:val="none"/>
        </w:rPr>
      </w:pPr>
      <w:r>
        <w:rPr>
          <w:color w:val="auto"/>
          <w:szCs w:val="21"/>
          <w:highlight w:val="none"/>
        </w:rPr>
        <w:t>其他约定内容：</w:t>
      </w:r>
      <w:r>
        <w:rPr>
          <w:color w:val="auto"/>
          <w:szCs w:val="21"/>
          <w:highlight w:val="none"/>
          <w:u w:val="single"/>
        </w:rPr>
        <w:t xml:space="preserve">     </w:t>
      </w:r>
      <w:r>
        <w:rPr>
          <w:color w:val="auto"/>
          <w:szCs w:val="21"/>
          <w:highlight w:val="none"/>
        </w:rPr>
        <w:t>。</w:t>
      </w:r>
    </w:p>
    <w:p w14:paraId="314DB106">
      <w:pPr>
        <w:pStyle w:val="4"/>
        <w:keepNext/>
        <w:keepLines/>
        <w:widowControl w:val="0"/>
        <w:spacing w:line="400" w:lineRule="exact"/>
        <w:jc w:val="left"/>
        <w:rPr>
          <w:rFonts w:eastAsia="黑体"/>
          <w:b w:val="0"/>
          <w:bCs w:val="0"/>
          <w:color w:val="auto"/>
          <w:sz w:val="28"/>
          <w:szCs w:val="28"/>
          <w:highlight w:val="none"/>
        </w:rPr>
      </w:pPr>
      <w:bookmarkStart w:id="1148" w:name="_Toc211498746"/>
      <w:bookmarkStart w:id="1149" w:name="_Toc300678551"/>
      <w:bookmarkStart w:id="1150" w:name="_Toc9178566"/>
      <w:bookmarkStart w:id="1151" w:name="_Toc80006249"/>
      <w:bookmarkStart w:id="1152" w:name="_Toc80006139"/>
      <w:bookmarkStart w:id="1153" w:name="_Toc79998869"/>
      <w:bookmarkStart w:id="1154" w:name="_Toc79998425"/>
      <w:r>
        <w:rPr>
          <w:rFonts w:eastAsia="黑体"/>
          <w:b w:val="0"/>
          <w:bCs w:val="0"/>
          <w:color w:val="auto"/>
          <w:sz w:val="28"/>
          <w:szCs w:val="28"/>
          <w:highlight w:val="none"/>
        </w:rPr>
        <w:t>15.竣工验收和工程移交</w:t>
      </w:r>
      <w:bookmarkEnd w:id="1148"/>
      <w:bookmarkEnd w:id="1149"/>
      <w:bookmarkEnd w:id="1150"/>
      <w:bookmarkEnd w:id="1151"/>
      <w:bookmarkEnd w:id="1152"/>
      <w:bookmarkEnd w:id="1153"/>
      <w:bookmarkEnd w:id="1154"/>
    </w:p>
    <w:p w14:paraId="4218EE81">
      <w:pPr>
        <w:pStyle w:val="5"/>
        <w:spacing w:line="400" w:lineRule="exact"/>
        <w:rPr>
          <w:rFonts w:ascii="Times New Roman" w:hAnsi="Times New Roman" w:eastAsia="黑体"/>
          <w:b w:val="0"/>
          <w:bCs w:val="0"/>
          <w:color w:val="auto"/>
          <w:sz w:val="24"/>
          <w:highlight w:val="none"/>
        </w:rPr>
      </w:pPr>
      <w:bookmarkStart w:id="1155" w:name="_Toc300678552"/>
      <w:r>
        <w:rPr>
          <w:rFonts w:ascii="Times New Roman" w:hAnsi="Times New Roman" w:eastAsia="黑体"/>
          <w:b w:val="0"/>
          <w:bCs w:val="0"/>
          <w:color w:val="auto"/>
          <w:sz w:val="24"/>
          <w:highlight w:val="none"/>
        </w:rPr>
        <w:t>15.1 竣工验收前的清理</w:t>
      </w:r>
      <w:bookmarkEnd w:id="1155"/>
    </w:p>
    <w:p w14:paraId="61989E8B">
      <w:pPr>
        <w:spacing w:line="400" w:lineRule="exact"/>
        <w:ind w:firstLine="420" w:firstLineChars="200"/>
        <w:jc w:val="left"/>
        <w:rPr>
          <w:color w:val="auto"/>
          <w:szCs w:val="21"/>
          <w:highlight w:val="none"/>
        </w:rPr>
      </w:pPr>
      <w:r>
        <w:rPr>
          <w:color w:val="auto"/>
          <w:szCs w:val="21"/>
          <w:highlight w:val="none"/>
        </w:rPr>
        <w:t>15.1.1 在向监理人提交竣工验收申请报告前，承包人应当完成竣工验收前的清理工作，包括但不限于：</w:t>
      </w:r>
    </w:p>
    <w:p w14:paraId="2E50EB15">
      <w:pPr>
        <w:spacing w:line="400" w:lineRule="exact"/>
        <w:ind w:firstLine="420" w:firstLineChars="200"/>
        <w:jc w:val="left"/>
        <w:rPr>
          <w:color w:val="auto"/>
          <w:szCs w:val="21"/>
          <w:highlight w:val="none"/>
        </w:rPr>
      </w:pPr>
      <w:r>
        <w:rPr>
          <w:color w:val="auto"/>
          <w:szCs w:val="21"/>
          <w:highlight w:val="none"/>
        </w:rPr>
        <w:t>（1）从永久工程内清除所有剩余材料、杂物、垃圾等等；</w:t>
      </w:r>
    </w:p>
    <w:p w14:paraId="0FA1A692">
      <w:pPr>
        <w:spacing w:line="400" w:lineRule="exact"/>
        <w:ind w:firstLine="420" w:firstLineChars="200"/>
        <w:jc w:val="left"/>
        <w:rPr>
          <w:color w:val="auto"/>
          <w:szCs w:val="21"/>
          <w:highlight w:val="none"/>
        </w:rPr>
      </w:pPr>
      <w:r>
        <w:rPr>
          <w:color w:val="auto"/>
          <w:szCs w:val="21"/>
          <w:highlight w:val="none"/>
        </w:rPr>
        <w:t>（2）清洗工程的所有地面、墙面、楼面、路面等表面；</w:t>
      </w:r>
    </w:p>
    <w:p w14:paraId="3FDE4038">
      <w:pPr>
        <w:spacing w:line="400" w:lineRule="exact"/>
        <w:ind w:firstLine="420" w:firstLineChars="200"/>
        <w:jc w:val="left"/>
        <w:rPr>
          <w:color w:val="auto"/>
          <w:szCs w:val="21"/>
          <w:highlight w:val="none"/>
        </w:rPr>
      </w:pPr>
      <w:r>
        <w:rPr>
          <w:color w:val="auto"/>
          <w:szCs w:val="21"/>
          <w:highlight w:val="none"/>
        </w:rPr>
        <w:t>（3）清洗和擦洗所有玻璃、磁砖、石材和所有金属面；</w:t>
      </w:r>
    </w:p>
    <w:p w14:paraId="7C0EFD9A">
      <w:pPr>
        <w:spacing w:line="400" w:lineRule="exact"/>
        <w:ind w:firstLine="420" w:firstLineChars="200"/>
        <w:jc w:val="left"/>
        <w:rPr>
          <w:color w:val="auto"/>
          <w:szCs w:val="21"/>
          <w:highlight w:val="none"/>
        </w:rPr>
      </w:pPr>
      <w:r>
        <w:rPr>
          <w:color w:val="auto"/>
          <w:szCs w:val="21"/>
          <w:highlight w:val="none"/>
        </w:rPr>
        <w:t>（4）修缮所有损坏、清除所有污迹、替换所有需更换的材料；</w:t>
      </w:r>
    </w:p>
    <w:p w14:paraId="7C107F67">
      <w:pPr>
        <w:spacing w:line="400" w:lineRule="exact"/>
        <w:ind w:firstLine="420" w:firstLineChars="200"/>
        <w:jc w:val="left"/>
        <w:rPr>
          <w:color w:val="auto"/>
          <w:szCs w:val="21"/>
          <w:highlight w:val="none"/>
        </w:rPr>
      </w:pPr>
      <w:r>
        <w:rPr>
          <w:color w:val="auto"/>
          <w:szCs w:val="21"/>
          <w:highlight w:val="none"/>
        </w:rPr>
        <w:t>（5）所有表面完成约定的装修和装饰；</w:t>
      </w:r>
    </w:p>
    <w:p w14:paraId="4CCBA821">
      <w:pPr>
        <w:spacing w:line="400" w:lineRule="exact"/>
        <w:ind w:firstLine="420" w:firstLineChars="200"/>
        <w:jc w:val="left"/>
        <w:rPr>
          <w:color w:val="auto"/>
          <w:szCs w:val="21"/>
          <w:highlight w:val="none"/>
        </w:rPr>
      </w:pPr>
      <w:r>
        <w:rPr>
          <w:color w:val="auto"/>
          <w:szCs w:val="21"/>
          <w:highlight w:val="none"/>
        </w:rPr>
        <w:t>（6）检查和调试所有的门、窗、抽屉等以确保他们开启的顺畅；</w:t>
      </w:r>
    </w:p>
    <w:p w14:paraId="679AF6ED">
      <w:pPr>
        <w:spacing w:line="400" w:lineRule="exact"/>
        <w:ind w:firstLine="420" w:firstLineChars="200"/>
        <w:jc w:val="left"/>
        <w:rPr>
          <w:color w:val="auto"/>
          <w:szCs w:val="21"/>
          <w:highlight w:val="none"/>
        </w:rPr>
      </w:pPr>
      <w:r>
        <w:rPr>
          <w:color w:val="auto"/>
          <w:szCs w:val="21"/>
          <w:highlight w:val="none"/>
        </w:rPr>
        <w:t>（7）检查和调试所有的五金件并上油；</w:t>
      </w:r>
    </w:p>
    <w:p w14:paraId="0D45DBE4">
      <w:pPr>
        <w:spacing w:line="400" w:lineRule="exact"/>
        <w:ind w:firstLine="420" w:firstLineChars="200"/>
        <w:jc w:val="left"/>
        <w:rPr>
          <w:color w:val="auto"/>
          <w:szCs w:val="21"/>
          <w:highlight w:val="none"/>
        </w:rPr>
      </w:pPr>
      <w:r>
        <w:rPr>
          <w:color w:val="auto"/>
          <w:szCs w:val="21"/>
          <w:highlight w:val="none"/>
        </w:rPr>
        <w:t>（8）检查、测试和确保所有服务系统、设施和设备达到良好的运行状态和效果；</w:t>
      </w:r>
    </w:p>
    <w:p w14:paraId="78B36D53">
      <w:pPr>
        <w:spacing w:line="400" w:lineRule="exact"/>
        <w:ind w:firstLine="420" w:firstLineChars="200"/>
        <w:jc w:val="left"/>
        <w:rPr>
          <w:color w:val="auto"/>
          <w:szCs w:val="21"/>
          <w:highlight w:val="none"/>
        </w:rPr>
      </w:pPr>
      <w:r>
        <w:rPr>
          <w:color w:val="auto"/>
          <w:szCs w:val="21"/>
          <w:highlight w:val="none"/>
        </w:rPr>
        <w:t>（9）所有钥匙（如果有）贴上标签并固定到钥匙排上随时可以交给监理人。</w:t>
      </w:r>
    </w:p>
    <w:p w14:paraId="6A5A4302">
      <w:pPr>
        <w:spacing w:line="400" w:lineRule="exact"/>
        <w:ind w:firstLine="420" w:firstLineChars="200"/>
        <w:jc w:val="left"/>
        <w:rPr>
          <w:color w:val="auto"/>
          <w:szCs w:val="21"/>
          <w:highlight w:val="none"/>
        </w:rPr>
      </w:pPr>
      <w:r>
        <w:rPr>
          <w:color w:val="auto"/>
          <w:szCs w:val="21"/>
          <w:highlight w:val="none"/>
        </w:rPr>
        <w:t>15.1.2 清理工作所需费用由承包人承担。</w:t>
      </w:r>
    </w:p>
    <w:p w14:paraId="2B807224">
      <w:pPr>
        <w:pStyle w:val="5"/>
        <w:spacing w:line="400" w:lineRule="exact"/>
        <w:rPr>
          <w:rFonts w:ascii="Times New Roman" w:hAnsi="Times New Roman" w:eastAsia="黑体"/>
          <w:b w:val="0"/>
          <w:bCs w:val="0"/>
          <w:color w:val="auto"/>
          <w:sz w:val="24"/>
          <w:highlight w:val="none"/>
        </w:rPr>
      </w:pPr>
      <w:bookmarkStart w:id="1156" w:name="_Toc300678553"/>
      <w:r>
        <w:rPr>
          <w:rFonts w:ascii="Times New Roman" w:hAnsi="Times New Roman" w:eastAsia="黑体"/>
          <w:b w:val="0"/>
          <w:bCs w:val="0"/>
          <w:color w:val="auto"/>
          <w:sz w:val="24"/>
          <w:highlight w:val="none"/>
        </w:rPr>
        <w:t>15.2 竣工验收申请报告</w:t>
      </w:r>
      <w:bookmarkEnd w:id="1156"/>
    </w:p>
    <w:p w14:paraId="17DDD4A0">
      <w:pPr>
        <w:spacing w:line="400" w:lineRule="exact"/>
        <w:ind w:firstLine="420" w:firstLineChars="200"/>
        <w:jc w:val="left"/>
        <w:rPr>
          <w:color w:val="auto"/>
          <w:szCs w:val="21"/>
          <w:highlight w:val="none"/>
        </w:rPr>
      </w:pPr>
      <w:r>
        <w:rPr>
          <w:color w:val="auto"/>
          <w:szCs w:val="21"/>
          <w:highlight w:val="none"/>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3CB045C7">
      <w:pPr>
        <w:spacing w:line="400" w:lineRule="exact"/>
        <w:ind w:firstLine="420" w:firstLineChars="200"/>
        <w:jc w:val="left"/>
        <w:rPr>
          <w:color w:val="auto"/>
          <w:szCs w:val="21"/>
          <w:highlight w:val="none"/>
        </w:rPr>
      </w:pPr>
      <w:r>
        <w:rPr>
          <w:color w:val="auto"/>
          <w:szCs w:val="21"/>
          <w:highlight w:val="none"/>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349F77FD">
      <w:pPr>
        <w:spacing w:line="400" w:lineRule="exact"/>
        <w:ind w:firstLine="420" w:firstLineChars="200"/>
        <w:jc w:val="left"/>
        <w:rPr>
          <w:color w:val="auto"/>
          <w:szCs w:val="21"/>
          <w:highlight w:val="none"/>
        </w:rPr>
      </w:pPr>
      <w:r>
        <w:rPr>
          <w:color w:val="auto"/>
          <w:szCs w:val="21"/>
          <w:highlight w:val="none"/>
        </w:rPr>
        <w:t>15.2.3 竣工验收申请报告应当按合同条款附上下列内容：</w:t>
      </w:r>
    </w:p>
    <w:p w14:paraId="0D1AB88A">
      <w:pPr>
        <w:spacing w:line="400" w:lineRule="exact"/>
        <w:ind w:firstLine="460" w:firstLineChars="200"/>
        <w:jc w:val="left"/>
        <w:rPr>
          <w:color w:val="auto"/>
          <w:spacing w:val="10"/>
          <w:szCs w:val="21"/>
          <w:highlight w:val="none"/>
        </w:rPr>
      </w:pPr>
      <w:r>
        <w:rPr>
          <w:color w:val="auto"/>
          <w:spacing w:val="10"/>
          <w:szCs w:val="21"/>
          <w:highlight w:val="none"/>
        </w:rPr>
        <w:t>（1）承包人的自行检查和评定记录文件，即除监理人同意列入缺陷责任期内完成的尾 工（甩项）工程和缺陷修补工作外，合同范围内的全部单位工程以及有关工作，包 括合同要求的试验、试运行以及检验和验收均已完成，并符合合同要求；</w:t>
      </w:r>
    </w:p>
    <w:p w14:paraId="20FB7C03">
      <w:pPr>
        <w:spacing w:line="400" w:lineRule="exact"/>
        <w:ind w:firstLine="420" w:firstLineChars="200"/>
        <w:jc w:val="left"/>
        <w:rPr>
          <w:color w:val="auto"/>
          <w:szCs w:val="21"/>
          <w:highlight w:val="none"/>
        </w:rPr>
      </w:pPr>
      <w:r>
        <w:rPr>
          <w:color w:val="auto"/>
          <w:szCs w:val="21"/>
          <w:highlight w:val="none"/>
        </w:rPr>
        <w:t>（2）按合同条款约定的内容和份数整理的符合要求的竣工资料；</w:t>
      </w:r>
    </w:p>
    <w:p w14:paraId="60D0CEC8">
      <w:pPr>
        <w:spacing w:line="400" w:lineRule="exact"/>
        <w:ind w:firstLine="420" w:firstLineChars="200"/>
        <w:jc w:val="left"/>
        <w:rPr>
          <w:color w:val="auto"/>
          <w:szCs w:val="21"/>
          <w:highlight w:val="none"/>
        </w:rPr>
      </w:pPr>
      <w:r>
        <w:rPr>
          <w:color w:val="auto"/>
          <w:szCs w:val="21"/>
          <w:highlight w:val="none"/>
        </w:rPr>
        <w:t>（3）按监理人的要求编制了在缺陷责任期内完成的尾工（甩项）工程和缺陷修补工作清单以及相应施工计划；</w:t>
      </w:r>
    </w:p>
    <w:p w14:paraId="60C36221">
      <w:pPr>
        <w:spacing w:line="400" w:lineRule="exact"/>
        <w:ind w:firstLine="420" w:firstLineChars="200"/>
        <w:jc w:val="left"/>
        <w:rPr>
          <w:color w:val="auto"/>
          <w:szCs w:val="21"/>
          <w:highlight w:val="none"/>
        </w:rPr>
      </w:pPr>
      <w:r>
        <w:rPr>
          <w:color w:val="auto"/>
          <w:szCs w:val="21"/>
          <w:highlight w:val="none"/>
        </w:rPr>
        <w:t>（4）监理人要求在竣工验收前应完成的其他工作的证明材料；</w:t>
      </w:r>
    </w:p>
    <w:p w14:paraId="753C98D4">
      <w:pPr>
        <w:spacing w:line="400" w:lineRule="exact"/>
        <w:ind w:firstLine="420" w:firstLineChars="200"/>
        <w:jc w:val="left"/>
        <w:rPr>
          <w:color w:val="auto"/>
          <w:szCs w:val="21"/>
          <w:highlight w:val="none"/>
        </w:rPr>
      </w:pPr>
      <w:r>
        <w:rPr>
          <w:color w:val="auto"/>
          <w:szCs w:val="21"/>
          <w:highlight w:val="none"/>
        </w:rPr>
        <w:t>（5）监理人要求提交的竣工验收资料清单；</w:t>
      </w:r>
    </w:p>
    <w:p w14:paraId="0068C8F6">
      <w:pPr>
        <w:spacing w:line="400" w:lineRule="exact"/>
        <w:ind w:firstLine="420" w:firstLineChars="200"/>
        <w:jc w:val="left"/>
        <w:rPr>
          <w:color w:val="auto"/>
          <w:szCs w:val="21"/>
          <w:highlight w:val="none"/>
        </w:rPr>
      </w:pPr>
      <w:r>
        <w:rPr>
          <w:color w:val="auto"/>
          <w:szCs w:val="21"/>
          <w:highlight w:val="none"/>
        </w:rPr>
        <w:t>（6）合同条款约定的单位工程竣工验收成果和结论文件（如果有）；</w:t>
      </w:r>
    </w:p>
    <w:p w14:paraId="29E8A711">
      <w:pPr>
        <w:spacing w:line="400" w:lineRule="exact"/>
        <w:ind w:firstLine="420" w:firstLineChars="200"/>
        <w:jc w:val="left"/>
        <w:rPr>
          <w:color w:val="auto"/>
          <w:szCs w:val="21"/>
          <w:highlight w:val="none"/>
        </w:rPr>
      </w:pPr>
      <w:r>
        <w:rPr>
          <w:color w:val="auto"/>
          <w:szCs w:val="21"/>
          <w:highlight w:val="none"/>
        </w:rPr>
        <w:t>（7）合同附件约定的质量保修书（此前已经提交的不再提交）；</w:t>
      </w:r>
    </w:p>
    <w:p w14:paraId="566CC5F0">
      <w:pPr>
        <w:spacing w:line="400" w:lineRule="exact"/>
        <w:ind w:firstLine="420" w:firstLineChars="200"/>
        <w:jc w:val="left"/>
        <w:rPr>
          <w:color w:val="auto"/>
          <w:szCs w:val="21"/>
          <w:highlight w:val="none"/>
        </w:rPr>
      </w:pPr>
      <w:r>
        <w:rPr>
          <w:color w:val="auto"/>
          <w:szCs w:val="21"/>
          <w:highlight w:val="none"/>
        </w:rPr>
        <w:t>（8）其他：</w:t>
      </w:r>
      <w:r>
        <w:rPr>
          <w:color w:val="auto"/>
          <w:szCs w:val="21"/>
          <w:highlight w:val="none"/>
          <w:u w:val="single"/>
        </w:rPr>
        <w:t xml:space="preserve">              </w:t>
      </w:r>
      <w:r>
        <w:rPr>
          <w:color w:val="auto"/>
          <w:szCs w:val="21"/>
          <w:highlight w:val="none"/>
        </w:rPr>
        <w:t>。</w:t>
      </w:r>
    </w:p>
    <w:p w14:paraId="034721C0">
      <w:pPr>
        <w:pStyle w:val="5"/>
        <w:spacing w:line="400" w:lineRule="exact"/>
        <w:rPr>
          <w:rFonts w:ascii="Times New Roman" w:hAnsi="Times New Roman" w:eastAsia="黑体"/>
          <w:b w:val="0"/>
          <w:bCs w:val="0"/>
          <w:color w:val="auto"/>
          <w:sz w:val="24"/>
          <w:highlight w:val="none"/>
        </w:rPr>
      </w:pPr>
      <w:bookmarkStart w:id="1157" w:name="_Toc300678554"/>
      <w:r>
        <w:rPr>
          <w:rFonts w:ascii="Times New Roman" w:hAnsi="Times New Roman" w:eastAsia="黑体"/>
          <w:b w:val="0"/>
          <w:bCs w:val="0"/>
          <w:color w:val="auto"/>
          <w:sz w:val="24"/>
          <w:highlight w:val="none"/>
        </w:rPr>
        <w:t>15.3 竣工清场</w:t>
      </w:r>
      <w:bookmarkEnd w:id="1157"/>
    </w:p>
    <w:p w14:paraId="01F325EC">
      <w:pPr>
        <w:spacing w:line="400" w:lineRule="exact"/>
        <w:ind w:firstLine="420" w:firstLineChars="200"/>
        <w:jc w:val="left"/>
        <w:rPr>
          <w:color w:val="auto"/>
          <w:szCs w:val="21"/>
          <w:highlight w:val="none"/>
        </w:rPr>
      </w:pPr>
      <w:r>
        <w:rPr>
          <w:color w:val="auto"/>
          <w:szCs w:val="21"/>
          <w:highlight w:val="none"/>
        </w:rPr>
        <w:t>15.3.1 监理人颁发（出具）工程接收证书后，承包人应在56天内按以下要求对施工场地（现场）进行清理：</w:t>
      </w:r>
    </w:p>
    <w:p w14:paraId="34A27A69">
      <w:pPr>
        <w:spacing w:line="400" w:lineRule="exact"/>
        <w:ind w:firstLine="420" w:firstLineChars="200"/>
        <w:jc w:val="left"/>
        <w:rPr>
          <w:color w:val="auto"/>
          <w:szCs w:val="21"/>
          <w:highlight w:val="none"/>
        </w:rPr>
      </w:pPr>
      <w:r>
        <w:rPr>
          <w:color w:val="auto"/>
          <w:szCs w:val="21"/>
          <w:highlight w:val="none"/>
        </w:rPr>
        <w:t>（1）从施工场地（现场）清除所有杂物和垃圾等等；</w:t>
      </w:r>
    </w:p>
    <w:p w14:paraId="510FA551">
      <w:pPr>
        <w:spacing w:line="400" w:lineRule="exact"/>
        <w:ind w:firstLine="420" w:firstLineChars="200"/>
        <w:jc w:val="left"/>
        <w:rPr>
          <w:color w:val="auto"/>
          <w:szCs w:val="21"/>
          <w:highlight w:val="none"/>
        </w:rPr>
      </w:pPr>
      <w:r>
        <w:rPr>
          <w:color w:val="auto"/>
          <w:szCs w:val="21"/>
          <w:highlight w:val="none"/>
        </w:rPr>
        <w:t>（2）从施工场地现场拆除所有的临时工程和临时设施并恢复地面原状，但经监理人批准的护坡桩、锚杆、塔吊基础和无法拆除的埋入式模板等无法拆除的临时设施除外；</w:t>
      </w:r>
    </w:p>
    <w:p w14:paraId="15792A7E">
      <w:pPr>
        <w:spacing w:line="400" w:lineRule="exact"/>
        <w:ind w:firstLine="420" w:firstLineChars="200"/>
        <w:jc w:val="left"/>
        <w:rPr>
          <w:color w:val="auto"/>
          <w:szCs w:val="21"/>
          <w:highlight w:val="none"/>
        </w:rPr>
      </w:pPr>
      <w:r>
        <w:rPr>
          <w:color w:val="auto"/>
          <w:szCs w:val="21"/>
          <w:highlight w:val="none"/>
        </w:rPr>
        <w:t>（3）撤离所有承包人施工设备和剩余材料（经监理人同意需在缺陷责任期内继续使用的除外）；</w:t>
      </w:r>
    </w:p>
    <w:p w14:paraId="341FD0DB">
      <w:pPr>
        <w:spacing w:line="400" w:lineRule="exact"/>
        <w:ind w:firstLine="420" w:firstLineChars="200"/>
        <w:jc w:val="left"/>
        <w:rPr>
          <w:color w:val="auto"/>
          <w:szCs w:val="21"/>
          <w:highlight w:val="none"/>
        </w:rPr>
      </w:pPr>
      <w:r>
        <w:rPr>
          <w:color w:val="auto"/>
          <w:szCs w:val="21"/>
          <w:highlight w:val="none"/>
        </w:rPr>
        <w:t>（4）监理人指示的其他清场工作。</w:t>
      </w:r>
    </w:p>
    <w:p w14:paraId="08CD95B7">
      <w:pPr>
        <w:pStyle w:val="4"/>
        <w:keepNext/>
        <w:keepLines/>
        <w:widowControl w:val="0"/>
        <w:spacing w:line="400" w:lineRule="exact"/>
        <w:jc w:val="left"/>
        <w:rPr>
          <w:rFonts w:eastAsia="黑体"/>
          <w:b w:val="0"/>
          <w:bCs w:val="0"/>
          <w:color w:val="auto"/>
          <w:sz w:val="28"/>
          <w:szCs w:val="28"/>
          <w:highlight w:val="none"/>
        </w:rPr>
      </w:pPr>
      <w:bookmarkStart w:id="1158" w:name="_Toc79998870"/>
      <w:bookmarkStart w:id="1159" w:name="_Toc79998426"/>
      <w:bookmarkStart w:id="1160" w:name="_Toc80006250"/>
      <w:bookmarkStart w:id="1161" w:name="_Toc9178567"/>
      <w:bookmarkStart w:id="1162" w:name="_Toc80006140"/>
      <w:bookmarkStart w:id="1163" w:name="_Toc211498747"/>
      <w:bookmarkStart w:id="1164" w:name="_Toc300678555"/>
      <w:r>
        <w:rPr>
          <w:rFonts w:eastAsia="黑体"/>
          <w:b w:val="0"/>
          <w:bCs w:val="0"/>
          <w:color w:val="auto"/>
          <w:sz w:val="28"/>
          <w:szCs w:val="28"/>
          <w:highlight w:val="none"/>
        </w:rPr>
        <w:t>16.</w:t>
      </w:r>
      <w:r>
        <w:rPr>
          <w:rFonts w:hint="eastAsia" w:eastAsia="黑体"/>
          <w:b w:val="0"/>
          <w:bCs w:val="0"/>
          <w:color w:val="auto"/>
          <w:sz w:val="28"/>
          <w:szCs w:val="28"/>
          <w:highlight w:val="none"/>
        </w:rPr>
        <w:t>其他</w:t>
      </w:r>
      <w:bookmarkEnd w:id="1158"/>
      <w:bookmarkEnd w:id="1159"/>
      <w:bookmarkEnd w:id="1160"/>
      <w:bookmarkEnd w:id="1161"/>
      <w:bookmarkEnd w:id="1162"/>
      <w:bookmarkEnd w:id="1163"/>
    </w:p>
    <w:bookmarkEnd w:id="1164"/>
    <w:p w14:paraId="341832CB">
      <w:pPr>
        <w:spacing w:line="360" w:lineRule="auto"/>
        <w:ind w:firstLine="420" w:firstLineChars="200"/>
        <w:jc w:val="left"/>
        <w:rPr>
          <w:color w:val="auto"/>
          <w:szCs w:val="21"/>
          <w:highlight w:val="none"/>
        </w:rPr>
      </w:pPr>
      <w:bookmarkStart w:id="1165" w:name="_Toc300678556"/>
    </w:p>
    <w:p w14:paraId="64ECF373">
      <w:pPr>
        <w:spacing w:line="360" w:lineRule="auto"/>
        <w:ind w:firstLine="420" w:firstLineChars="200"/>
        <w:jc w:val="left"/>
        <w:rPr>
          <w:color w:val="auto"/>
          <w:szCs w:val="21"/>
          <w:highlight w:val="none"/>
        </w:rPr>
      </w:pPr>
    </w:p>
    <w:p w14:paraId="3BF45C90">
      <w:pPr>
        <w:pStyle w:val="3"/>
        <w:spacing w:before="0" w:after="0" w:line="360" w:lineRule="auto"/>
        <w:jc w:val="center"/>
        <w:rPr>
          <w:rFonts w:ascii="Times New Roman" w:hAnsi="Times New Roman" w:eastAsia="黑体"/>
          <w:b w:val="0"/>
          <w:bCs w:val="0"/>
          <w:color w:val="auto"/>
          <w:sz w:val="30"/>
          <w:highlight w:val="none"/>
        </w:rPr>
      </w:pPr>
      <w:bookmarkStart w:id="1166" w:name="_Toc80006141"/>
      <w:bookmarkStart w:id="1167" w:name="_Toc211498748"/>
      <w:r>
        <w:rPr>
          <w:rFonts w:ascii="Times New Roman" w:hAnsi="Times New Roman" w:eastAsia="黑体"/>
          <w:b w:val="0"/>
          <w:bCs w:val="0"/>
          <w:color w:val="auto"/>
          <w:sz w:val="30"/>
          <w:highlight w:val="none"/>
        </w:rPr>
        <w:t>第二节  特殊技术标准和要求</w:t>
      </w:r>
      <w:bookmarkEnd w:id="1165"/>
      <w:bookmarkEnd w:id="1166"/>
      <w:bookmarkEnd w:id="1167"/>
    </w:p>
    <w:p w14:paraId="4C27383E">
      <w:pPr>
        <w:pStyle w:val="4"/>
        <w:keepNext/>
        <w:keepLines/>
        <w:widowControl w:val="0"/>
        <w:jc w:val="left"/>
        <w:rPr>
          <w:rFonts w:eastAsia="黑体"/>
          <w:b w:val="0"/>
          <w:bCs w:val="0"/>
          <w:color w:val="auto"/>
          <w:sz w:val="28"/>
          <w:szCs w:val="28"/>
          <w:highlight w:val="none"/>
        </w:rPr>
      </w:pPr>
      <w:bookmarkStart w:id="1168" w:name="_Toc211498749"/>
      <w:bookmarkStart w:id="1169" w:name="_Toc300678557"/>
      <w:bookmarkStart w:id="1170" w:name="_Toc80006252"/>
      <w:bookmarkStart w:id="1171" w:name="_Toc9178569"/>
      <w:bookmarkStart w:id="1172" w:name="_Toc80006142"/>
      <w:r>
        <w:rPr>
          <w:rFonts w:eastAsia="黑体"/>
          <w:b w:val="0"/>
          <w:bCs w:val="0"/>
          <w:color w:val="auto"/>
          <w:sz w:val="28"/>
          <w:szCs w:val="28"/>
          <w:highlight w:val="none"/>
        </w:rPr>
        <w:t>1.材料和工程设备技术要求</w:t>
      </w:r>
      <w:bookmarkEnd w:id="1168"/>
      <w:bookmarkEnd w:id="1169"/>
      <w:bookmarkEnd w:id="1170"/>
      <w:bookmarkEnd w:id="1171"/>
      <w:bookmarkEnd w:id="1172"/>
    </w:p>
    <w:p w14:paraId="468813E9">
      <w:pPr>
        <w:spacing w:line="360" w:lineRule="auto"/>
        <w:ind w:firstLine="420" w:firstLineChars="200"/>
        <w:jc w:val="left"/>
        <w:rPr>
          <w:color w:val="auto"/>
          <w:szCs w:val="21"/>
          <w:highlight w:val="none"/>
        </w:rPr>
      </w:pPr>
      <w:r>
        <w:rPr>
          <w:color w:val="auto"/>
          <w:szCs w:val="21"/>
          <w:highlight w:val="none"/>
        </w:rPr>
        <w:t>1.1 承包人自行施工范围内的部分材料和工程设备技术要求如下：</w:t>
      </w:r>
      <w:r>
        <w:rPr>
          <w:color w:val="auto"/>
          <w:szCs w:val="21"/>
          <w:highlight w:val="none"/>
          <w:u w:val="single"/>
        </w:rPr>
        <w:t xml:space="preserve">     </w:t>
      </w:r>
      <w:r>
        <w:rPr>
          <w:color w:val="auto"/>
          <w:szCs w:val="21"/>
          <w:highlight w:val="none"/>
        </w:rPr>
        <w:t>。</w:t>
      </w:r>
    </w:p>
    <w:p w14:paraId="1190F830">
      <w:pPr>
        <w:spacing w:line="360" w:lineRule="auto"/>
        <w:ind w:firstLine="420" w:firstLineChars="200"/>
        <w:jc w:val="left"/>
        <w:rPr>
          <w:color w:val="auto"/>
          <w:szCs w:val="21"/>
          <w:highlight w:val="none"/>
        </w:rPr>
      </w:pPr>
      <w:r>
        <w:rPr>
          <w:color w:val="auto"/>
          <w:szCs w:val="21"/>
          <w:highlight w:val="none"/>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50411D93">
      <w:pPr>
        <w:spacing w:line="360" w:lineRule="auto"/>
        <w:ind w:firstLine="420" w:firstLineChars="200"/>
        <w:jc w:val="left"/>
        <w:rPr>
          <w:color w:val="auto"/>
          <w:szCs w:val="21"/>
          <w:highlight w:val="none"/>
        </w:rPr>
      </w:pPr>
      <w:r>
        <w:rPr>
          <w:color w:val="auto"/>
          <w:szCs w:val="21"/>
          <w:highlight w:val="none"/>
        </w:rPr>
        <w:t>1.2 承包人自行施工范围内的材料和工程设备选型允许的偏离如下：</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146"/>
        <w:gridCol w:w="1766"/>
        <w:gridCol w:w="1766"/>
        <w:gridCol w:w="1470"/>
      </w:tblGrid>
      <w:tr w14:paraId="7B84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75" w:type="dxa"/>
            <w:vAlign w:val="center"/>
          </w:tcPr>
          <w:p w14:paraId="1346506E">
            <w:pPr>
              <w:jc w:val="center"/>
              <w:rPr>
                <w:rFonts w:ascii="Calibri" w:hAnsi="Calibri" w:cs="Calibri"/>
                <w:color w:val="auto"/>
                <w:sz w:val="18"/>
                <w:szCs w:val="21"/>
                <w:highlight w:val="none"/>
              </w:rPr>
            </w:pPr>
            <w:r>
              <w:rPr>
                <w:rFonts w:ascii="Calibri" w:hAnsi="Calibri" w:cs="Calibri"/>
                <w:color w:val="auto"/>
                <w:sz w:val="18"/>
                <w:szCs w:val="21"/>
                <w:highlight w:val="none"/>
              </w:rPr>
              <w:t>序号</w:t>
            </w:r>
          </w:p>
        </w:tc>
        <w:tc>
          <w:tcPr>
            <w:tcW w:w="2146" w:type="dxa"/>
            <w:vAlign w:val="center"/>
          </w:tcPr>
          <w:p w14:paraId="6C286C40">
            <w:pPr>
              <w:jc w:val="center"/>
              <w:rPr>
                <w:rFonts w:ascii="Calibri" w:hAnsi="Calibri" w:cs="Calibri"/>
                <w:color w:val="auto"/>
                <w:sz w:val="18"/>
                <w:szCs w:val="21"/>
                <w:highlight w:val="none"/>
              </w:rPr>
            </w:pPr>
            <w:r>
              <w:rPr>
                <w:rFonts w:ascii="Calibri" w:hAnsi="Calibri" w:cs="Calibri"/>
                <w:color w:val="auto"/>
                <w:sz w:val="18"/>
                <w:szCs w:val="21"/>
                <w:highlight w:val="none"/>
              </w:rPr>
              <w:t>材料和工程设备</w:t>
            </w:r>
          </w:p>
          <w:p w14:paraId="60598C9E">
            <w:pPr>
              <w:jc w:val="center"/>
              <w:rPr>
                <w:rFonts w:ascii="Calibri" w:hAnsi="Calibri" w:cs="Calibri"/>
                <w:color w:val="auto"/>
                <w:sz w:val="18"/>
                <w:szCs w:val="21"/>
                <w:highlight w:val="none"/>
              </w:rPr>
            </w:pPr>
            <w:r>
              <w:rPr>
                <w:rFonts w:ascii="Calibri" w:hAnsi="Calibri" w:cs="Calibri"/>
                <w:color w:val="auto"/>
                <w:sz w:val="18"/>
                <w:szCs w:val="21"/>
                <w:highlight w:val="none"/>
              </w:rPr>
              <w:t>名称</w:t>
            </w:r>
          </w:p>
        </w:tc>
        <w:tc>
          <w:tcPr>
            <w:tcW w:w="1766" w:type="dxa"/>
            <w:vAlign w:val="center"/>
          </w:tcPr>
          <w:p w14:paraId="710C0817">
            <w:pPr>
              <w:jc w:val="center"/>
              <w:rPr>
                <w:rFonts w:ascii="Calibri" w:hAnsi="Calibri" w:cs="Calibri"/>
                <w:color w:val="auto"/>
                <w:sz w:val="18"/>
                <w:szCs w:val="21"/>
                <w:highlight w:val="none"/>
              </w:rPr>
            </w:pPr>
            <w:r>
              <w:rPr>
                <w:rFonts w:ascii="Calibri" w:hAnsi="Calibri" w:cs="Calibri"/>
                <w:color w:val="auto"/>
                <w:sz w:val="18"/>
                <w:szCs w:val="21"/>
                <w:highlight w:val="none"/>
              </w:rPr>
              <w:t>技术指标</w:t>
            </w:r>
          </w:p>
        </w:tc>
        <w:tc>
          <w:tcPr>
            <w:tcW w:w="1766" w:type="dxa"/>
            <w:vAlign w:val="center"/>
          </w:tcPr>
          <w:p w14:paraId="366D3258">
            <w:pPr>
              <w:jc w:val="center"/>
              <w:rPr>
                <w:rFonts w:ascii="Calibri" w:hAnsi="Calibri" w:cs="Calibri"/>
                <w:color w:val="auto"/>
                <w:sz w:val="18"/>
                <w:szCs w:val="21"/>
                <w:highlight w:val="none"/>
              </w:rPr>
            </w:pPr>
            <w:r>
              <w:rPr>
                <w:rFonts w:ascii="Calibri" w:hAnsi="Calibri" w:cs="Calibri"/>
                <w:color w:val="auto"/>
                <w:sz w:val="18"/>
                <w:szCs w:val="21"/>
                <w:highlight w:val="none"/>
              </w:rPr>
              <w:t>允许偏离范围</w:t>
            </w:r>
          </w:p>
        </w:tc>
        <w:tc>
          <w:tcPr>
            <w:tcW w:w="1470" w:type="dxa"/>
            <w:vAlign w:val="center"/>
          </w:tcPr>
          <w:p w14:paraId="4F12637D">
            <w:pPr>
              <w:jc w:val="center"/>
              <w:rPr>
                <w:rFonts w:ascii="Calibri" w:hAnsi="Calibri" w:cs="Calibri"/>
                <w:color w:val="auto"/>
                <w:sz w:val="18"/>
                <w:szCs w:val="21"/>
                <w:highlight w:val="none"/>
              </w:rPr>
            </w:pPr>
            <w:r>
              <w:rPr>
                <w:rFonts w:ascii="Calibri" w:hAnsi="Calibri" w:cs="Calibri"/>
                <w:color w:val="auto"/>
                <w:sz w:val="18"/>
                <w:szCs w:val="21"/>
                <w:highlight w:val="none"/>
              </w:rPr>
              <w:t>备    注</w:t>
            </w:r>
          </w:p>
        </w:tc>
      </w:tr>
      <w:tr w14:paraId="29E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vAlign w:val="center"/>
          </w:tcPr>
          <w:p w14:paraId="63FB10AE">
            <w:pPr>
              <w:spacing w:line="360" w:lineRule="auto"/>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2146" w:type="dxa"/>
            <w:vAlign w:val="center"/>
          </w:tcPr>
          <w:p w14:paraId="15FE211C">
            <w:pPr>
              <w:spacing w:line="360" w:lineRule="auto"/>
              <w:jc w:val="center"/>
              <w:rPr>
                <w:rFonts w:ascii="Calibri" w:hAnsi="Calibri" w:cs="Calibri"/>
                <w:color w:val="auto"/>
                <w:sz w:val="18"/>
                <w:szCs w:val="21"/>
                <w:highlight w:val="none"/>
              </w:rPr>
            </w:pPr>
          </w:p>
        </w:tc>
        <w:tc>
          <w:tcPr>
            <w:tcW w:w="1766" w:type="dxa"/>
            <w:vAlign w:val="center"/>
          </w:tcPr>
          <w:p w14:paraId="46DDE1AC">
            <w:pPr>
              <w:spacing w:line="360" w:lineRule="auto"/>
              <w:jc w:val="center"/>
              <w:rPr>
                <w:rFonts w:ascii="Calibri" w:hAnsi="Calibri" w:cs="Calibri"/>
                <w:color w:val="auto"/>
                <w:sz w:val="18"/>
                <w:szCs w:val="21"/>
                <w:highlight w:val="none"/>
              </w:rPr>
            </w:pPr>
          </w:p>
        </w:tc>
        <w:tc>
          <w:tcPr>
            <w:tcW w:w="1766" w:type="dxa"/>
            <w:vAlign w:val="center"/>
          </w:tcPr>
          <w:p w14:paraId="6957C393">
            <w:pPr>
              <w:spacing w:line="360" w:lineRule="auto"/>
              <w:jc w:val="center"/>
              <w:rPr>
                <w:rFonts w:ascii="Calibri" w:hAnsi="Calibri" w:cs="Calibri"/>
                <w:color w:val="auto"/>
                <w:sz w:val="18"/>
                <w:szCs w:val="21"/>
                <w:highlight w:val="none"/>
              </w:rPr>
            </w:pPr>
          </w:p>
        </w:tc>
        <w:tc>
          <w:tcPr>
            <w:tcW w:w="1470" w:type="dxa"/>
            <w:vAlign w:val="center"/>
          </w:tcPr>
          <w:p w14:paraId="0FD84ABC">
            <w:pPr>
              <w:spacing w:line="360" w:lineRule="auto"/>
              <w:jc w:val="center"/>
              <w:rPr>
                <w:rFonts w:ascii="Calibri" w:hAnsi="Calibri" w:cs="Calibri"/>
                <w:color w:val="auto"/>
                <w:sz w:val="18"/>
                <w:szCs w:val="21"/>
                <w:highlight w:val="none"/>
              </w:rPr>
            </w:pPr>
          </w:p>
        </w:tc>
      </w:tr>
      <w:tr w14:paraId="39C6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vAlign w:val="center"/>
          </w:tcPr>
          <w:p w14:paraId="60F68BFF">
            <w:pPr>
              <w:spacing w:line="360" w:lineRule="auto"/>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2146" w:type="dxa"/>
            <w:vAlign w:val="center"/>
          </w:tcPr>
          <w:p w14:paraId="39B04704">
            <w:pPr>
              <w:spacing w:line="360" w:lineRule="auto"/>
              <w:jc w:val="center"/>
              <w:rPr>
                <w:rFonts w:ascii="Calibri" w:hAnsi="Calibri" w:cs="Calibri"/>
                <w:color w:val="auto"/>
                <w:sz w:val="18"/>
                <w:szCs w:val="21"/>
                <w:highlight w:val="none"/>
              </w:rPr>
            </w:pPr>
          </w:p>
        </w:tc>
        <w:tc>
          <w:tcPr>
            <w:tcW w:w="1766" w:type="dxa"/>
            <w:vAlign w:val="center"/>
          </w:tcPr>
          <w:p w14:paraId="5DD1F43D">
            <w:pPr>
              <w:spacing w:line="360" w:lineRule="auto"/>
              <w:jc w:val="center"/>
              <w:rPr>
                <w:rFonts w:ascii="Calibri" w:hAnsi="Calibri" w:cs="Calibri"/>
                <w:color w:val="auto"/>
                <w:sz w:val="18"/>
                <w:szCs w:val="21"/>
                <w:highlight w:val="none"/>
              </w:rPr>
            </w:pPr>
          </w:p>
        </w:tc>
        <w:tc>
          <w:tcPr>
            <w:tcW w:w="1766" w:type="dxa"/>
            <w:vAlign w:val="center"/>
          </w:tcPr>
          <w:p w14:paraId="67E0BFF1">
            <w:pPr>
              <w:spacing w:line="360" w:lineRule="auto"/>
              <w:jc w:val="center"/>
              <w:rPr>
                <w:rFonts w:ascii="Calibri" w:hAnsi="Calibri" w:cs="Calibri"/>
                <w:color w:val="auto"/>
                <w:sz w:val="18"/>
                <w:szCs w:val="21"/>
                <w:highlight w:val="none"/>
              </w:rPr>
            </w:pPr>
          </w:p>
        </w:tc>
        <w:tc>
          <w:tcPr>
            <w:tcW w:w="1470" w:type="dxa"/>
            <w:vAlign w:val="center"/>
          </w:tcPr>
          <w:p w14:paraId="31E2E575">
            <w:pPr>
              <w:spacing w:line="360" w:lineRule="auto"/>
              <w:jc w:val="center"/>
              <w:rPr>
                <w:rFonts w:ascii="Calibri" w:hAnsi="Calibri" w:cs="Calibri"/>
                <w:color w:val="auto"/>
                <w:sz w:val="18"/>
                <w:szCs w:val="21"/>
                <w:highlight w:val="none"/>
              </w:rPr>
            </w:pPr>
          </w:p>
        </w:tc>
      </w:tr>
      <w:tr w14:paraId="6A7A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vAlign w:val="center"/>
          </w:tcPr>
          <w:p w14:paraId="62C381FE">
            <w:pPr>
              <w:spacing w:line="360" w:lineRule="auto"/>
              <w:jc w:val="center"/>
              <w:rPr>
                <w:rFonts w:ascii="Calibri" w:hAnsi="Calibri" w:cs="Calibri"/>
                <w:color w:val="auto"/>
                <w:sz w:val="18"/>
                <w:szCs w:val="21"/>
                <w:highlight w:val="none"/>
              </w:rPr>
            </w:pPr>
            <w:r>
              <w:rPr>
                <w:rFonts w:ascii="Calibri" w:hAnsi="Calibri" w:cs="Calibri"/>
                <w:color w:val="auto"/>
                <w:sz w:val="18"/>
                <w:szCs w:val="21"/>
                <w:highlight w:val="none"/>
              </w:rPr>
              <w:t>……</w:t>
            </w:r>
          </w:p>
        </w:tc>
        <w:tc>
          <w:tcPr>
            <w:tcW w:w="2146" w:type="dxa"/>
            <w:vAlign w:val="center"/>
          </w:tcPr>
          <w:p w14:paraId="7A91F0C2">
            <w:pPr>
              <w:spacing w:line="360" w:lineRule="auto"/>
              <w:jc w:val="center"/>
              <w:rPr>
                <w:rFonts w:ascii="Calibri" w:hAnsi="Calibri" w:cs="Calibri"/>
                <w:color w:val="auto"/>
                <w:sz w:val="18"/>
                <w:szCs w:val="21"/>
                <w:highlight w:val="none"/>
              </w:rPr>
            </w:pPr>
          </w:p>
        </w:tc>
        <w:tc>
          <w:tcPr>
            <w:tcW w:w="1766" w:type="dxa"/>
            <w:vAlign w:val="center"/>
          </w:tcPr>
          <w:p w14:paraId="7092A3EA">
            <w:pPr>
              <w:spacing w:line="360" w:lineRule="auto"/>
              <w:jc w:val="center"/>
              <w:rPr>
                <w:rFonts w:ascii="Calibri" w:hAnsi="Calibri" w:cs="Calibri"/>
                <w:color w:val="auto"/>
                <w:sz w:val="18"/>
                <w:szCs w:val="21"/>
                <w:highlight w:val="none"/>
              </w:rPr>
            </w:pPr>
          </w:p>
        </w:tc>
        <w:tc>
          <w:tcPr>
            <w:tcW w:w="1766" w:type="dxa"/>
            <w:vAlign w:val="center"/>
          </w:tcPr>
          <w:p w14:paraId="4874CB39">
            <w:pPr>
              <w:spacing w:line="360" w:lineRule="auto"/>
              <w:jc w:val="center"/>
              <w:rPr>
                <w:rFonts w:ascii="Calibri" w:hAnsi="Calibri" w:cs="Calibri"/>
                <w:color w:val="auto"/>
                <w:sz w:val="18"/>
                <w:szCs w:val="21"/>
                <w:highlight w:val="none"/>
              </w:rPr>
            </w:pPr>
          </w:p>
        </w:tc>
        <w:tc>
          <w:tcPr>
            <w:tcW w:w="1470" w:type="dxa"/>
            <w:vAlign w:val="center"/>
          </w:tcPr>
          <w:p w14:paraId="2F6519CB">
            <w:pPr>
              <w:spacing w:line="360" w:lineRule="auto"/>
              <w:jc w:val="center"/>
              <w:rPr>
                <w:rFonts w:ascii="Calibri" w:hAnsi="Calibri" w:cs="Calibri"/>
                <w:color w:val="auto"/>
                <w:sz w:val="18"/>
                <w:szCs w:val="21"/>
                <w:highlight w:val="none"/>
              </w:rPr>
            </w:pPr>
          </w:p>
        </w:tc>
      </w:tr>
      <w:tr w14:paraId="07E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vAlign w:val="center"/>
          </w:tcPr>
          <w:p w14:paraId="0DB2BA54">
            <w:pPr>
              <w:spacing w:line="360" w:lineRule="auto"/>
              <w:jc w:val="center"/>
              <w:rPr>
                <w:rFonts w:ascii="Calibri" w:hAnsi="Calibri" w:cs="Calibri"/>
                <w:color w:val="auto"/>
                <w:sz w:val="18"/>
                <w:szCs w:val="21"/>
                <w:highlight w:val="none"/>
              </w:rPr>
            </w:pPr>
          </w:p>
        </w:tc>
        <w:tc>
          <w:tcPr>
            <w:tcW w:w="2146" w:type="dxa"/>
            <w:vAlign w:val="center"/>
          </w:tcPr>
          <w:p w14:paraId="6DCDFE3A">
            <w:pPr>
              <w:spacing w:line="360" w:lineRule="auto"/>
              <w:jc w:val="center"/>
              <w:rPr>
                <w:rFonts w:ascii="Calibri" w:hAnsi="Calibri" w:cs="Calibri"/>
                <w:color w:val="auto"/>
                <w:sz w:val="18"/>
                <w:szCs w:val="21"/>
                <w:highlight w:val="none"/>
              </w:rPr>
            </w:pPr>
          </w:p>
        </w:tc>
        <w:tc>
          <w:tcPr>
            <w:tcW w:w="1766" w:type="dxa"/>
            <w:vAlign w:val="center"/>
          </w:tcPr>
          <w:p w14:paraId="4A99C8FA">
            <w:pPr>
              <w:spacing w:line="360" w:lineRule="auto"/>
              <w:jc w:val="center"/>
              <w:rPr>
                <w:rFonts w:ascii="Calibri" w:hAnsi="Calibri" w:cs="Calibri"/>
                <w:color w:val="auto"/>
                <w:sz w:val="18"/>
                <w:szCs w:val="21"/>
                <w:highlight w:val="none"/>
              </w:rPr>
            </w:pPr>
          </w:p>
        </w:tc>
        <w:tc>
          <w:tcPr>
            <w:tcW w:w="1766" w:type="dxa"/>
            <w:vAlign w:val="center"/>
          </w:tcPr>
          <w:p w14:paraId="0B32627A">
            <w:pPr>
              <w:spacing w:line="360" w:lineRule="auto"/>
              <w:jc w:val="center"/>
              <w:rPr>
                <w:rFonts w:ascii="Calibri" w:hAnsi="Calibri" w:cs="Calibri"/>
                <w:color w:val="auto"/>
                <w:sz w:val="18"/>
                <w:szCs w:val="21"/>
                <w:highlight w:val="none"/>
              </w:rPr>
            </w:pPr>
          </w:p>
        </w:tc>
        <w:tc>
          <w:tcPr>
            <w:tcW w:w="1470" w:type="dxa"/>
            <w:vAlign w:val="center"/>
          </w:tcPr>
          <w:p w14:paraId="6DCF68DA">
            <w:pPr>
              <w:spacing w:line="360" w:lineRule="auto"/>
              <w:jc w:val="center"/>
              <w:rPr>
                <w:rFonts w:ascii="Calibri" w:hAnsi="Calibri" w:cs="Calibri"/>
                <w:color w:val="auto"/>
                <w:sz w:val="18"/>
                <w:szCs w:val="21"/>
                <w:highlight w:val="none"/>
              </w:rPr>
            </w:pPr>
          </w:p>
        </w:tc>
      </w:tr>
    </w:tbl>
    <w:p w14:paraId="45133697">
      <w:pPr>
        <w:spacing w:line="360" w:lineRule="auto"/>
        <w:ind w:firstLine="420" w:firstLineChars="200"/>
        <w:jc w:val="left"/>
        <w:rPr>
          <w:color w:val="auto"/>
          <w:szCs w:val="21"/>
          <w:highlight w:val="none"/>
        </w:rPr>
      </w:pPr>
      <w:r>
        <w:rPr>
          <w:color w:val="auto"/>
          <w:szCs w:val="21"/>
          <w:highlight w:val="none"/>
        </w:rPr>
        <w:t>1.3 本工程施工现场所用混凝土或砂浆的供应方式为</w:t>
      </w:r>
      <w:r>
        <w:rPr>
          <w:color w:val="auto"/>
          <w:szCs w:val="21"/>
          <w:highlight w:val="none"/>
          <w:u w:val="single"/>
        </w:rPr>
        <w:t xml:space="preserve">     </w:t>
      </w:r>
      <w:r>
        <w:rPr>
          <w:color w:val="auto"/>
          <w:szCs w:val="21"/>
          <w:highlight w:val="none"/>
        </w:rPr>
        <w:t>。</w:t>
      </w:r>
    </w:p>
    <w:p w14:paraId="6B07A386">
      <w:pPr>
        <w:pStyle w:val="4"/>
        <w:keepNext/>
        <w:keepLines/>
        <w:widowControl w:val="0"/>
        <w:jc w:val="left"/>
        <w:rPr>
          <w:rFonts w:eastAsia="黑体"/>
          <w:b w:val="0"/>
          <w:bCs w:val="0"/>
          <w:color w:val="auto"/>
          <w:sz w:val="28"/>
          <w:szCs w:val="28"/>
          <w:highlight w:val="none"/>
        </w:rPr>
      </w:pPr>
      <w:bookmarkStart w:id="1173" w:name="_Toc80006253"/>
      <w:bookmarkStart w:id="1174" w:name="_Toc211498750"/>
      <w:bookmarkStart w:id="1175" w:name="_Toc9178570"/>
      <w:bookmarkStart w:id="1176" w:name="_Toc300678558"/>
      <w:bookmarkStart w:id="1177" w:name="_Toc80006143"/>
      <w:r>
        <w:rPr>
          <w:rFonts w:eastAsia="黑体"/>
          <w:b w:val="0"/>
          <w:bCs w:val="0"/>
          <w:color w:val="auto"/>
          <w:sz w:val="28"/>
          <w:szCs w:val="28"/>
          <w:highlight w:val="none"/>
        </w:rPr>
        <w:t>2.特殊技术要求</w:t>
      </w:r>
      <w:bookmarkEnd w:id="1173"/>
      <w:bookmarkEnd w:id="1174"/>
      <w:bookmarkEnd w:id="1175"/>
      <w:bookmarkEnd w:id="1176"/>
      <w:bookmarkEnd w:id="1177"/>
    </w:p>
    <w:p w14:paraId="3095E960">
      <w:pPr>
        <w:spacing w:line="360" w:lineRule="auto"/>
        <w:ind w:firstLine="420" w:firstLineChars="200"/>
        <w:jc w:val="left"/>
        <w:rPr>
          <w:color w:val="auto"/>
          <w:szCs w:val="21"/>
          <w:highlight w:val="none"/>
        </w:rPr>
      </w:pPr>
      <w:r>
        <w:rPr>
          <w:color w:val="auto"/>
          <w:szCs w:val="21"/>
          <w:highlight w:val="none"/>
        </w:rPr>
        <w:t>2.1 除合同约定的技术要求外，本工程的特殊技术要求如下：</w:t>
      </w:r>
      <w:r>
        <w:rPr>
          <w:color w:val="auto"/>
          <w:szCs w:val="21"/>
          <w:highlight w:val="none"/>
          <w:u w:val="single"/>
        </w:rPr>
        <w:t xml:space="preserve">     </w:t>
      </w:r>
      <w:r>
        <w:rPr>
          <w:color w:val="auto"/>
          <w:szCs w:val="21"/>
          <w:highlight w:val="none"/>
        </w:rPr>
        <w:t>。</w:t>
      </w:r>
    </w:p>
    <w:p w14:paraId="0D371362">
      <w:pPr>
        <w:pStyle w:val="4"/>
        <w:keepNext/>
        <w:keepLines/>
        <w:widowControl w:val="0"/>
        <w:jc w:val="left"/>
        <w:rPr>
          <w:rFonts w:eastAsia="黑体"/>
          <w:b w:val="0"/>
          <w:bCs w:val="0"/>
          <w:color w:val="auto"/>
          <w:sz w:val="28"/>
          <w:szCs w:val="28"/>
          <w:highlight w:val="none"/>
        </w:rPr>
      </w:pPr>
      <w:bookmarkStart w:id="1178" w:name="_Toc80006144"/>
      <w:bookmarkStart w:id="1179" w:name="_Toc300678559"/>
      <w:bookmarkStart w:id="1180" w:name="_Toc9178571"/>
      <w:bookmarkStart w:id="1181" w:name="_Toc80006254"/>
      <w:bookmarkStart w:id="1182" w:name="_Toc211498751"/>
      <w:r>
        <w:rPr>
          <w:rFonts w:eastAsia="黑体"/>
          <w:b w:val="0"/>
          <w:bCs w:val="0"/>
          <w:color w:val="auto"/>
          <w:sz w:val="28"/>
          <w:szCs w:val="28"/>
          <w:highlight w:val="none"/>
        </w:rPr>
        <w:t>3.新技术、新工艺和新材料</w:t>
      </w:r>
      <w:bookmarkEnd w:id="1178"/>
      <w:bookmarkEnd w:id="1179"/>
      <w:bookmarkEnd w:id="1180"/>
      <w:bookmarkEnd w:id="1181"/>
      <w:bookmarkEnd w:id="1182"/>
    </w:p>
    <w:p w14:paraId="45B712CE">
      <w:pPr>
        <w:spacing w:line="360" w:lineRule="auto"/>
        <w:ind w:firstLine="420" w:firstLineChars="200"/>
        <w:jc w:val="left"/>
        <w:rPr>
          <w:color w:val="auto"/>
          <w:szCs w:val="21"/>
          <w:highlight w:val="none"/>
        </w:rPr>
      </w:pPr>
      <w:r>
        <w:rPr>
          <w:color w:val="auto"/>
          <w:szCs w:val="21"/>
          <w:highlight w:val="none"/>
        </w:rPr>
        <w:t>3.1 本工程涉及的新技术、新工艺和新材料及相应使用和操作说明如下：</w:t>
      </w:r>
      <w:r>
        <w:rPr>
          <w:color w:val="auto"/>
          <w:szCs w:val="21"/>
          <w:highlight w:val="none"/>
          <w:u w:val="single"/>
        </w:rPr>
        <w:t xml:space="preserve">     </w:t>
      </w:r>
      <w:r>
        <w:rPr>
          <w:color w:val="auto"/>
          <w:szCs w:val="21"/>
          <w:highlight w:val="none"/>
        </w:rPr>
        <w:t>。</w:t>
      </w:r>
    </w:p>
    <w:p w14:paraId="11E95769">
      <w:pPr>
        <w:pStyle w:val="4"/>
        <w:keepNext/>
        <w:keepLines/>
        <w:widowControl w:val="0"/>
        <w:jc w:val="left"/>
        <w:rPr>
          <w:rFonts w:eastAsia="黑体"/>
          <w:b w:val="0"/>
          <w:bCs w:val="0"/>
          <w:color w:val="auto"/>
          <w:sz w:val="28"/>
          <w:szCs w:val="28"/>
          <w:highlight w:val="none"/>
        </w:rPr>
      </w:pPr>
      <w:bookmarkStart w:id="1183" w:name="_Toc80006256"/>
      <w:bookmarkStart w:id="1184" w:name="_Toc80006146"/>
      <w:bookmarkStart w:id="1185" w:name="_Toc211498752"/>
      <w:r>
        <w:rPr>
          <w:rFonts w:hint="eastAsia" w:eastAsia="黑体"/>
          <w:b w:val="0"/>
          <w:bCs w:val="0"/>
          <w:color w:val="auto"/>
          <w:sz w:val="28"/>
          <w:szCs w:val="28"/>
          <w:highlight w:val="none"/>
        </w:rPr>
        <w:t>4.其他要求</w:t>
      </w:r>
      <w:bookmarkEnd w:id="1183"/>
      <w:bookmarkEnd w:id="1184"/>
      <w:bookmarkEnd w:id="1185"/>
    </w:p>
    <w:p w14:paraId="10B9B74E">
      <w:pPr>
        <w:spacing w:line="400" w:lineRule="exact"/>
        <w:rPr>
          <w:color w:val="auto"/>
          <w:highlight w:val="none"/>
        </w:rPr>
        <w:sectPr>
          <w:pgSz w:w="11907" w:h="16840"/>
          <w:pgMar w:top="1440" w:right="1440" w:bottom="1440" w:left="1440" w:header="851" w:footer="850" w:gutter="0"/>
          <w:cols w:space="720" w:num="1"/>
          <w:docGrid w:linePitch="326" w:charSpace="0"/>
        </w:sectPr>
      </w:pPr>
    </w:p>
    <w:p w14:paraId="70377DEE">
      <w:pPr>
        <w:pStyle w:val="3"/>
        <w:jc w:val="center"/>
        <w:rPr>
          <w:rFonts w:ascii="Times New Roman" w:hAnsi="Times New Roman" w:eastAsia="黑体"/>
          <w:b w:val="0"/>
          <w:bCs w:val="0"/>
          <w:color w:val="auto"/>
          <w:sz w:val="30"/>
          <w:highlight w:val="none"/>
        </w:rPr>
      </w:pPr>
      <w:bookmarkStart w:id="1186" w:name="_Toc211498753"/>
      <w:bookmarkStart w:id="1187" w:name="_Toc80006147"/>
      <w:bookmarkStart w:id="1188" w:name="_Toc300678561"/>
      <w:r>
        <w:rPr>
          <w:rFonts w:ascii="Times New Roman" w:hAnsi="Times New Roman" w:eastAsia="黑体"/>
          <w:b w:val="0"/>
          <w:bCs w:val="0"/>
          <w:color w:val="auto"/>
          <w:sz w:val="30"/>
          <w:highlight w:val="none"/>
        </w:rPr>
        <w:t>第三节  适用的国家、行业以及地方规范、标准和规程</w:t>
      </w:r>
      <w:bookmarkEnd w:id="1186"/>
      <w:bookmarkEnd w:id="1187"/>
      <w:bookmarkEnd w:id="1188"/>
    </w:p>
    <w:p w14:paraId="72A6C79B">
      <w:pPr>
        <w:spacing w:line="360" w:lineRule="auto"/>
        <w:jc w:val="left"/>
        <w:rPr>
          <w:color w:val="auto"/>
          <w:sz w:val="18"/>
          <w:szCs w:val="18"/>
          <w:highlight w:val="none"/>
        </w:rPr>
      </w:pPr>
      <w:r>
        <w:rPr>
          <w:color w:val="auto"/>
          <w:sz w:val="18"/>
          <w:szCs w:val="18"/>
          <w:highlight w:val="none"/>
        </w:rPr>
        <w:t xml:space="preserve"> 说明：本节内容只需列出规范、标准、规程等的名称、编号等内容。由招标人根据国家、行业和地方现行标准、规范和规程等，以及项目具体情况摘录。</w:t>
      </w:r>
    </w:p>
    <w:p w14:paraId="473EA7A3">
      <w:pPr>
        <w:spacing w:line="360" w:lineRule="auto"/>
        <w:jc w:val="left"/>
        <w:rPr>
          <w:rFonts w:eastAsia="黑体"/>
          <w:color w:val="auto"/>
          <w:highlight w:val="none"/>
        </w:rPr>
      </w:pPr>
    </w:p>
    <w:p w14:paraId="306DD879">
      <w:pPr>
        <w:spacing w:line="360" w:lineRule="auto"/>
        <w:jc w:val="left"/>
        <w:rPr>
          <w:rFonts w:eastAsia="黑体"/>
          <w:color w:val="auto"/>
          <w:highlight w:val="none"/>
        </w:rPr>
      </w:pPr>
    </w:p>
    <w:p w14:paraId="1D5F3409">
      <w:pPr>
        <w:spacing w:line="360" w:lineRule="auto"/>
        <w:jc w:val="left"/>
        <w:rPr>
          <w:rFonts w:eastAsia="黑体"/>
          <w:color w:val="auto"/>
          <w:highlight w:val="none"/>
        </w:rPr>
      </w:pPr>
    </w:p>
    <w:p w14:paraId="1D5D7BC1">
      <w:pPr>
        <w:spacing w:line="360" w:lineRule="auto"/>
        <w:jc w:val="left"/>
        <w:rPr>
          <w:rFonts w:eastAsia="黑体"/>
          <w:color w:val="auto"/>
          <w:highlight w:val="none"/>
        </w:rPr>
      </w:pPr>
    </w:p>
    <w:p w14:paraId="72EA902D">
      <w:pPr>
        <w:spacing w:line="360" w:lineRule="auto"/>
        <w:jc w:val="left"/>
        <w:rPr>
          <w:rFonts w:eastAsia="黑体"/>
          <w:color w:val="auto"/>
          <w:highlight w:val="none"/>
        </w:rPr>
      </w:pPr>
    </w:p>
    <w:p w14:paraId="4AE7291F">
      <w:pPr>
        <w:spacing w:line="360" w:lineRule="auto"/>
        <w:jc w:val="left"/>
        <w:rPr>
          <w:rFonts w:eastAsia="黑体"/>
          <w:color w:val="auto"/>
          <w:highlight w:val="none"/>
        </w:rPr>
      </w:pPr>
    </w:p>
    <w:p w14:paraId="11047FA1">
      <w:pPr>
        <w:spacing w:line="360" w:lineRule="auto"/>
        <w:jc w:val="left"/>
        <w:rPr>
          <w:rFonts w:eastAsia="黑体"/>
          <w:color w:val="auto"/>
          <w:highlight w:val="none"/>
        </w:rPr>
      </w:pPr>
    </w:p>
    <w:p w14:paraId="7579BB7A">
      <w:pPr>
        <w:spacing w:line="360" w:lineRule="auto"/>
        <w:jc w:val="left"/>
        <w:rPr>
          <w:rFonts w:eastAsia="黑体"/>
          <w:color w:val="auto"/>
          <w:highlight w:val="none"/>
        </w:rPr>
      </w:pPr>
    </w:p>
    <w:p w14:paraId="760A6305">
      <w:pPr>
        <w:spacing w:line="360" w:lineRule="auto"/>
        <w:jc w:val="left"/>
        <w:rPr>
          <w:rFonts w:eastAsia="黑体"/>
          <w:color w:val="auto"/>
          <w:highlight w:val="none"/>
        </w:rPr>
      </w:pPr>
      <w:bookmarkStart w:id="1189" w:name="_Toc300678562"/>
    </w:p>
    <w:p w14:paraId="70876EC9">
      <w:pPr>
        <w:spacing w:line="360" w:lineRule="auto"/>
        <w:jc w:val="left"/>
        <w:rPr>
          <w:rFonts w:eastAsia="黑体"/>
          <w:color w:val="auto"/>
          <w:highlight w:val="none"/>
        </w:rPr>
      </w:pPr>
    </w:p>
    <w:p w14:paraId="5EBBBF50">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附件</w:t>
      </w:r>
      <w:r>
        <w:rPr>
          <w:rFonts w:hint="eastAsia" w:ascii="Times New Roman" w:hAnsi="Times New Roman" w:eastAsia="黑体"/>
          <w:b w:val="0"/>
          <w:bCs w:val="0"/>
          <w:color w:val="auto"/>
          <w:sz w:val="24"/>
          <w:highlight w:val="none"/>
        </w:rPr>
        <w:t>7-1</w:t>
      </w:r>
      <w:r>
        <w:rPr>
          <w:rFonts w:ascii="Times New Roman" w:hAnsi="Times New Roman" w:eastAsia="黑体"/>
          <w:b w:val="0"/>
          <w:bCs w:val="0"/>
          <w:color w:val="auto"/>
          <w:sz w:val="24"/>
          <w:highlight w:val="none"/>
        </w:rPr>
        <w:t>：施工现场现状平面图</w:t>
      </w:r>
      <w:bookmarkEnd w:id="1189"/>
    </w:p>
    <w:p w14:paraId="40643BD2">
      <w:pPr>
        <w:spacing w:line="360" w:lineRule="auto"/>
        <w:jc w:val="left"/>
        <w:rPr>
          <w:color w:val="auto"/>
          <w:sz w:val="18"/>
          <w:szCs w:val="18"/>
          <w:highlight w:val="none"/>
        </w:rPr>
      </w:pPr>
      <w:r>
        <w:rPr>
          <w:color w:val="auto"/>
          <w:sz w:val="18"/>
          <w:szCs w:val="18"/>
          <w:highlight w:val="none"/>
        </w:rPr>
        <w:t>说明：该图由招标人准备，并作为招标文件本章的组成内容提供给投标人。图中应当标示本章第一节第1.2.1项规定的内容，并做必要的文字说明。</w:t>
      </w:r>
    </w:p>
    <w:p w14:paraId="00F32F81">
      <w:pPr>
        <w:spacing w:line="360" w:lineRule="auto"/>
        <w:jc w:val="left"/>
        <w:rPr>
          <w:color w:val="auto"/>
          <w:sz w:val="18"/>
          <w:szCs w:val="18"/>
          <w:highlight w:val="none"/>
        </w:rPr>
      </w:pPr>
      <w:r>
        <w:rPr>
          <w:color w:val="auto"/>
          <w:szCs w:val="21"/>
          <w:highlight w:val="none"/>
        </w:rPr>
        <w:br w:type="page"/>
      </w:r>
    </w:p>
    <w:p w14:paraId="6584603D">
      <w:pPr>
        <w:spacing w:line="360" w:lineRule="auto"/>
        <w:jc w:val="left"/>
        <w:rPr>
          <w:color w:val="auto"/>
          <w:sz w:val="18"/>
          <w:szCs w:val="18"/>
          <w:highlight w:val="none"/>
        </w:rPr>
      </w:pPr>
      <w:bookmarkStart w:id="1190" w:name="_Toc300678563"/>
    </w:p>
    <w:p w14:paraId="58BB4DB3">
      <w:pPr>
        <w:spacing w:line="360" w:lineRule="auto"/>
        <w:jc w:val="left"/>
        <w:rPr>
          <w:color w:val="auto"/>
          <w:sz w:val="18"/>
          <w:szCs w:val="18"/>
          <w:highlight w:val="none"/>
        </w:rPr>
      </w:pPr>
    </w:p>
    <w:p w14:paraId="3BB36ABA">
      <w:pPr>
        <w:spacing w:line="360" w:lineRule="auto"/>
        <w:jc w:val="left"/>
        <w:rPr>
          <w:color w:val="auto"/>
          <w:sz w:val="18"/>
          <w:szCs w:val="18"/>
          <w:highlight w:val="none"/>
        </w:rPr>
      </w:pPr>
    </w:p>
    <w:p w14:paraId="675977EB">
      <w:pPr>
        <w:spacing w:line="360" w:lineRule="auto"/>
        <w:jc w:val="left"/>
        <w:rPr>
          <w:color w:val="auto"/>
          <w:sz w:val="18"/>
          <w:szCs w:val="18"/>
          <w:highlight w:val="none"/>
        </w:rPr>
      </w:pPr>
    </w:p>
    <w:p w14:paraId="0DFFA47A">
      <w:pPr>
        <w:spacing w:line="360" w:lineRule="auto"/>
        <w:jc w:val="left"/>
        <w:rPr>
          <w:color w:val="auto"/>
          <w:sz w:val="18"/>
          <w:szCs w:val="18"/>
          <w:highlight w:val="none"/>
        </w:rPr>
      </w:pPr>
    </w:p>
    <w:p w14:paraId="689920E1">
      <w:pPr>
        <w:spacing w:line="360" w:lineRule="auto"/>
        <w:jc w:val="left"/>
        <w:rPr>
          <w:color w:val="auto"/>
          <w:sz w:val="18"/>
          <w:szCs w:val="18"/>
          <w:highlight w:val="none"/>
        </w:rPr>
      </w:pPr>
    </w:p>
    <w:p w14:paraId="387EE046">
      <w:pPr>
        <w:spacing w:line="360" w:lineRule="auto"/>
        <w:jc w:val="left"/>
        <w:rPr>
          <w:color w:val="auto"/>
          <w:sz w:val="18"/>
          <w:szCs w:val="18"/>
          <w:highlight w:val="none"/>
        </w:rPr>
      </w:pPr>
    </w:p>
    <w:p w14:paraId="50025E48">
      <w:pPr>
        <w:spacing w:line="360" w:lineRule="auto"/>
        <w:jc w:val="left"/>
        <w:rPr>
          <w:color w:val="auto"/>
          <w:sz w:val="18"/>
          <w:szCs w:val="18"/>
          <w:highlight w:val="none"/>
        </w:rPr>
      </w:pPr>
    </w:p>
    <w:p w14:paraId="247DA492">
      <w:pPr>
        <w:spacing w:line="360" w:lineRule="auto"/>
        <w:jc w:val="left"/>
        <w:rPr>
          <w:color w:val="auto"/>
          <w:sz w:val="18"/>
          <w:szCs w:val="18"/>
          <w:highlight w:val="none"/>
        </w:rPr>
      </w:pPr>
    </w:p>
    <w:p w14:paraId="11A99593">
      <w:pPr>
        <w:spacing w:line="360" w:lineRule="auto"/>
        <w:jc w:val="left"/>
        <w:rPr>
          <w:color w:val="auto"/>
          <w:sz w:val="18"/>
          <w:szCs w:val="18"/>
          <w:highlight w:val="none"/>
        </w:rPr>
      </w:pPr>
    </w:p>
    <w:p w14:paraId="250D42CB">
      <w:pPr>
        <w:pStyle w:val="2"/>
        <w:jc w:val="center"/>
        <w:rPr>
          <w:rFonts w:ascii="Times New Roman" w:hAnsi="Times New Roman" w:eastAsia="黑体"/>
          <w:b w:val="0"/>
          <w:bCs w:val="0"/>
          <w:color w:val="auto"/>
          <w:sz w:val="44"/>
          <w:szCs w:val="44"/>
          <w:highlight w:val="none"/>
        </w:rPr>
      </w:pPr>
      <w:bookmarkStart w:id="1191" w:name="_Toc80006148"/>
      <w:bookmarkStart w:id="1192" w:name="_Toc211498754"/>
      <w:r>
        <w:rPr>
          <w:rFonts w:ascii="Times New Roman" w:hAnsi="Times New Roman" w:eastAsia="黑体"/>
          <w:b w:val="0"/>
          <w:bCs w:val="0"/>
          <w:color w:val="auto"/>
          <w:sz w:val="44"/>
          <w:szCs w:val="44"/>
          <w:highlight w:val="none"/>
        </w:rPr>
        <w:t>第  四  卷</w:t>
      </w:r>
      <w:bookmarkEnd w:id="1190"/>
      <w:bookmarkEnd w:id="1191"/>
      <w:bookmarkEnd w:id="1192"/>
    </w:p>
    <w:p w14:paraId="26A4D914">
      <w:pPr>
        <w:spacing w:line="360" w:lineRule="auto"/>
        <w:jc w:val="left"/>
        <w:rPr>
          <w:color w:val="auto"/>
          <w:sz w:val="18"/>
          <w:szCs w:val="18"/>
          <w:highlight w:val="none"/>
        </w:rPr>
      </w:pPr>
      <w:r>
        <w:rPr>
          <w:rFonts w:eastAsia="黑体"/>
          <w:bCs/>
          <w:color w:val="auto"/>
          <w:sz w:val="44"/>
          <w:szCs w:val="44"/>
          <w:highlight w:val="none"/>
        </w:rPr>
        <w:br w:type="page"/>
      </w:r>
    </w:p>
    <w:p w14:paraId="53CA930D">
      <w:pPr>
        <w:spacing w:line="360" w:lineRule="auto"/>
        <w:jc w:val="left"/>
        <w:rPr>
          <w:color w:val="auto"/>
          <w:sz w:val="18"/>
          <w:szCs w:val="18"/>
          <w:highlight w:val="none"/>
        </w:rPr>
      </w:pPr>
    </w:p>
    <w:p w14:paraId="1974E92F">
      <w:pPr>
        <w:spacing w:line="360" w:lineRule="auto"/>
        <w:jc w:val="left"/>
        <w:rPr>
          <w:color w:val="auto"/>
          <w:sz w:val="18"/>
          <w:szCs w:val="18"/>
          <w:highlight w:val="none"/>
        </w:rPr>
      </w:pPr>
    </w:p>
    <w:p w14:paraId="607BFB12">
      <w:pPr>
        <w:spacing w:line="360" w:lineRule="auto"/>
        <w:jc w:val="left"/>
        <w:rPr>
          <w:color w:val="auto"/>
          <w:sz w:val="18"/>
          <w:szCs w:val="18"/>
          <w:highlight w:val="none"/>
        </w:rPr>
      </w:pPr>
    </w:p>
    <w:p w14:paraId="68109795">
      <w:pPr>
        <w:spacing w:line="360" w:lineRule="auto"/>
        <w:jc w:val="left"/>
        <w:rPr>
          <w:color w:val="auto"/>
          <w:sz w:val="18"/>
          <w:szCs w:val="18"/>
          <w:highlight w:val="none"/>
        </w:rPr>
      </w:pPr>
    </w:p>
    <w:p w14:paraId="2087F88A">
      <w:pPr>
        <w:spacing w:line="360" w:lineRule="auto"/>
        <w:jc w:val="left"/>
        <w:rPr>
          <w:color w:val="auto"/>
          <w:sz w:val="18"/>
          <w:szCs w:val="18"/>
          <w:highlight w:val="none"/>
        </w:rPr>
      </w:pPr>
    </w:p>
    <w:p w14:paraId="1DCFCC55">
      <w:pPr>
        <w:spacing w:line="360" w:lineRule="auto"/>
        <w:jc w:val="left"/>
        <w:rPr>
          <w:color w:val="auto"/>
          <w:sz w:val="18"/>
          <w:szCs w:val="18"/>
          <w:highlight w:val="none"/>
        </w:rPr>
      </w:pPr>
    </w:p>
    <w:p w14:paraId="1156DF9E">
      <w:pPr>
        <w:spacing w:line="360" w:lineRule="auto"/>
        <w:jc w:val="left"/>
        <w:rPr>
          <w:color w:val="auto"/>
          <w:sz w:val="18"/>
          <w:szCs w:val="18"/>
          <w:highlight w:val="none"/>
        </w:rPr>
      </w:pPr>
    </w:p>
    <w:p w14:paraId="712F9E6F">
      <w:pPr>
        <w:spacing w:line="360" w:lineRule="auto"/>
        <w:jc w:val="left"/>
        <w:rPr>
          <w:color w:val="auto"/>
          <w:sz w:val="18"/>
          <w:szCs w:val="18"/>
          <w:highlight w:val="none"/>
        </w:rPr>
      </w:pPr>
    </w:p>
    <w:p w14:paraId="76C2B098">
      <w:pPr>
        <w:spacing w:line="360" w:lineRule="auto"/>
        <w:jc w:val="left"/>
        <w:rPr>
          <w:color w:val="auto"/>
          <w:sz w:val="18"/>
          <w:szCs w:val="18"/>
          <w:highlight w:val="none"/>
        </w:rPr>
      </w:pPr>
    </w:p>
    <w:p w14:paraId="14217338">
      <w:pPr>
        <w:spacing w:line="360" w:lineRule="auto"/>
        <w:jc w:val="left"/>
        <w:rPr>
          <w:color w:val="auto"/>
          <w:sz w:val="18"/>
          <w:szCs w:val="18"/>
          <w:highlight w:val="none"/>
        </w:rPr>
      </w:pPr>
    </w:p>
    <w:p w14:paraId="688195C9">
      <w:pPr>
        <w:spacing w:line="360" w:lineRule="auto"/>
        <w:jc w:val="left"/>
        <w:rPr>
          <w:color w:val="auto"/>
          <w:sz w:val="18"/>
          <w:szCs w:val="18"/>
          <w:highlight w:val="none"/>
        </w:rPr>
      </w:pPr>
    </w:p>
    <w:p w14:paraId="32DFC116">
      <w:pPr>
        <w:pStyle w:val="2"/>
        <w:spacing w:before="0" w:after="0"/>
        <w:jc w:val="center"/>
        <w:rPr>
          <w:rFonts w:ascii="Times New Roman" w:hAnsi="Times New Roman" w:eastAsia="黑体"/>
          <w:color w:val="auto"/>
          <w:highlight w:val="none"/>
        </w:rPr>
      </w:pPr>
      <w:bookmarkStart w:id="1193" w:name="_Toc211498755"/>
      <w:r>
        <w:rPr>
          <w:rFonts w:ascii="Times New Roman" w:hAnsi="Times New Roman" w:eastAsia="黑体"/>
          <w:color w:val="auto"/>
          <w:highlight w:val="none"/>
        </w:rPr>
        <w:t>第八章  投标文件格式</w:t>
      </w:r>
      <w:bookmarkEnd w:id="1193"/>
    </w:p>
    <w:p w14:paraId="67B88790">
      <w:pPr>
        <w:rPr>
          <w:color w:val="auto"/>
          <w:highlight w:val="none"/>
        </w:rPr>
      </w:pPr>
    </w:p>
    <w:p w14:paraId="31F61090">
      <w:pPr>
        <w:rPr>
          <w:color w:val="auto"/>
          <w:highlight w:val="none"/>
        </w:rPr>
      </w:pPr>
    </w:p>
    <w:p w14:paraId="094369F7">
      <w:pPr>
        <w:jc w:val="left"/>
        <w:rPr>
          <w:color w:val="auto"/>
          <w:sz w:val="18"/>
          <w:szCs w:val="18"/>
          <w:highlight w:val="none"/>
        </w:rPr>
      </w:pPr>
      <w:r>
        <w:rPr>
          <w:color w:val="auto"/>
          <w:sz w:val="18"/>
          <w:szCs w:val="18"/>
          <w:highlight w:val="none"/>
        </w:rPr>
        <w:br w:type="page"/>
      </w:r>
    </w:p>
    <w:p w14:paraId="54541BFA">
      <w:pPr>
        <w:widowControl/>
        <w:rPr>
          <w:rFonts w:eastAsia="黑体"/>
          <w:color w:val="auto"/>
          <w:kern w:val="0"/>
          <w:sz w:val="28"/>
          <w:szCs w:val="21"/>
          <w:highlight w:val="none"/>
        </w:rPr>
      </w:pPr>
      <w:r>
        <w:rPr>
          <w:color w:val="auto"/>
          <w:sz w:val="28"/>
          <w:highlight w:val="none"/>
        </w:rPr>
        <mc:AlternateContent>
          <mc:Choice Requires="wps">
            <w:drawing>
              <wp:anchor distT="0" distB="0" distL="114300" distR="114300" simplePos="0" relativeHeight="251673600" behindDoc="0" locked="0" layoutInCell="1" allowOverlap="1">
                <wp:simplePos x="0" y="0"/>
                <wp:positionH relativeFrom="column">
                  <wp:posOffset>-126365</wp:posOffset>
                </wp:positionH>
                <wp:positionV relativeFrom="paragraph">
                  <wp:posOffset>69850</wp:posOffset>
                </wp:positionV>
                <wp:extent cx="971550" cy="476250"/>
                <wp:effectExtent l="4445" t="4445" r="14605" b="6985"/>
                <wp:wrapNone/>
                <wp:docPr id="2" name="文本框 2"/>
                <wp:cNvGraphicFramePr/>
                <a:graphic xmlns:a="http://schemas.openxmlformats.org/drawingml/2006/main">
                  <a:graphicData uri="http://schemas.microsoft.com/office/word/2010/wordprocessingShape">
                    <wps:wsp>
                      <wps:cNvSpPr txBox="1"/>
                      <wps:spPr>
                        <a:xfrm>
                          <a:off x="788035" y="727075"/>
                          <a:ext cx="971550"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227D08">
                            <w:pPr>
                              <w:rPr>
                                <w:rFonts w:hint="eastAsia" w:ascii="黑体" w:hAnsi="黑体" w:eastAsia="黑体" w:cs="黑体"/>
                                <w:b/>
                                <w:bCs/>
                                <w:sz w:val="44"/>
                                <w:szCs w:val="44"/>
                              </w:rPr>
                            </w:pPr>
                            <w:r>
                              <w:rPr>
                                <w:rFonts w:hint="eastAsia" w:ascii="黑体" w:hAnsi="黑体" w:eastAsia="黑体" w:cs="黑体"/>
                                <w:b/>
                                <w:bCs/>
                                <w:sz w:val="44"/>
                                <w:szCs w:val="44"/>
                              </w:rPr>
                              <w:t>封 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5pt;margin-top:5.5pt;height:37.5pt;width:76.5pt;z-index:251673600;mso-width-relative:page;mso-height-relative:page;" fillcolor="#FFFFFF [3201]" filled="t" stroked="t" coordsize="21600,21600" o:gfxdata="UEsDBAoAAAAAAIdO4kAAAAAAAAAAAAAAAAAEAAAAZHJzL1BLAwQUAAAACACHTuJAdbPQK9UAAAAJ&#10;AQAADwAAAGRycy9kb3ducmV2LnhtbE2PwWrDMBBE74X+g9hCb4mkGEziWg60UCi9NfWlN8Xa2KbW&#10;ykhKnP59N6f2uMxj9k29v/pJXDCmMZABvVYgkLrgRuoNtJ+vqy2IlC05OwVCAz+YYN/c39W2cmGh&#10;D7wcci+4hFJlDQw5z5WUqRvQ27QOMxJnpxC9zXzGXrpoFy73k9woVUpvR+IPg53xZcDu+3D2Bt7K&#10;5/yFrXt3xaYISyu7eJqSMY8PWj2ByHjNfzDc9FkdGnY6hjO5JCYDK73bMcqB5k03oCg0iKOBbalA&#10;NrX8v6D5BVBLAwQUAAAACACHTuJAVtJ7fWACAADABAAADgAAAGRycy9lMm9Eb2MueG1srVTNbhMx&#10;EL4j8Q6W73STbdKkUTZVaBWEVNFKBXF2vN6she0xtpPd8gD0DThx4c5z9TkYezdpaTn0QA7O/Omb&#10;mW9mdn7WakV2wnkJpqDDowElwnAopdkU9NPH1ZspJT4wUzIFRhT0Vnh6tnj9at7YmcihBlUKRxDE&#10;+FljC1qHYGdZ5nktNPNHYIVBZwVOs4Cq22SlYw2ia5Xlg8FJ1oArrQMuvEfrReekPaJ7CSBUleTi&#10;AvhWCxM6VCcUC9iSr6X1dJGqrSrBw1VVeRGIKih2GtKLSVBexzdbzNls45itJe9LYC8p4UlPmkmD&#10;SQ9QFywwsnXyGZSW3IGHKhxx0FnXSGIEuxgOnnBzUzMrUi9ItbcH0v3/g+UfdteOyLKgOSWGaRz4&#10;/Y+7+5+/7399J3mkp7F+hlE3FuNC+xZaXJq93aMxdt1WTsd/7IegfzKdDo7HlNyimE8Gk3FHs2gD&#10;4eg+nQzHYxwAR/9ocpKjjHmyBxjrfHgnQJMoFNThFBO5bHfpQxe6D4lZPShZrqRSSXGb9blyZMdw&#10;4qv069H/ClOGNAU9OcbczyAi9gFirRj/8hwBq1UGi47sdCxEKbTrtqdsDeUtMuagWzlv+Uoi7iXz&#10;4Zo53DEkAK8wXOFTKcBioJcoqcF9+5c9xuPo0UtJgztbUP91y5ygRL03uBSnw9EoLnlSRuNJjop7&#10;7Fk/9pitPgckaYj3bnkSY3xQe7FyoD/jsS5jVnQxwzF3QcNePA/dJeGxc7FcpiBca8vCpbmxPEJH&#10;cg0stwEqmUYXaeq46dnDxU7D748wXs5jPUU9fHg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s9Ar1QAAAAkBAAAPAAAAAAAAAAEAIAAAACIAAABkcnMvZG93bnJldi54bWxQSwECFAAUAAAACACH&#10;TuJAVtJ7fWACAADABAAADgAAAAAAAAABACAAAAAkAQAAZHJzL2Uyb0RvYy54bWxQSwUGAAAAAAYA&#10;BgBZAQAA9gUAAAAA&#10;">
                <v:fill on="t" focussize="0,0"/>
                <v:stroke weight="0.5pt" color="#000000 [3204]" joinstyle="round"/>
                <v:imagedata o:title=""/>
                <o:lock v:ext="edit" aspectratio="f"/>
                <v:textbox>
                  <w:txbxContent>
                    <w:p w14:paraId="0B227D08">
                      <w:pPr>
                        <w:rPr>
                          <w:rFonts w:hint="eastAsia" w:ascii="黑体" w:hAnsi="黑体" w:eastAsia="黑体" w:cs="黑体"/>
                          <w:b/>
                          <w:bCs/>
                          <w:sz w:val="44"/>
                          <w:szCs w:val="44"/>
                        </w:rPr>
                      </w:pPr>
                      <w:r>
                        <w:rPr>
                          <w:rFonts w:hint="eastAsia" w:ascii="黑体" w:hAnsi="黑体" w:eastAsia="黑体" w:cs="黑体"/>
                          <w:b/>
                          <w:bCs/>
                          <w:sz w:val="44"/>
                          <w:szCs w:val="44"/>
                        </w:rPr>
                        <w:t>封 面</w:t>
                      </w:r>
                    </w:p>
                  </w:txbxContent>
                </v:textbox>
              </v:shape>
            </w:pict>
          </mc:Fallback>
        </mc:AlternateContent>
      </w:r>
    </w:p>
    <w:p w14:paraId="71B4788E">
      <w:pPr>
        <w:widowControl/>
        <w:jc w:val="center"/>
        <w:rPr>
          <w:rFonts w:eastAsia="黑体"/>
          <w:color w:val="auto"/>
          <w:kern w:val="0"/>
          <w:sz w:val="28"/>
          <w:szCs w:val="28"/>
          <w:highlight w:val="none"/>
          <w:u w:val="single"/>
        </w:rPr>
      </w:pPr>
    </w:p>
    <w:p w14:paraId="53478B3D">
      <w:pPr>
        <w:widowControl/>
        <w:jc w:val="center"/>
        <w:rPr>
          <w:rFonts w:eastAsia="黑体"/>
          <w:color w:val="auto"/>
          <w:kern w:val="0"/>
          <w:sz w:val="28"/>
          <w:szCs w:val="28"/>
          <w:highlight w:val="none"/>
          <w:u w:val="single"/>
        </w:rPr>
      </w:pPr>
    </w:p>
    <w:p w14:paraId="5F92558B">
      <w:pPr>
        <w:widowControl/>
        <w:jc w:val="center"/>
        <w:rPr>
          <w:rFonts w:eastAsia="黑体"/>
          <w:color w:val="auto"/>
          <w:kern w:val="0"/>
          <w:sz w:val="28"/>
          <w:szCs w:val="28"/>
          <w:highlight w:val="none"/>
          <w:u w:val="single"/>
        </w:rPr>
      </w:pPr>
    </w:p>
    <w:p w14:paraId="3EA24249">
      <w:pPr>
        <w:widowControl/>
        <w:jc w:val="center"/>
        <w:rPr>
          <w:rFonts w:eastAsia="黑体"/>
          <w:color w:val="auto"/>
          <w:kern w:val="0"/>
          <w:sz w:val="28"/>
          <w:szCs w:val="28"/>
          <w:highlight w:val="none"/>
        </w:rPr>
      </w:pPr>
      <w:r>
        <w:rPr>
          <w:rFonts w:eastAsia="黑体"/>
          <w:color w:val="auto"/>
          <w:kern w:val="0"/>
          <w:sz w:val="28"/>
          <w:szCs w:val="28"/>
          <w:highlight w:val="none"/>
          <w:u w:val="single"/>
        </w:rPr>
        <w:t xml:space="preserve">            </w:t>
      </w:r>
      <w:r>
        <w:rPr>
          <w:rFonts w:eastAsia="黑体"/>
          <w:color w:val="auto"/>
          <w:kern w:val="0"/>
          <w:sz w:val="28"/>
          <w:szCs w:val="28"/>
          <w:highlight w:val="none"/>
        </w:rPr>
        <w:t>（项目名称）施工招标</w:t>
      </w:r>
    </w:p>
    <w:p w14:paraId="14D13E42">
      <w:pPr>
        <w:widowControl/>
        <w:spacing w:before="312"/>
        <w:jc w:val="center"/>
        <w:rPr>
          <w:rFonts w:eastAsia="黑体"/>
          <w:color w:val="auto"/>
          <w:kern w:val="0"/>
          <w:sz w:val="44"/>
          <w:szCs w:val="44"/>
          <w:highlight w:val="none"/>
        </w:rPr>
      </w:pPr>
      <w:r>
        <w:rPr>
          <w:rFonts w:eastAsia="黑体"/>
          <w:color w:val="auto"/>
          <w:kern w:val="0"/>
          <w:sz w:val="44"/>
          <w:szCs w:val="44"/>
          <w:highlight w:val="none"/>
        </w:rPr>
        <w:t>投  标  文  件</w:t>
      </w:r>
    </w:p>
    <w:p w14:paraId="10CC2C2C">
      <w:pPr>
        <w:spacing w:line="360" w:lineRule="auto"/>
        <w:jc w:val="left"/>
        <w:rPr>
          <w:color w:val="auto"/>
          <w:sz w:val="18"/>
          <w:szCs w:val="18"/>
          <w:highlight w:val="none"/>
        </w:rPr>
      </w:pPr>
    </w:p>
    <w:p w14:paraId="6B755D2E">
      <w:pPr>
        <w:spacing w:line="360" w:lineRule="auto"/>
        <w:jc w:val="left"/>
        <w:rPr>
          <w:color w:val="auto"/>
          <w:sz w:val="18"/>
          <w:szCs w:val="18"/>
          <w:highlight w:val="none"/>
        </w:rPr>
      </w:pPr>
    </w:p>
    <w:p w14:paraId="4404084D">
      <w:pPr>
        <w:spacing w:line="360" w:lineRule="auto"/>
        <w:jc w:val="left"/>
        <w:rPr>
          <w:color w:val="auto"/>
          <w:sz w:val="18"/>
          <w:szCs w:val="18"/>
          <w:highlight w:val="none"/>
        </w:rPr>
      </w:pPr>
    </w:p>
    <w:p w14:paraId="61ACB411">
      <w:pPr>
        <w:spacing w:line="360" w:lineRule="auto"/>
        <w:jc w:val="left"/>
        <w:rPr>
          <w:color w:val="auto"/>
          <w:sz w:val="18"/>
          <w:szCs w:val="18"/>
          <w:highlight w:val="none"/>
        </w:rPr>
      </w:pPr>
    </w:p>
    <w:p w14:paraId="44F617D2">
      <w:pPr>
        <w:spacing w:line="360" w:lineRule="auto"/>
        <w:jc w:val="left"/>
        <w:rPr>
          <w:color w:val="auto"/>
          <w:sz w:val="18"/>
          <w:szCs w:val="18"/>
          <w:highlight w:val="none"/>
        </w:rPr>
      </w:pPr>
    </w:p>
    <w:p w14:paraId="340D279E">
      <w:pPr>
        <w:spacing w:line="360" w:lineRule="auto"/>
        <w:jc w:val="left"/>
        <w:rPr>
          <w:color w:val="auto"/>
          <w:sz w:val="18"/>
          <w:szCs w:val="18"/>
          <w:highlight w:val="none"/>
        </w:rPr>
      </w:pPr>
    </w:p>
    <w:p w14:paraId="5FFDE05E">
      <w:pPr>
        <w:spacing w:line="360" w:lineRule="auto"/>
        <w:jc w:val="left"/>
        <w:rPr>
          <w:color w:val="auto"/>
          <w:sz w:val="18"/>
          <w:szCs w:val="18"/>
          <w:highlight w:val="none"/>
        </w:rPr>
      </w:pPr>
    </w:p>
    <w:p w14:paraId="151442DE">
      <w:pPr>
        <w:spacing w:line="360" w:lineRule="auto"/>
        <w:jc w:val="left"/>
        <w:rPr>
          <w:color w:val="auto"/>
          <w:sz w:val="18"/>
          <w:szCs w:val="18"/>
          <w:highlight w:val="none"/>
        </w:rPr>
      </w:pPr>
    </w:p>
    <w:p w14:paraId="47D75A7F">
      <w:pPr>
        <w:spacing w:line="360" w:lineRule="auto"/>
        <w:jc w:val="left"/>
        <w:rPr>
          <w:color w:val="auto"/>
          <w:sz w:val="18"/>
          <w:szCs w:val="18"/>
          <w:highlight w:val="none"/>
        </w:rPr>
      </w:pPr>
    </w:p>
    <w:p w14:paraId="2C18EAEE">
      <w:pPr>
        <w:spacing w:line="360" w:lineRule="auto"/>
        <w:jc w:val="left"/>
        <w:rPr>
          <w:color w:val="auto"/>
          <w:sz w:val="18"/>
          <w:szCs w:val="18"/>
          <w:highlight w:val="none"/>
        </w:rPr>
      </w:pPr>
    </w:p>
    <w:p w14:paraId="0EEA0C08">
      <w:pPr>
        <w:spacing w:line="360" w:lineRule="auto"/>
        <w:jc w:val="left"/>
        <w:rPr>
          <w:color w:val="auto"/>
          <w:sz w:val="18"/>
          <w:szCs w:val="18"/>
          <w:highlight w:val="none"/>
        </w:rPr>
      </w:pPr>
    </w:p>
    <w:p w14:paraId="42424D23">
      <w:pPr>
        <w:spacing w:line="360" w:lineRule="auto"/>
        <w:jc w:val="left"/>
        <w:rPr>
          <w:color w:val="auto"/>
          <w:sz w:val="18"/>
          <w:szCs w:val="18"/>
          <w:highlight w:val="none"/>
        </w:rPr>
      </w:pPr>
    </w:p>
    <w:p w14:paraId="687DBAA8">
      <w:pPr>
        <w:spacing w:line="360" w:lineRule="auto"/>
        <w:jc w:val="left"/>
        <w:rPr>
          <w:color w:val="auto"/>
          <w:sz w:val="18"/>
          <w:szCs w:val="18"/>
          <w:highlight w:val="none"/>
        </w:rPr>
      </w:pPr>
    </w:p>
    <w:p w14:paraId="6237A50F">
      <w:pPr>
        <w:spacing w:line="360" w:lineRule="auto"/>
        <w:jc w:val="left"/>
        <w:rPr>
          <w:color w:val="auto"/>
          <w:sz w:val="18"/>
          <w:szCs w:val="18"/>
          <w:highlight w:val="none"/>
        </w:rPr>
      </w:pPr>
    </w:p>
    <w:p w14:paraId="01DD2119">
      <w:pPr>
        <w:spacing w:line="360" w:lineRule="auto"/>
        <w:jc w:val="left"/>
        <w:rPr>
          <w:color w:val="auto"/>
          <w:sz w:val="18"/>
          <w:szCs w:val="18"/>
          <w:highlight w:val="none"/>
        </w:rPr>
      </w:pPr>
    </w:p>
    <w:p w14:paraId="01224EBF">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eastAsia="黑体"/>
          <w:color w:val="auto"/>
          <w:kern w:val="0"/>
          <w:sz w:val="24"/>
          <w:szCs w:val="28"/>
          <w:highlight w:val="none"/>
        </w:rPr>
        <w:t>（盖单位</w:t>
      </w:r>
      <w:r>
        <w:rPr>
          <w:rFonts w:hint="eastAsia" w:eastAsia="黑体"/>
          <w:color w:val="auto"/>
          <w:kern w:val="0"/>
          <w:sz w:val="24"/>
          <w:szCs w:val="28"/>
          <w:highlight w:val="none"/>
        </w:rPr>
        <w:t>电子公</w:t>
      </w:r>
      <w:r>
        <w:rPr>
          <w:rFonts w:eastAsia="黑体"/>
          <w:color w:val="auto"/>
          <w:kern w:val="0"/>
          <w:sz w:val="24"/>
          <w:szCs w:val="28"/>
          <w:highlight w:val="none"/>
        </w:rPr>
        <w:t>章）</w:t>
      </w:r>
    </w:p>
    <w:p w14:paraId="0152767A">
      <w:pPr>
        <w:widowControl/>
        <w:spacing w:line="360" w:lineRule="auto"/>
        <w:jc w:val="left"/>
        <w:rPr>
          <w:rFonts w:eastAsia="黑体"/>
          <w:color w:val="auto"/>
          <w:kern w:val="0"/>
          <w:sz w:val="24"/>
          <w:szCs w:val="28"/>
          <w:highlight w:val="none"/>
        </w:rPr>
      </w:pPr>
      <w:r>
        <w:rPr>
          <w:rFonts w:hint="eastAsia" w:eastAsia="黑体"/>
          <w:color w:val="auto"/>
          <w:kern w:val="0"/>
          <w:sz w:val="24"/>
          <w:szCs w:val="28"/>
          <w:highlight w:val="none"/>
        </w:rPr>
        <w:t xml:space="preserve">           </w:t>
      </w:r>
      <w:r>
        <w:rPr>
          <w:rFonts w:eastAsia="黑体"/>
          <w:color w:val="auto"/>
          <w:kern w:val="0"/>
          <w:sz w:val="24"/>
          <w:szCs w:val="28"/>
          <w:highlight w:val="none"/>
        </w:rPr>
        <w:t>法定代表人</w:t>
      </w:r>
      <w:r>
        <w:rPr>
          <w:rFonts w:hint="eastAsia" w:eastAsia="黑体"/>
          <w:color w:val="auto"/>
          <w:kern w:val="0"/>
          <w:sz w:val="24"/>
          <w:szCs w:val="28"/>
          <w:highlight w:val="none"/>
        </w:rPr>
        <w:t>：</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hint="eastAsia" w:eastAsia="黑体"/>
          <w:color w:val="auto"/>
          <w:kern w:val="0"/>
          <w:sz w:val="24"/>
          <w:szCs w:val="28"/>
          <w:highlight w:val="none"/>
        </w:rPr>
        <w:t>（</w:t>
      </w:r>
      <w:r>
        <w:rPr>
          <w:rFonts w:eastAsia="黑体"/>
          <w:color w:val="auto"/>
          <w:kern w:val="0"/>
          <w:sz w:val="24"/>
          <w:szCs w:val="28"/>
          <w:highlight w:val="none"/>
        </w:rPr>
        <w:t>签字或盖章</w:t>
      </w:r>
      <w:r>
        <w:rPr>
          <w:rFonts w:hint="eastAsia" w:eastAsia="黑体"/>
          <w:color w:val="auto"/>
          <w:kern w:val="0"/>
          <w:sz w:val="24"/>
          <w:szCs w:val="28"/>
          <w:highlight w:val="none"/>
        </w:rPr>
        <w:t xml:space="preserve">）  </w:t>
      </w:r>
    </w:p>
    <w:p w14:paraId="0D669F7F">
      <w:pPr>
        <w:widowControl/>
        <w:spacing w:line="360" w:lineRule="auto"/>
        <w:ind w:firstLine="1440" w:firstLineChars="600"/>
        <w:jc w:val="left"/>
        <w:rPr>
          <w:rFonts w:eastAsia="黑体"/>
          <w:color w:val="auto"/>
          <w:kern w:val="0"/>
          <w:sz w:val="24"/>
          <w:szCs w:val="28"/>
          <w:highlight w:val="none"/>
        </w:rPr>
      </w:pPr>
      <w:r>
        <w:rPr>
          <w:rFonts w:eastAsia="黑体"/>
          <w:color w:val="auto"/>
          <w:kern w:val="0"/>
          <w:sz w:val="24"/>
          <w:szCs w:val="28"/>
          <w:highlight w:val="none"/>
        </w:rPr>
        <w:t>授权委托代理人</w:t>
      </w:r>
      <w:r>
        <w:rPr>
          <w:rFonts w:hint="eastAsia" w:eastAsia="黑体"/>
          <w:color w:val="auto"/>
          <w:kern w:val="0"/>
          <w:sz w:val="24"/>
          <w:szCs w:val="28"/>
          <w:highlight w:val="none"/>
        </w:rPr>
        <w:t>（如委托）：</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hint="eastAsia" w:eastAsia="黑体"/>
          <w:color w:val="auto"/>
          <w:kern w:val="0"/>
          <w:sz w:val="24"/>
          <w:szCs w:val="28"/>
          <w:highlight w:val="none"/>
        </w:rPr>
        <w:t>（</w:t>
      </w:r>
      <w:r>
        <w:rPr>
          <w:rFonts w:eastAsia="黑体"/>
          <w:color w:val="auto"/>
          <w:kern w:val="0"/>
          <w:sz w:val="24"/>
          <w:szCs w:val="28"/>
          <w:highlight w:val="none"/>
        </w:rPr>
        <w:t>签字或盖章</w:t>
      </w:r>
      <w:r>
        <w:rPr>
          <w:rFonts w:hint="eastAsia" w:eastAsia="黑体"/>
          <w:color w:val="auto"/>
          <w:kern w:val="0"/>
          <w:sz w:val="24"/>
          <w:szCs w:val="28"/>
          <w:highlight w:val="none"/>
        </w:rPr>
        <w:t xml:space="preserve">）      </w:t>
      </w:r>
    </w:p>
    <w:p w14:paraId="2526FD7D">
      <w:pPr>
        <w:jc w:val="left"/>
        <w:rPr>
          <w:color w:val="auto"/>
          <w:sz w:val="18"/>
          <w:szCs w:val="18"/>
          <w:highlight w:val="none"/>
        </w:rPr>
      </w:pPr>
    </w:p>
    <w:p w14:paraId="4627084E">
      <w:pPr>
        <w:jc w:val="left"/>
        <w:rPr>
          <w:color w:val="auto"/>
          <w:sz w:val="18"/>
          <w:szCs w:val="18"/>
          <w:highlight w:val="none"/>
        </w:rPr>
      </w:pPr>
    </w:p>
    <w:p w14:paraId="25EC0D28">
      <w:pPr>
        <w:jc w:val="left"/>
        <w:rPr>
          <w:color w:val="auto"/>
          <w:sz w:val="18"/>
          <w:szCs w:val="18"/>
          <w:highlight w:val="none"/>
        </w:rPr>
      </w:pPr>
    </w:p>
    <w:p w14:paraId="127A7917">
      <w:pPr>
        <w:jc w:val="left"/>
        <w:rPr>
          <w:color w:val="auto"/>
          <w:sz w:val="18"/>
          <w:szCs w:val="18"/>
          <w:highlight w:val="none"/>
        </w:rPr>
      </w:pPr>
    </w:p>
    <w:p w14:paraId="1CEB37AA">
      <w:pPr>
        <w:jc w:val="left"/>
        <w:rPr>
          <w:rFonts w:eastAsia="黑体"/>
          <w:bCs/>
          <w:color w:val="auto"/>
          <w:szCs w:val="21"/>
          <w:highlight w:val="none"/>
        </w:rPr>
      </w:pPr>
    </w:p>
    <w:p w14:paraId="27269B28">
      <w:pPr>
        <w:jc w:val="left"/>
        <w:rPr>
          <w:rFonts w:eastAsia="黑体"/>
          <w:bCs/>
          <w:color w:val="auto"/>
          <w:szCs w:val="21"/>
          <w:highlight w:val="none"/>
        </w:rPr>
      </w:pPr>
    </w:p>
    <w:p w14:paraId="3E1E85B8">
      <w:pPr>
        <w:jc w:val="left"/>
        <w:rPr>
          <w:rFonts w:eastAsia="黑体"/>
          <w:bCs/>
          <w:color w:val="auto"/>
          <w:szCs w:val="21"/>
          <w:highlight w:val="none"/>
        </w:rPr>
      </w:pPr>
    </w:p>
    <w:p w14:paraId="416ED4F7">
      <w:pPr>
        <w:jc w:val="left"/>
        <w:rPr>
          <w:rFonts w:eastAsia="黑体"/>
          <w:bCs/>
          <w:color w:val="auto"/>
          <w:szCs w:val="21"/>
          <w:highlight w:val="none"/>
        </w:rPr>
      </w:pPr>
    </w:p>
    <w:p w14:paraId="09B7AB05">
      <w:pPr>
        <w:jc w:val="left"/>
        <w:rPr>
          <w:rFonts w:eastAsia="黑体"/>
          <w:bCs/>
          <w:color w:val="auto"/>
          <w:szCs w:val="21"/>
          <w:highlight w:val="none"/>
        </w:rPr>
      </w:pPr>
    </w:p>
    <w:p w14:paraId="61F1D557">
      <w:pPr>
        <w:rPr>
          <w:color w:val="auto"/>
          <w:highlight w:val="none"/>
        </w:rPr>
      </w:pPr>
    </w:p>
    <w:p w14:paraId="1C86C460">
      <w:pPr>
        <w:pStyle w:val="2"/>
        <w:jc w:val="center"/>
        <w:rPr>
          <w:rFonts w:ascii="Times New Roman" w:hAnsi="Times New Roman" w:eastAsia="黑体"/>
          <w:color w:val="auto"/>
          <w:highlight w:val="none"/>
        </w:rPr>
      </w:pPr>
      <w:bookmarkStart w:id="1194" w:name="_Toc211498756"/>
      <w:bookmarkStart w:id="1195" w:name="_Hlk210328075"/>
      <w:r>
        <w:rPr>
          <w:rFonts w:ascii="Times New Roman" w:hAnsi="Times New Roman" w:eastAsia="黑体"/>
          <w:color w:val="auto"/>
          <w:highlight w:val="none"/>
        </w:rPr>
        <w:t>第一</w:t>
      </w:r>
      <w:r>
        <w:rPr>
          <w:rFonts w:hint="eastAsia" w:ascii="Times New Roman" w:hAnsi="Times New Roman" w:eastAsia="黑体"/>
          <w:color w:val="auto"/>
          <w:highlight w:val="none"/>
        </w:rPr>
        <w:t>节</w:t>
      </w:r>
      <w:r>
        <w:rPr>
          <w:rFonts w:ascii="Times New Roman" w:hAnsi="Times New Roman" w:eastAsia="黑体"/>
          <w:color w:val="auto"/>
          <w:highlight w:val="none"/>
        </w:rPr>
        <w:t xml:space="preserve"> 投标函</w:t>
      </w:r>
      <w:r>
        <w:rPr>
          <w:rFonts w:hint="eastAsia" w:ascii="Times New Roman" w:hAnsi="Times New Roman" w:eastAsia="黑体"/>
          <w:color w:val="auto"/>
          <w:highlight w:val="none"/>
        </w:rPr>
        <w:t>及附录</w:t>
      </w:r>
      <w:r>
        <w:rPr>
          <w:rFonts w:ascii="Times New Roman" w:hAnsi="Times New Roman" w:eastAsia="黑体"/>
          <w:color w:val="auto"/>
          <w:highlight w:val="none"/>
        </w:rPr>
        <w:t>格式</w:t>
      </w:r>
      <w:bookmarkEnd w:id="1194"/>
    </w:p>
    <w:bookmarkEnd w:id="1195"/>
    <w:p w14:paraId="2580DE62">
      <w:pPr>
        <w:spacing w:line="360" w:lineRule="auto"/>
        <w:jc w:val="left"/>
        <w:rPr>
          <w:color w:val="auto"/>
          <w:sz w:val="18"/>
          <w:szCs w:val="18"/>
          <w:highlight w:val="none"/>
        </w:rPr>
      </w:pPr>
    </w:p>
    <w:p w14:paraId="75D98483">
      <w:pPr>
        <w:widowControl/>
        <w:rPr>
          <w:rFonts w:eastAsia="黑体"/>
          <w:color w:val="auto"/>
          <w:kern w:val="0"/>
          <w:sz w:val="28"/>
          <w:szCs w:val="21"/>
          <w:highlight w:val="none"/>
        </w:rPr>
      </w:pPr>
    </w:p>
    <w:p w14:paraId="129350C7">
      <w:pPr>
        <w:widowControl/>
        <w:rPr>
          <w:rFonts w:eastAsia="黑体"/>
          <w:color w:val="auto"/>
          <w:kern w:val="0"/>
          <w:sz w:val="28"/>
          <w:szCs w:val="21"/>
          <w:highlight w:val="none"/>
        </w:rPr>
      </w:pPr>
      <w:r>
        <w:rPr>
          <w:rFonts w:eastAsia="黑体"/>
          <w:color w:val="auto"/>
          <w:kern w:val="0"/>
          <w:sz w:val="28"/>
          <w:szCs w:val="21"/>
          <w:highlight w:val="none"/>
        </w:rPr>
        <w:br w:type="page"/>
      </w:r>
    </w:p>
    <w:p w14:paraId="6807C9B3">
      <w:pPr>
        <w:pStyle w:val="3"/>
        <w:spacing w:before="0" w:after="0" w:line="240" w:lineRule="auto"/>
        <w:jc w:val="center"/>
        <w:rPr>
          <w:rFonts w:ascii="Times New Roman" w:hAnsi="Times New Roman" w:eastAsia="黑体"/>
          <w:color w:val="auto"/>
          <w:kern w:val="32"/>
          <w:highlight w:val="none"/>
        </w:rPr>
      </w:pPr>
      <w:bookmarkStart w:id="1196" w:name="_Toc211498757"/>
      <w:r>
        <w:rPr>
          <w:rFonts w:ascii="Times New Roman" w:hAnsi="Times New Roman" w:eastAsia="黑体"/>
          <w:color w:val="auto"/>
          <w:kern w:val="32"/>
          <w:highlight w:val="none"/>
        </w:rPr>
        <w:t>目    录</w:t>
      </w:r>
      <w:bookmarkEnd w:id="1196"/>
    </w:p>
    <w:p w14:paraId="185D6D03">
      <w:pPr>
        <w:widowControl/>
        <w:spacing w:after="0" w:line="500" w:lineRule="exact"/>
        <w:jc w:val="left"/>
        <w:rPr>
          <w:color w:val="auto"/>
          <w:szCs w:val="21"/>
          <w:highlight w:val="none"/>
        </w:rPr>
      </w:pPr>
    </w:p>
    <w:p w14:paraId="4B0DCB92">
      <w:pPr>
        <w:spacing w:after="0" w:line="500" w:lineRule="exact"/>
        <w:ind w:left="218" w:leftChars="104"/>
        <w:jc w:val="lef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"_Toc300678567" </w:instrText>
      </w:r>
      <w:r>
        <w:rPr>
          <w:color w:val="auto"/>
          <w:highlight w:val="none"/>
        </w:rPr>
        <w:fldChar w:fldCharType="separate"/>
      </w:r>
      <w:r>
        <w:rPr>
          <w:rStyle w:val="48"/>
          <w:rFonts w:hint="eastAsia" w:ascii="宋体" w:hAnsi="宋体" w:cs="宋体"/>
          <w:color w:val="auto"/>
          <w:sz w:val="28"/>
          <w:szCs w:val="28"/>
          <w:highlight w:val="none"/>
          <w:u w:val="none"/>
        </w:rPr>
        <w:t>1.投标函及投标函附录</w:t>
      </w:r>
      <w:r>
        <w:rPr>
          <w:rStyle w:val="48"/>
          <w:rFonts w:hint="eastAsia" w:ascii="宋体" w:hAnsi="宋体" w:cs="宋体"/>
          <w:color w:val="auto"/>
          <w:sz w:val="28"/>
          <w:szCs w:val="28"/>
          <w:highlight w:val="none"/>
          <w:u w:val="none"/>
        </w:rPr>
        <w:fldChar w:fldCharType="end"/>
      </w:r>
    </w:p>
    <w:p w14:paraId="39F0D8B2">
      <w:pPr>
        <w:spacing w:after="0" w:line="500" w:lineRule="exact"/>
        <w:ind w:left="218" w:leftChars="104"/>
        <w:jc w:val="lef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"_Toc300678568" </w:instrText>
      </w:r>
      <w:r>
        <w:rPr>
          <w:color w:val="auto"/>
          <w:highlight w:val="none"/>
        </w:rPr>
        <w:fldChar w:fldCharType="separate"/>
      </w:r>
      <w:r>
        <w:rPr>
          <w:rStyle w:val="48"/>
          <w:rFonts w:hint="eastAsia" w:ascii="宋体" w:hAnsi="宋体" w:cs="宋体"/>
          <w:color w:val="auto"/>
          <w:sz w:val="28"/>
          <w:szCs w:val="28"/>
          <w:highlight w:val="none"/>
          <w:u w:val="none"/>
        </w:rPr>
        <w:t>（1）投标函</w:t>
      </w:r>
      <w:r>
        <w:rPr>
          <w:rStyle w:val="48"/>
          <w:rFonts w:hint="eastAsia" w:ascii="宋体" w:hAnsi="宋体" w:cs="宋体"/>
          <w:color w:val="auto"/>
          <w:sz w:val="28"/>
          <w:szCs w:val="28"/>
          <w:highlight w:val="none"/>
          <w:u w:val="none"/>
        </w:rPr>
        <w:fldChar w:fldCharType="end"/>
      </w:r>
    </w:p>
    <w:p w14:paraId="172F9C41">
      <w:pPr>
        <w:spacing w:after="0" w:line="500" w:lineRule="exact"/>
        <w:ind w:left="218" w:leftChars="104"/>
        <w:jc w:val="lef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"_Toc300678569" </w:instrText>
      </w:r>
      <w:r>
        <w:rPr>
          <w:color w:val="auto"/>
          <w:highlight w:val="none"/>
        </w:rPr>
        <w:fldChar w:fldCharType="separate"/>
      </w:r>
      <w:r>
        <w:rPr>
          <w:rStyle w:val="48"/>
          <w:rFonts w:hint="eastAsia" w:ascii="宋体" w:hAnsi="宋体" w:cs="宋体"/>
          <w:color w:val="auto"/>
          <w:sz w:val="28"/>
          <w:szCs w:val="28"/>
          <w:highlight w:val="none"/>
          <w:u w:val="none"/>
        </w:rPr>
        <w:t>（2）投标函附录</w:t>
      </w:r>
      <w:r>
        <w:rPr>
          <w:rStyle w:val="48"/>
          <w:rFonts w:hint="eastAsia" w:ascii="宋体" w:hAnsi="宋体" w:cs="宋体"/>
          <w:color w:val="auto"/>
          <w:sz w:val="28"/>
          <w:szCs w:val="28"/>
          <w:highlight w:val="none"/>
          <w:u w:val="none"/>
        </w:rPr>
        <w:fldChar w:fldCharType="end"/>
      </w:r>
    </w:p>
    <w:p w14:paraId="0C07A263">
      <w:pPr>
        <w:spacing w:after="0" w:line="500" w:lineRule="exact"/>
        <w:ind w:left="218" w:leftChars="104"/>
        <w:jc w:val="lef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"_Toc300678570" </w:instrText>
      </w:r>
      <w:r>
        <w:rPr>
          <w:color w:val="auto"/>
          <w:highlight w:val="none"/>
        </w:rPr>
        <w:fldChar w:fldCharType="separate"/>
      </w:r>
      <w:r>
        <w:rPr>
          <w:rStyle w:val="48"/>
          <w:rFonts w:hint="eastAsia" w:ascii="宋体" w:hAnsi="宋体" w:cs="宋体"/>
          <w:color w:val="auto"/>
          <w:sz w:val="28"/>
          <w:szCs w:val="28"/>
          <w:highlight w:val="none"/>
          <w:u w:val="none"/>
        </w:rPr>
        <w:t>2.法定代表人身份证明</w:t>
      </w:r>
      <w:r>
        <w:rPr>
          <w:rStyle w:val="48"/>
          <w:rFonts w:hint="eastAsia" w:ascii="宋体" w:hAnsi="宋体" w:cs="宋体"/>
          <w:color w:val="auto"/>
          <w:sz w:val="28"/>
          <w:szCs w:val="28"/>
          <w:highlight w:val="none"/>
          <w:u w:val="none"/>
        </w:rPr>
        <w:fldChar w:fldCharType="end"/>
      </w:r>
    </w:p>
    <w:p w14:paraId="05AF284B">
      <w:pPr>
        <w:spacing w:after="0" w:line="500" w:lineRule="exact"/>
        <w:ind w:left="218" w:leftChars="104"/>
        <w:jc w:val="lef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"_Toc300678571" </w:instrText>
      </w:r>
      <w:r>
        <w:rPr>
          <w:color w:val="auto"/>
          <w:highlight w:val="none"/>
        </w:rPr>
        <w:fldChar w:fldCharType="separate"/>
      </w:r>
      <w:r>
        <w:rPr>
          <w:rStyle w:val="48"/>
          <w:rFonts w:hint="eastAsia" w:ascii="宋体" w:hAnsi="宋体" w:cs="宋体"/>
          <w:color w:val="auto"/>
          <w:sz w:val="28"/>
          <w:szCs w:val="28"/>
          <w:highlight w:val="none"/>
          <w:u w:val="none"/>
        </w:rPr>
        <w:t>3.授权委托书</w:t>
      </w:r>
      <w:r>
        <w:rPr>
          <w:rStyle w:val="48"/>
          <w:rFonts w:hint="eastAsia" w:ascii="宋体" w:hAnsi="宋体" w:cs="宋体"/>
          <w:color w:val="auto"/>
          <w:sz w:val="28"/>
          <w:szCs w:val="28"/>
          <w:highlight w:val="none"/>
          <w:u w:val="none"/>
        </w:rPr>
        <w:fldChar w:fldCharType="end"/>
      </w:r>
      <w:r>
        <w:rPr>
          <w:rFonts w:hint="eastAsia" w:ascii="宋体" w:hAnsi="宋体" w:cs="宋体"/>
          <w:color w:val="auto"/>
          <w:sz w:val="28"/>
          <w:szCs w:val="28"/>
          <w:highlight w:val="none"/>
        </w:rPr>
        <w:t>（如委托）</w:t>
      </w:r>
    </w:p>
    <w:p w14:paraId="3042E25B">
      <w:pPr>
        <w:spacing w:after="0" w:line="500" w:lineRule="exact"/>
        <w:ind w:left="218" w:leftChars="104"/>
        <w:jc w:val="lef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"_Toc300678572" </w:instrText>
      </w:r>
      <w:r>
        <w:rPr>
          <w:color w:val="auto"/>
          <w:highlight w:val="none"/>
        </w:rPr>
        <w:fldChar w:fldCharType="separate"/>
      </w:r>
      <w:r>
        <w:rPr>
          <w:rStyle w:val="48"/>
          <w:rFonts w:hint="eastAsia" w:ascii="宋体" w:hAnsi="宋体" w:cs="宋体"/>
          <w:color w:val="auto"/>
          <w:sz w:val="28"/>
          <w:szCs w:val="28"/>
          <w:highlight w:val="none"/>
          <w:u w:val="none"/>
        </w:rPr>
        <w:t>4.联合体协议书</w:t>
      </w:r>
      <w:r>
        <w:rPr>
          <w:rStyle w:val="48"/>
          <w:rFonts w:hint="eastAsia" w:ascii="宋体" w:hAnsi="宋体" w:cs="宋体"/>
          <w:color w:val="auto"/>
          <w:sz w:val="28"/>
          <w:szCs w:val="28"/>
          <w:highlight w:val="none"/>
          <w:u w:val="none"/>
        </w:rPr>
        <w:fldChar w:fldCharType="end"/>
      </w:r>
      <w:r>
        <w:rPr>
          <w:rFonts w:hint="eastAsia" w:ascii="宋体" w:hAnsi="宋体" w:cs="宋体"/>
          <w:color w:val="auto"/>
          <w:sz w:val="28"/>
          <w:szCs w:val="28"/>
          <w:highlight w:val="none"/>
        </w:rPr>
        <w:t>（如有）</w:t>
      </w:r>
    </w:p>
    <w:p w14:paraId="36AF127B">
      <w:pPr>
        <w:spacing w:after="0" w:line="500" w:lineRule="exact"/>
        <w:ind w:left="218" w:leftChars="104"/>
        <w:jc w:val="lef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"_Toc300678573" </w:instrText>
      </w:r>
      <w:r>
        <w:rPr>
          <w:color w:val="auto"/>
          <w:highlight w:val="none"/>
        </w:rPr>
        <w:fldChar w:fldCharType="separate"/>
      </w:r>
      <w:r>
        <w:rPr>
          <w:rStyle w:val="48"/>
          <w:rFonts w:hint="eastAsia" w:ascii="宋体" w:hAnsi="宋体" w:cs="宋体"/>
          <w:color w:val="auto"/>
          <w:sz w:val="28"/>
          <w:szCs w:val="28"/>
          <w:highlight w:val="none"/>
          <w:u w:val="none"/>
        </w:rPr>
        <w:t>5.投标保证</w:t>
      </w:r>
      <w:r>
        <w:rPr>
          <w:rStyle w:val="48"/>
          <w:rFonts w:hint="eastAsia" w:ascii="宋体" w:hAnsi="宋体" w:cs="宋体"/>
          <w:color w:val="auto"/>
          <w:sz w:val="28"/>
          <w:szCs w:val="28"/>
          <w:highlight w:val="none"/>
          <w:u w:val="none"/>
        </w:rPr>
        <w:fldChar w:fldCharType="end"/>
      </w:r>
    </w:p>
    <w:p w14:paraId="67A72A8C">
      <w:pPr>
        <w:spacing w:after="0" w:line="500" w:lineRule="exact"/>
        <w:ind w:left="218" w:leftChars="104"/>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6.商务评审</w:t>
      </w:r>
    </w:p>
    <w:p w14:paraId="0531C93A">
      <w:pPr>
        <w:spacing w:after="0" w:line="500" w:lineRule="exact"/>
        <w:ind w:left="218" w:leftChars="104"/>
        <w:jc w:val="lef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"_Toc300678579" </w:instrText>
      </w:r>
      <w:r>
        <w:rPr>
          <w:color w:val="auto"/>
          <w:highlight w:val="none"/>
        </w:rPr>
        <w:fldChar w:fldCharType="separate"/>
      </w:r>
      <w:r>
        <w:rPr>
          <w:rStyle w:val="48"/>
          <w:rFonts w:hint="eastAsia" w:ascii="宋体" w:hAnsi="宋体" w:cs="宋体"/>
          <w:color w:val="auto"/>
          <w:sz w:val="28"/>
          <w:szCs w:val="28"/>
          <w:highlight w:val="none"/>
          <w:u w:val="none"/>
        </w:rPr>
        <w:t>7.拟分包计划表</w:t>
      </w:r>
      <w:r>
        <w:rPr>
          <w:rStyle w:val="48"/>
          <w:rFonts w:hint="eastAsia" w:ascii="宋体" w:hAnsi="宋体" w:cs="宋体"/>
          <w:color w:val="auto"/>
          <w:sz w:val="28"/>
          <w:szCs w:val="28"/>
          <w:highlight w:val="none"/>
          <w:u w:val="none"/>
        </w:rPr>
        <w:fldChar w:fldCharType="end"/>
      </w:r>
      <w:r>
        <w:rPr>
          <w:rFonts w:hint="eastAsia" w:ascii="宋体" w:hAnsi="宋体" w:cs="宋体"/>
          <w:color w:val="auto"/>
          <w:sz w:val="28"/>
          <w:szCs w:val="28"/>
          <w:highlight w:val="none"/>
        </w:rPr>
        <w:t>（如有）</w:t>
      </w:r>
    </w:p>
    <w:p w14:paraId="0DAEA8EA">
      <w:pPr>
        <w:spacing w:after="0" w:line="500" w:lineRule="exact"/>
        <w:ind w:left="218" w:leftChars="104"/>
        <w:jc w:val="left"/>
        <w:rPr>
          <w:rStyle w:val="48"/>
          <w:rFonts w:hint="eastAsia" w:ascii="宋体" w:hAnsi="宋体" w:cs="宋体"/>
          <w:color w:val="auto"/>
          <w:sz w:val="28"/>
          <w:szCs w:val="28"/>
          <w:highlight w:val="none"/>
        </w:rPr>
      </w:pPr>
      <w:r>
        <w:rPr>
          <w:rFonts w:ascii="宋体" w:hAnsi="宋体" w:cs="宋体"/>
          <w:color w:val="auto"/>
          <w:sz w:val="28"/>
          <w:szCs w:val="28"/>
          <w:highlight w:val="none"/>
        </w:rPr>
        <w:t>8.</w:t>
      </w:r>
      <w:r>
        <w:rPr>
          <w:rStyle w:val="48"/>
          <w:rFonts w:hint="eastAsia" w:ascii="宋体" w:hAnsi="宋体" w:cs="宋体"/>
          <w:color w:val="auto"/>
          <w:sz w:val="28"/>
          <w:szCs w:val="28"/>
          <w:highlight w:val="none"/>
        </w:rPr>
        <w:t>投标人基本情况表</w:t>
      </w:r>
    </w:p>
    <w:p w14:paraId="0ADE3F87">
      <w:pPr>
        <w:spacing w:after="0" w:line="500" w:lineRule="exact"/>
        <w:ind w:left="218" w:leftChars="104"/>
        <w:jc w:val="left"/>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"_Toc300678591" </w:instrText>
      </w:r>
      <w:r>
        <w:rPr>
          <w:color w:val="auto"/>
          <w:highlight w:val="none"/>
        </w:rPr>
        <w:fldChar w:fldCharType="separate"/>
      </w:r>
      <w:r>
        <w:rPr>
          <w:rFonts w:hint="eastAsia" w:ascii="宋体" w:hAnsi="宋体" w:cs="宋体"/>
          <w:color w:val="auto"/>
          <w:sz w:val="28"/>
          <w:szCs w:val="28"/>
          <w:highlight w:val="none"/>
        </w:rPr>
        <w:t>9.承诺书</w:t>
      </w:r>
      <w:r>
        <w:rPr>
          <w:rFonts w:hint="eastAsia" w:ascii="宋体" w:hAnsi="宋体" w:cs="宋体"/>
          <w:color w:val="auto"/>
          <w:sz w:val="28"/>
          <w:szCs w:val="28"/>
          <w:highlight w:val="none"/>
        </w:rPr>
        <w:fldChar w:fldCharType="end"/>
      </w:r>
    </w:p>
    <w:p w14:paraId="6703BF8C">
      <w:pPr>
        <w:spacing w:after="0" w:line="500" w:lineRule="exact"/>
        <w:ind w:left="218" w:leftChars="104"/>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10.其他</w:t>
      </w:r>
    </w:p>
    <w:p w14:paraId="1E16A573">
      <w:pPr>
        <w:spacing w:line="360" w:lineRule="auto"/>
        <w:ind w:left="218" w:leftChars="104"/>
        <w:rPr>
          <w:rFonts w:hint="eastAsia" w:ascii="宋体" w:hAnsi="宋体" w:cs="宋体"/>
          <w:color w:val="auto"/>
          <w:sz w:val="28"/>
          <w:szCs w:val="28"/>
          <w:highlight w:val="none"/>
        </w:rPr>
      </w:pPr>
    </w:p>
    <w:p w14:paraId="4B0A38C1">
      <w:pPr>
        <w:spacing w:line="360" w:lineRule="auto"/>
        <w:rPr>
          <w:color w:val="auto"/>
          <w:highlight w:val="none"/>
        </w:rPr>
      </w:pPr>
    </w:p>
    <w:p w14:paraId="4606FBFD">
      <w:pPr>
        <w:spacing w:line="360" w:lineRule="auto"/>
        <w:rPr>
          <w:color w:val="auto"/>
          <w:highlight w:val="none"/>
        </w:rPr>
      </w:pPr>
    </w:p>
    <w:p w14:paraId="50A8268E">
      <w:pPr>
        <w:spacing w:line="360" w:lineRule="auto"/>
        <w:rPr>
          <w:color w:val="auto"/>
          <w:highlight w:val="none"/>
        </w:rPr>
      </w:pPr>
    </w:p>
    <w:p w14:paraId="7B87D3C8">
      <w:pPr>
        <w:spacing w:line="360" w:lineRule="auto"/>
        <w:rPr>
          <w:color w:val="auto"/>
          <w:highlight w:val="none"/>
        </w:rPr>
      </w:pPr>
    </w:p>
    <w:p w14:paraId="33024F30">
      <w:pPr>
        <w:spacing w:line="360" w:lineRule="auto"/>
        <w:rPr>
          <w:color w:val="auto"/>
          <w:highlight w:val="none"/>
        </w:rPr>
      </w:pPr>
    </w:p>
    <w:p w14:paraId="5EB94985">
      <w:pPr>
        <w:spacing w:line="360" w:lineRule="auto"/>
        <w:rPr>
          <w:color w:val="auto"/>
          <w:highlight w:val="none"/>
        </w:rPr>
      </w:pPr>
    </w:p>
    <w:p w14:paraId="345D4E19">
      <w:pPr>
        <w:spacing w:line="360" w:lineRule="auto"/>
        <w:rPr>
          <w:color w:val="auto"/>
          <w:highlight w:val="none"/>
        </w:rPr>
      </w:pPr>
    </w:p>
    <w:p w14:paraId="7315485E">
      <w:pPr>
        <w:rPr>
          <w:rFonts w:eastAsia="黑体"/>
          <w:color w:val="auto"/>
          <w:sz w:val="30"/>
          <w:highlight w:val="none"/>
        </w:rPr>
      </w:pPr>
      <w:r>
        <w:rPr>
          <w:rFonts w:hint="eastAsia" w:eastAsia="黑体"/>
          <w:color w:val="auto"/>
          <w:sz w:val="30"/>
          <w:highlight w:val="none"/>
        </w:rPr>
        <w:br w:type="page"/>
      </w:r>
    </w:p>
    <w:p w14:paraId="29867FFE">
      <w:pPr>
        <w:pStyle w:val="3"/>
        <w:spacing w:before="0" w:after="0" w:line="360" w:lineRule="auto"/>
        <w:jc w:val="center"/>
        <w:rPr>
          <w:rFonts w:ascii="Times New Roman" w:hAnsi="Times New Roman" w:eastAsia="黑体"/>
          <w:color w:val="auto"/>
          <w:sz w:val="30"/>
          <w:highlight w:val="none"/>
        </w:rPr>
      </w:pPr>
      <w:bookmarkStart w:id="1197" w:name="_Toc211498758"/>
      <w:r>
        <w:rPr>
          <w:rFonts w:hint="eastAsia" w:ascii="Times New Roman" w:hAnsi="Times New Roman" w:eastAsia="黑体"/>
          <w:color w:val="auto"/>
          <w:sz w:val="30"/>
          <w:highlight w:val="none"/>
        </w:rPr>
        <w:t>1.</w:t>
      </w:r>
      <w:r>
        <w:rPr>
          <w:rFonts w:ascii="Times New Roman" w:hAnsi="Times New Roman" w:eastAsia="黑体"/>
          <w:color w:val="auto"/>
          <w:sz w:val="30"/>
          <w:highlight w:val="none"/>
        </w:rPr>
        <w:t>投标函及投标函附录</w:t>
      </w:r>
      <w:bookmarkEnd w:id="1197"/>
    </w:p>
    <w:p w14:paraId="2B6998A8">
      <w:pPr>
        <w:pStyle w:val="5"/>
        <w:spacing w:line="288" w:lineRule="auto"/>
        <w:jc w:val="center"/>
        <w:rPr>
          <w:rFonts w:eastAsia="黑体"/>
          <w:color w:val="auto"/>
          <w:sz w:val="24"/>
          <w:highlight w:val="none"/>
        </w:rPr>
      </w:pPr>
      <w:r>
        <w:rPr>
          <w:rFonts w:eastAsia="黑体"/>
          <w:color w:val="auto"/>
          <w:sz w:val="24"/>
          <w:highlight w:val="none"/>
        </w:rPr>
        <w:t>（</w:t>
      </w:r>
      <w:r>
        <w:rPr>
          <w:rFonts w:hint="eastAsia" w:eastAsia="黑体"/>
          <w:color w:val="auto"/>
          <w:sz w:val="24"/>
          <w:highlight w:val="none"/>
        </w:rPr>
        <w:t>1</w:t>
      </w:r>
      <w:r>
        <w:rPr>
          <w:rFonts w:eastAsia="黑体"/>
          <w:color w:val="auto"/>
          <w:sz w:val="24"/>
          <w:highlight w:val="none"/>
        </w:rPr>
        <w:t>）投  标  函</w:t>
      </w:r>
    </w:p>
    <w:p w14:paraId="1212E888">
      <w:pPr>
        <w:rPr>
          <w:color w:val="auto"/>
          <w:highlight w:val="none"/>
        </w:rPr>
      </w:pPr>
    </w:p>
    <w:p w14:paraId="70D506E6">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343CBF3F">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在考察现场并充分研究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（招标项目及标段）施工招标文件的全部内容后，我方兹以：</w:t>
      </w:r>
    </w:p>
    <w:p w14:paraId="7F154B64">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0F8CCF0">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RMB￥：</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45F0F24">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的投标价格和按合同约定有权得到的其它金额，并严格按照合同约定，施工、竣工和交付本工程并维修其中的任何缺陷。</w:t>
      </w:r>
    </w:p>
    <w:p w14:paraId="2503AB3B">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随同本投标函递交 □投标保证金 □投标保函一份 □投标保证保险一份，金额为人民币（大写）：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元）。□投标承诺。</w:t>
      </w:r>
    </w:p>
    <w:p w14:paraId="16143CD0">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如果我方中标，我方保证按照合同约定的开工日期开始本工程的施工，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□天（日历日）□月□年内竣工，并确保工程质量达到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14:paraId="4AAEC95A">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随本投标函递交的投标函附录是本投标函的组成部分，对我方构成约束力。</w:t>
      </w:r>
    </w:p>
    <w:p w14:paraId="552104CE">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我方承诺：若我方中标，承诺在规定时间内按投标人须知前附表规定提交履约保证金。</w:t>
      </w:r>
    </w:p>
    <w:p w14:paraId="2C3B4493">
      <w:pPr>
        <w:spacing w:after="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在签署协议书之前，你方的中标通知书连同本投标函，包括投标函附录，对双方具有约束力。</w:t>
      </w:r>
    </w:p>
    <w:p w14:paraId="13F07830">
      <w:pPr>
        <w:spacing w:after="0" w:line="500" w:lineRule="exact"/>
        <w:ind w:firstLine="420" w:firstLineChars="200"/>
        <w:rPr>
          <w:rFonts w:hint="eastAsia" w:ascii="宋体" w:hAnsi="宋体" w:cs="宋体"/>
          <w:color w:val="auto"/>
          <w:szCs w:val="21"/>
          <w:highlight w:val="none"/>
        </w:rPr>
      </w:pPr>
    </w:p>
    <w:p w14:paraId="05EFF698">
      <w:pPr>
        <w:spacing w:after="0"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641C3DA1">
      <w:pPr>
        <w:spacing w:after="0"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3A79096D">
      <w:pPr>
        <w:spacing w:after="0" w:line="5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1A81D49E">
      <w:pPr>
        <w:spacing w:line="360" w:lineRule="auto"/>
        <w:ind w:firstLine="420" w:firstLineChars="200"/>
        <w:rPr>
          <w:color w:val="auto"/>
          <w:szCs w:val="21"/>
          <w:highlight w:val="none"/>
          <w:u w:val="single"/>
        </w:rPr>
      </w:pPr>
    </w:p>
    <w:p w14:paraId="231A351D">
      <w:pPr>
        <w:ind w:firstLine="420" w:firstLineChars="200"/>
        <w:rPr>
          <w:color w:val="auto"/>
          <w:szCs w:val="21"/>
          <w:highlight w:val="none"/>
        </w:rPr>
      </w:pPr>
    </w:p>
    <w:p w14:paraId="2DCB4C52">
      <w:pPr>
        <w:spacing w:line="360" w:lineRule="auto"/>
        <w:rPr>
          <w:rFonts w:eastAsia="黑体"/>
          <w:color w:val="auto"/>
          <w:sz w:val="24"/>
          <w:highlight w:val="none"/>
        </w:rPr>
        <w:sectPr>
          <w:pgSz w:w="11907" w:h="16840"/>
          <w:pgMar w:top="1440" w:right="1440" w:bottom="1440" w:left="1440" w:header="851" w:footer="850" w:gutter="0"/>
          <w:cols w:space="720" w:num="1"/>
          <w:docGrid w:linePitch="326" w:charSpace="0"/>
        </w:sectPr>
      </w:pPr>
    </w:p>
    <w:p w14:paraId="7FB470BB">
      <w:pPr>
        <w:pStyle w:val="5"/>
        <w:jc w:val="center"/>
        <w:rPr>
          <w:rFonts w:eastAsia="黑体"/>
          <w:color w:val="auto"/>
          <w:sz w:val="24"/>
          <w:highlight w:val="none"/>
        </w:rPr>
      </w:pPr>
      <w:r>
        <w:rPr>
          <w:rFonts w:eastAsia="黑体"/>
          <w:color w:val="auto"/>
          <w:sz w:val="24"/>
          <w:highlight w:val="none"/>
        </w:rPr>
        <w:t>（</w:t>
      </w:r>
      <w:r>
        <w:rPr>
          <w:rFonts w:hint="eastAsia" w:eastAsia="黑体"/>
          <w:color w:val="auto"/>
          <w:sz w:val="24"/>
          <w:highlight w:val="none"/>
        </w:rPr>
        <w:t>2</w:t>
      </w:r>
      <w:r>
        <w:rPr>
          <w:rFonts w:eastAsia="黑体"/>
          <w:color w:val="auto"/>
          <w:sz w:val="24"/>
          <w:highlight w:val="none"/>
        </w:rPr>
        <w:t>）投标函附录</w:t>
      </w:r>
    </w:p>
    <w:tbl>
      <w:tblPr>
        <w:tblStyle w:val="41"/>
        <w:tblpPr w:leftFromText="180" w:rightFromText="180" w:vertAnchor="text" w:horzAnchor="page" w:tblpX="1065" w:tblpY="952"/>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509"/>
        <w:gridCol w:w="2827"/>
        <w:gridCol w:w="2139"/>
        <w:gridCol w:w="1546"/>
      </w:tblGrid>
      <w:tr w14:paraId="20E5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837" w:type="dxa"/>
            <w:tcBorders>
              <w:top w:val="single" w:color="auto" w:sz="12" w:space="0"/>
              <w:left w:val="single" w:color="auto" w:sz="12" w:space="0"/>
            </w:tcBorders>
            <w:vAlign w:val="center"/>
          </w:tcPr>
          <w:p w14:paraId="569AEFEA">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 号</w:t>
            </w:r>
          </w:p>
        </w:tc>
        <w:tc>
          <w:tcPr>
            <w:tcW w:w="2509" w:type="dxa"/>
            <w:tcBorders>
              <w:top w:val="single" w:color="auto" w:sz="12" w:space="0"/>
            </w:tcBorders>
            <w:vAlign w:val="center"/>
          </w:tcPr>
          <w:p w14:paraId="11509202">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条款内容</w:t>
            </w:r>
          </w:p>
        </w:tc>
        <w:tc>
          <w:tcPr>
            <w:tcW w:w="2827" w:type="dxa"/>
            <w:tcBorders>
              <w:top w:val="single" w:color="auto" w:sz="12" w:space="0"/>
            </w:tcBorders>
            <w:vAlign w:val="center"/>
          </w:tcPr>
          <w:p w14:paraId="75A68755">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合同条款号</w:t>
            </w:r>
          </w:p>
        </w:tc>
        <w:tc>
          <w:tcPr>
            <w:tcW w:w="2139" w:type="dxa"/>
            <w:tcBorders>
              <w:top w:val="single" w:color="auto" w:sz="12" w:space="0"/>
            </w:tcBorders>
            <w:vAlign w:val="center"/>
          </w:tcPr>
          <w:p w14:paraId="6932415A">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约定内容</w:t>
            </w:r>
          </w:p>
        </w:tc>
        <w:tc>
          <w:tcPr>
            <w:tcW w:w="1546" w:type="dxa"/>
            <w:tcBorders>
              <w:top w:val="single" w:color="auto" w:sz="12" w:space="0"/>
              <w:right w:val="single" w:color="auto" w:sz="12" w:space="0"/>
            </w:tcBorders>
            <w:vAlign w:val="center"/>
          </w:tcPr>
          <w:p w14:paraId="5B717C7E">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说明</w:t>
            </w:r>
          </w:p>
        </w:tc>
      </w:tr>
      <w:tr w14:paraId="6DBC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5D882664">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09" w:type="dxa"/>
            <w:vAlign w:val="center"/>
          </w:tcPr>
          <w:p w14:paraId="79E4B8F4">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27" w:type="dxa"/>
            <w:tcMar>
              <w:left w:w="170" w:type="dxa"/>
            </w:tcMar>
            <w:vAlign w:val="center"/>
          </w:tcPr>
          <w:p w14:paraId="37B5E213">
            <w:pPr>
              <w:spacing w:after="0" w:line="240" w:lineRule="auto"/>
              <w:rPr>
                <w:rFonts w:hint="eastAsia" w:ascii="宋体" w:hAnsi="宋体" w:cs="宋体"/>
                <w:color w:val="auto"/>
                <w:szCs w:val="21"/>
                <w:highlight w:val="none"/>
              </w:rPr>
            </w:pPr>
          </w:p>
        </w:tc>
        <w:tc>
          <w:tcPr>
            <w:tcW w:w="2139" w:type="dxa"/>
            <w:vAlign w:val="center"/>
          </w:tcPr>
          <w:p w14:paraId="023CC1FA">
            <w:pPr>
              <w:spacing w:after="0" w:line="24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姓名：  </w:t>
            </w:r>
          </w:p>
        </w:tc>
        <w:tc>
          <w:tcPr>
            <w:tcW w:w="1546" w:type="dxa"/>
            <w:tcBorders>
              <w:right w:val="single" w:color="auto" w:sz="12" w:space="0"/>
            </w:tcBorders>
            <w:vAlign w:val="center"/>
          </w:tcPr>
          <w:p w14:paraId="2E37C649">
            <w:pPr>
              <w:spacing w:after="0" w:line="240" w:lineRule="auto"/>
              <w:jc w:val="center"/>
              <w:rPr>
                <w:rFonts w:hint="eastAsia" w:ascii="宋体" w:hAnsi="宋体" w:cs="宋体"/>
                <w:color w:val="auto"/>
                <w:szCs w:val="21"/>
                <w:highlight w:val="none"/>
              </w:rPr>
            </w:pPr>
          </w:p>
        </w:tc>
      </w:tr>
      <w:tr w14:paraId="66A9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2E3A4013">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09" w:type="dxa"/>
            <w:vAlign w:val="center"/>
          </w:tcPr>
          <w:p w14:paraId="7A072A89">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27" w:type="dxa"/>
            <w:tcMar>
              <w:left w:w="170" w:type="dxa"/>
            </w:tcMar>
            <w:vAlign w:val="center"/>
          </w:tcPr>
          <w:p w14:paraId="29ABE787">
            <w:pPr>
              <w:spacing w:after="0" w:line="240" w:lineRule="auto"/>
              <w:rPr>
                <w:rFonts w:hint="eastAsia" w:ascii="宋体" w:hAnsi="宋体" w:cs="宋体"/>
                <w:color w:val="auto"/>
                <w:szCs w:val="21"/>
                <w:highlight w:val="none"/>
              </w:rPr>
            </w:pPr>
          </w:p>
        </w:tc>
        <w:tc>
          <w:tcPr>
            <w:tcW w:w="2139" w:type="dxa"/>
            <w:vAlign w:val="center"/>
          </w:tcPr>
          <w:p w14:paraId="194F34C4">
            <w:pPr>
              <w:spacing w:after="0" w:line="240" w:lineRule="auto"/>
              <w:rPr>
                <w:rFonts w:hint="eastAsia" w:ascii="宋体" w:hAnsi="宋体" w:cs="宋体"/>
                <w:color w:val="auto"/>
                <w:szCs w:val="21"/>
                <w:highlight w:val="none"/>
              </w:rPr>
            </w:pPr>
          </w:p>
        </w:tc>
        <w:tc>
          <w:tcPr>
            <w:tcW w:w="1546" w:type="dxa"/>
            <w:tcBorders>
              <w:right w:val="single" w:color="auto" w:sz="12" w:space="0"/>
            </w:tcBorders>
            <w:vAlign w:val="center"/>
          </w:tcPr>
          <w:p w14:paraId="7457934E">
            <w:pPr>
              <w:spacing w:after="0" w:line="240" w:lineRule="auto"/>
              <w:jc w:val="center"/>
              <w:rPr>
                <w:rFonts w:hint="eastAsia" w:ascii="宋体" w:hAnsi="宋体" w:cs="宋体"/>
                <w:color w:val="auto"/>
                <w:szCs w:val="21"/>
                <w:highlight w:val="none"/>
              </w:rPr>
            </w:pPr>
          </w:p>
        </w:tc>
      </w:tr>
      <w:tr w14:paraId="6300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7249B57E">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09" w:type="dxa"/>
            <w:vAlign w:val="center"/>
          </w:tcPr>
          <w:p w14:paraId="2163D10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27" w:type="dxa"/>
            <w:tcMar>
              <w:left w:w="170" w:type="dxa"/>
            </w:tcMar>
            <w:vAlign w:val="center"/>
          </w:tcPr>
          <w:p w14:paraId="5B7A04DE">
            <w:pPr>
              <w:spacing w:after="0" w:line="240" w:lineRule="auto"/>
              <w:rPr>
                <w:rFonts w:hint="eastAsia" w:ascii="宋体" w:hAnsi="宋体" w:cs="宋体"/>
                <w:color w:val="auto"/>
                <w:szCs w:val="21"/>
                <w:highlight w:val="none"/>
              </w:rPr>
            </w:pPr>
          </w:p>
        </w:tc>
        <w:tc>
          <w:tcPr>
            <w:tcW w:w="2139" w:type="dxa"/>
            <w:vAlign w:val="center"/>
          </w:tcPr>
          <w:p w14:paraId="35DE4A76">
            <w:pPr>
              <w:spacing w:after="0" w:line="240" w:lineRule="auto"/>
              <w:jc w:val="center"/>
              <w:rPr>
                <w:rFonts w:hint="eastAsia" w:ascii="宋体" w:hAnsi="宋体" w:cs="宋体"/>
                <w:color w:val="auto"/>
                <w:szCs w:val="21"/>
                <w:highlight w:val="none"/>
                <w:u w:val="single"/>
              </w:rPr>
            </w:pPr>
          </w:p>
        </w:tc>
        <w:tc>
          <w:tcPr>
            <w:tcW w:w="1546" w:type="dxa"/>
            <w:tcBorders>
              <w:right w:val="single" w:color="auto" w:sz="12" w:space="0"/>
            </w:tcBorders>
            <w:vAlign w:val="center"/>
          </w:tcPr>
          <w:p w14:paraId="347904AD">
            <w:pPr>
              <w:spacing w:after="0" w:line="240" w:lineRule="auto"/>
              <w:jc w:val="center"/>
              <w:rPr>
                <w:rFonts w:hint="eastAsia" w:ascii="宋体" w:hAnsi="宋体" w:cs="宋体"/>
                <w:color w:val="auto"/>
                <w:szCs w:val="21"/>
                <w:highlight w:val="none"/>
              </w:rPr>
            </w:pPr>
          </w:p>
        </w:tc>
      </w:tr>
      <w:tr w14:paraId="708D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145DFDB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09" w:type="dxa"/>
            <w:vAlign w:val="center"/>
          </w:tcPr>
          <w:p w14:paraId="2301DC94">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保修要求</w:t>
            </w:r>
          </w:p>
        </w:tc>
        <w:tc>
          <w:tcPr>
            <w:tcW w:w="2827" w:type="dxa"/>
            <w:tcMar>
              <w:left w:w="170" w:type="dxa"/>
            </w:tcMar>
            <w:vAlign w:val="center"/>
          </w:tcPr>
          <w:p w14:paraId="3624F6E3">
            <w:pPr>
              <w:spacing w:after="0" w:line="240" w:lineRule="auto"/>
              <w:rPr>
                <w:rFonts w:hint="eastAsia" w:ascii="宋体" w:hAnsi="宋体" w:cs="宋体"/>
                <w:color w:val="auto"/>
                <w:szCs w:val="21"/>
                <w:highlight w:val="none"/>
              </w:rPr>
            </w:pPr>
          </w:p>
        </w:tc>
        <w:tc>
          <w:tcPr>
            <w:tcW w:w="2139" w:type="dxa"/>
            <w:vAlign w:val="center"/>
          </w:tcPr>
          <w:p w14:paraId="5E9C7C47">
            <w:pPr>
              <w:spacing w:after="0" w:line="240" w:lineRule="auto"/>
              <w:jc w:val="center"/>
              <w:rPr>
                <w:rFonts w:hint="eastAsia" w:ascii="宋体" w:hAnsi="宋体" w:cs="宋体"/>
                <w:color w:val="auto"/>
                <w:szCs w:val="21"/>
                <w:highlight w:val="none"/>
                <w:u w:val="single"/>
              </w:rPr>
            </w:pPr>
          </w:p>
        </w:tc>
        <w:tc>
          <w:tcPr>
            <w:tcW w:w="1546" w:type="dxa"/>
            <w:tcBorders>
              <w:right w:val="single" w:color="auto" w:sz="12" w:space="0"/>
            </w:tcBorders>
            <w:vAlign w:val="center"/>
          </w:tcPr>
          <w:p w14:paraId="764E43DC">
            <w:pPr>
              <w:spacing w:after="0" w:line="240" w:lineRule="auto"/>
              <w:jc w:val="center"/>
              <w:rPr>
                <w:rFonts w:hint="eastAsia" w:ascii="宋体" w:hAnsi="宋体" w:cs="宋体"/>
                <w:color w:val="auto"/>
                <w:szCs w:val="21"/>
                <w:highlight w:val="none"/>
              </w:rPr>
            </w:pPr>
          </w:p>
        </w:tc>
      </w:tr>
      <w:tr w14:paraId="51EB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24FBA3B5">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509" w:type="dxa"/>
            <w:vAlign w:val="center"/>
          </w:tcPr>
          <w:p w14:paraId="340DE944">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2827" w:type="dxa"/>
            <w:tcMar>
              <w:left w:w="170" w:type="dxa"/>
            </w:tcMar>
            <w:vAlign w:val="center"/>
          </w:tcPr>
          <w:p w14:paraId="741EDCE0">
            <w:pPr>
              <w:spacing w:after="0" w:line="240" w:lineRule="auto"/>
              <w:rPr>
                <w:rFonts w:hint="eastAsia" w:ascii="宋体" w:hAnsi="宋体" w:cs="宋体"/>
                <w:color w:val="auto"/>
                <w:szCs w:val="21"/>
                <w:highlight w:val="none"/>
              </w:rPr>
            </w:pPr>
          </w:p>
        </w:tc>
        <w:tc>
          <w:tcPr>
            <w:tcW w:w="2139" w:type="dxa"/>
            <w:vAlign w:val="center"/>
          </w:tcPr>
          <w:p w14:paraId="47EB2902">
            <w:pPr>
              <w:spacing w:after="0" w:line="240" w:lineRule="auto"/>
              <w:jc w:val="center"/>
              <w:rPr>
                <w:rFonts w:hint="eastAsia" w:ascii="宋体" w:hAnsi="宋体" w:cs="宋体"/>
                <w:color w:val="auto"/>
                <w:szCs w:val="21"/>
                <w:highlight w:val="none"/>
              </w:rPr>
            </w:pPr>
          </w:p>
        </w:tc>
        <w:tc>
          <w:tcPr>
            <w:tcW w:w="1546" w:type="dxa"/>
            <w:tcBorders>
              <w:right w:val="single" w:color="auto" w:sz="12" w:space="0"/>
            </w:tcBorders>
            <w:vAlign w:val="center"/>
          </w:tcPr>
          <w:p w14:paraId="793BF558">
            <w:pPr>
              <w:spacing w:after="0" w:line="240" w:lineRule="auto"/>
              <w:jc w:val="center"/>
              <w:rPr>
                <w:rFonts w:hint="eastAsia" w:ascii="宋体" w:hAnsi="宋体" w:cs="宋体"/>
                <w:color w:val="auto"/>
                <w:szCs w:val="21"/>
                <w:highlight w:val="none"/>
              </w:rPr>
            </w:pPr>
          </w:p>
        </w:tc>
      </w:tr>
      <w:tr w14:paraId="4701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11FCA8F7">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509" w:type="dxa"/>
            <w:vAlign w:val="center"/>
          </w:tcPr>
          <w:p w14:paraId="55E673E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2827" w:type="dxa"/>
            <w:tcMar>
              <w:left w:w="170" w:type="dxa"/>
            </w:tcMar>
            <w:vAlign w:val="center"/>
          </w:tcPr>
          <w:p w14:paraId="3A035541">
            <w:pPr>
              <w:spacing w:after="0" w:line="240" w:lineRule="auto"/>
              <w:rPr>
                <w:rFonts w:hint="eastAsia" w:ascii="宋体" w:hAnsi="宋体" w:cs="宋体"/>
                <w:color w:val="auto"/>
                <w:szCs w:val="21"/>
                <w:highlight w:val="none"/>
              </w:rPr>
            </w:pPr>
          </w:p>
        </w:tc>
        <w:tc>
          <w:tcPr>
            <w:tcW w:w="2139" w:type="dxa"/>
            <w:vAlign w:val="center"/>
          </w:tcPr>
          <w:p w14:paraId="0E06A8E9">
            <w:pPr>
              <w:spacing w:after="0" w:line="240" w:lineRule="auto"/>
              <w:jc w:val="center"/>
              <w:rPr>
                <w:rFonts w:hint="eastAsia" w:ascii="宋体" w:hAnsi="宋体" w:cs="宋体"/>
                <w:color w:val="auto"/>
                <w:szCs w:val="21"/>
                <w:highlight w:val="none"/>
              </w:rPr>
            </w:pPr>
          </w:p>
        </w:tc>
        <w:tc>
          <w:tcPr>
            <w:tcW w:w="1546" w:type="dxa"/>
            <w:tcBorders>
              <w:right w:val="single" w:color="auto" w:sz="12" w:space="0"/>
            </w:tcBorders>
            <w:vAlign w:val="center"/>
          </w:tcPr>
          <w:p w14:paraId="2A44EA68">
            <w:pPr>
              <w:spacing w:after="0" w:line="240" w:lineRule="auto"/>
              <w:jc w:val="center"/>
              <w:rPr>
                <w:rFonts w:hint="eastAsia" w:ascii="宋体" w:hAnsi="宋体" w:cs="宋体"/>
                <w:color w:val="auto"/>
                <w:szCs w:val="21"/>
                <w:highlight w:val="none"/>
              </w:rPr>
            </w:pPr>
          </w:p>
        </w:tc>
      </w:tr>
      <w:tr w14:paraId="1A1E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09A6515F">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509" w:type="dxa"/>
            <w:vAlign w:val="center"/>
          </w:tcPr>
          <w:p w14:paraId="57FB95ED">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2827" w:type="dxa"/>
            <w:tcMar>
              <w:left w:w="170" w:type="dxa"/>
            </w:tcMar>
            <w:vAlign w:val="center"/>
          </w:tcPr>
          <w:p w14:paraId="346B4488">
            <w:pPr>
              <w:spacing w:after="0" w:line="240" w:lineRule="auto"/>
              <w:rPr>
                <w:rFonts w:hint="eastAsia" w:ascii="宋体" w:hAnsi="宋体" w:cs="宋体"/>
                <w:color w:val="auto"/>
                <w:szCs w:val="21"/>
                <w:highlight w:val="none"/>
              </w:rPr>
            </w:pPr>
          </w:p>
        </w:tc>
        <w:tc>
          <w:tcPr>
            <w:tcW w:w="2139" w:type="dxa"/>
            <w:vAlign w:val="center"/>
          </w:tcPr>
          <w:p w14:paraId="69C875B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见分包项目情况表</w:t>
            </w:r>
          </w:p>
        </w:tc>
        <w:tc>
          <w:tcPr>
            <w:tcW w:w="1546" w:type="dxa"/>
            <w:tcBorders>
              <w:right w:val="single" w:color="auto" w:sz="12" w:space="0"/>
            </w:tcBorders>
            <w:vAlign w:val="center"/>
          </w:tcPr>
          <w:p w14:paraId="7A28FC60">
            <w:pPr>
              <w:spacing w:after="0" w:line="240" w:lineRule="auto"/>
              <w:jc w:val="center"/>
              <w:rPr>
                <w:rFonts w:hint="eastAsia" w:ascii="宋体" w:hAnsi="宋体" w:cs="宋体"/>
                <w:color w:val="auto"/>
                <w:szCs w:val="21"/>
                <w:highlight w:val="none"/>
              </w:rPr>
            </w:pPr>
          </w:p>
        </w:tc>
      </w:tr>
      <w:tr w14:paraId="7A44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0926E2BB">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509" w:type="dxa"/>
            <w:vAlign w:val="center"/>
          </w:tcPr>
          <w:p w14:paraId="0486461B">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2827" w:type="dxa"/>
            <w:tcMar>
              <w:left w:w="170" w:type="dxa"/>
            </w:tcMar>
            <w:vAlign w:val="center"/>
          </w:tcPr>
          <w:p w14:paraId="09DA4FCF">
            <w:pPr>
              <w:spacing w:after="0" w:line="240" w:lineRule="auto"/>
              <w:rPr>
                <w:rFonts w:hint="eastAsia" w:ascii="宋体" w:hAnsi="宋体" w:cs="宋体"/>
                <w:color w:val="auto"/>
                <w:szCs w:val="21"/>
                <w:highlight w:val="none"/>
              </w:rPr>
            </w:pPr>
          </w:p>
        </w:tc>
        <w:tc>
          <w:tcPr>
            <w:tcW w:w="2139" w:type="dxa"/>
            <w:vAlign w:val="center"/>
          </w:tcPr>
          <w:p w14:paraId="6B82B5AF">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元/天</w:t>
            </w:r>
          </w:p>
        </w:tc>
        <w:tc>
          <w:tcPr>
            <w:tcW w:w="1546" w:type="dxa"/>
            <w:tcBorders>
              <w:right w:val="single" w:color="auto" w:sz="12" w:space="0"/>
            </w:tcBorders>
            <w:vAlign w:val="center"/>
          </w:tcPr>
          <w:p w14:paraId="51D0129A">
            <w:pPr>
              <w:spacing w:after="0" w:line="240" w:lineRule="auto"/>
              <w:jc w:val="center"/>
              <w:rPr>
                <w:rFonts w:hint="eastAsia" w:ascii="宋体" w:hAnsi="宋体" w:cs="宋体"/>
                <w:color w:val="auto"/>
                <w:szCs w:val="21"/>
                <w:highlight w:val="none"/>
              </w:rPr>
            </w:pPr>
          </w:p>
        </w:tc>
      </w:tr>
      <w:tr w14:paraId="27A8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126C2BB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509" w:type="dxa"/>
            <w:vAlign w:val="center"/>
          </w:tcPr>
          <w:p w14:paraId="051FAF7E">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2827" w:type="dxa"/>
            <w:tcMar>
              <w:left w:w="170" w:type="dxa"/>
            </w:tcMar>
            <w:vAlign w:val="center"/>
          </w:tcPr>
          <w:p w14:paraId="0F81ECE8">
            <w:pPr>
              <w:spacing w:after="0" w:line="240" w:lineRule="auto"/>
              <w:rPr>
                <w:rFonts w:hint="eastAsia" w:ascii="宋体" w:hAnsi="宋体" w:cs="宋体"/>
                <w:color w:val="auto"/>
                <w:szCs w:val="21"/>
                <w:highlight w:val="none"/>
              </w:rPr>
            </w:pPr>
          </w:p>
        </w:tc>
        <w:tc>
          <w:tcPr>
            <w:tcW w:w="2139" w:type="dxa"/>
            <w:vAlign w:val="center"/>
          </w:tcPr>
          <w:p w14:paraId="09A7599B">
            <w:pPr>
              <w:spacing w:after="0" w:line="240" w:lineRule="auto"/>
              <w:rPr>
                <w:rFonts w:hint="eastAsia" w:ascii="宋体" w:hAnsi="宋体" w:cs="宋体"/>
                <w:color w:val="auto"/>
                <w:szCs w:val="21"/>
                <w:highlight w:val="none"/>
              </w:rPr>
            </w:pPr>
          </w:p>
        </w:tc>
        <w:tc>
          <w:tcPr>
            <w:tcW w:w="1546" w:type="dxa"/>
            <w:tcBorders>
              <w:right w:val="single" w:color="auto" w:sz="12" w:space="0"/>
            </w:tcBorders>
            <w:vAlign w:val="center"/>
          </w:tcPr>
          <w:p w14:paraId="2E561CA6">
            <w:pPr>
              <w:spacing w:after="0" w:line="240" w:lineRule="auto"/>
              <w:jc w:val="center"/>
              <w:rPr>
                <w:rFonts w:hint="eastAsia" w:ascii="宋体" w:hAnsi="宋体" w:cs="宋体"/>
                <w:color w:val="auto"/>
                <w:szCs w:val="21"/>
                <w:highlight w:val="none"/>
              </w:rPr>
            </w:pPr>
          </w:p>
        </w:tc>
      </w:tr>
      <w:tr w14:paraId="7788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17B69C2D">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509" w:type="dxa"/>
            <w:vAlign w:val="center"/>
          </w:tcPr>
          <w:p w14:paraId="2883BA51">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2827" w:type="dxa"/>
            <w:tcMar>
              <w:left w:w="170" w:type="dxa"/>
            </w:tcMar>
            <w:vAlign w:val="center"/>
          </w:tcPr>
          <w:p w14:paraId="014744D0">
            <w:pPr>
              <w:spacing w:after="0" w:line="240" w:lineRule="auto"/>
              <w:rPr>
                <w:rFonts w:hint="eastAsia" w:ascii="宋体" w:hAnsi="宋体" w:cs="宋体"/>
                <w:color w:val="auto"/>
                <w:szCs w:val="21"/>
                <w:highlight w:val="none"/>
              </w:rPr>
            </w:pPr>
          </w:p>
        </w:tc>
        <w:tc>
          <w:tcPr>
            <w:tcW w:w="2139" w:type="dxa"/>
            <w:vAlign w:val="center"/>
          </w:tcPr>
          <w:p w14:paraId="3E0E0FEE">
            <w:pPr>
              <w:spacing w:after="0" w:line="240" w:lineRule="auto"/>
              <w:jc w:val="center"/>
              <w:rPr>
                <w:rFonts w:hint="eastAsia" w:ascii="宋体" w:hAnsi="宋体" w:cs="宋体"/>
                <w:color w:val="auto"/>
                <w:szCs w:val="21"/>
                <w:highlight w:val="none"/>
              </w:rPr>
            </w:pPr>
          </w:p>
        </w:tc>
        <w:tc>
          <w:tcPr>
            <w:tcW w:w="1546" w:type="dxa"/>
            <w:tcBorders>
              <w:right w:val="single" w:color="auto" w:sz="12" w:space="0"/>
            </w:tcBorders>
            <w:vAlign w:val="center"/>
          </w:tcPr>
          <w:p w14:paraId="2057EBAC">
            <w:pPr>
              <w:spacing w:after="0" w:line="240" w:lineRule="auto"/>
              <w:jc w:val="center"/>
              <w:rPr>
                <w:rFonts w:hint="eastAsia" w:ascii="宋体" w:hAnsi="宋体" w:cs="宋体"/>
                <w:color w:val="auto"/>
                <w:szCs w:val="21"/>
                <w:highlight w:val="none"/>
              </w:rPr>
            </w:pPr>
          </w:p>
        </w:tc>
      </w:tr>
      <w:tr w14:paraId="7827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2E973485">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509" w:type="dxa"/>
            <w:vAlign w:val="center"/>
          </w:tcPr>
          <w:p w14:paraId="0B9D282F">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2827" w:type="dxa"/>
            <w:tcMar>
              <w:left w:w="170" w:type="dxa"/>
            </w:tcMar>
            <w:vAlign w:val="center"/>
          </w:tcPr>
          <w:p w14:paraId="30E7E627">
            <w:pPr>
              <w:spacing w:after="0" w:line="240" w:lineRule="auto"/>
              <w:rPr>
                <w:rFonts w:hint="eastAsia" w:ascii="宋体" w:hAnsi="宋体" w:cs="宋体"/>
                <w:color w:val="auto"/>
                <w:szCs w:val="21"/>
                <w:highlight w:val="none"/>
              </w:rPr>
            </w:pPr>
          </w:p>
        </w:tc>
        <w:tc>
          <w:tcPr>
            <w:tcW w:w="2139" w:type="dxa"/>
            <w:vAlign w:val="center"/>
          </w:tcPr>
          <w:p w14:paraId="4F889A22">
            <w:pPr>
              <w:spacing w:after="0" w:line="240" w:lineRule="auto"/>
              <w:jc w:val="center"/>
              <w:rPr>
                <w:rFonts w:hint="eastAsia" w:ascii="宋体" w:hAnsi="宋体" w:cs="宋体"/>
                <w:color w:val="auto"/>
                <w:szCs w:val="21"/>
                <w:highlight w:val="none"/>
              </w:rPr>
            </w:pPr>
          </w:p>
        </w:tc>
        <w:tc>
          <w:tcPr>
            <w:tcW w:w="1546" w:type="dxa"/>
            <w:tcBorders>
              <w:right w:val="single" w:color="auto" w:sz="12" w:space="0"/>
            </w:tcBorders>
            <w:vAlign w:val="center"/>
          </w:tcPr>
          <w:p w14:paraId="7749535D">
            <w:pPr>
              <w:spacing w:after="0" w:line="240" w:lineRule="auto"/>
              <w:jc w:val="center"/>
              <w:rPr>
                <w:rFonts w:hint="eastAsia" w:ascii="宋体" w:hAnsi="宋体" w:cs="宋体"/>
                <w:color w:val="auto"/>
                <w:szCs w:val="21"/>
                <w:highlight w:val="none"/>
              </w:rPr>
            </w:pPr>
          </w:p>
        </w:tc>
      </w:tr>
      <w:tr w14:paraId="518B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7" w:type="dxa"/>
            <w:tcBorders>
              <w:left w:val="single" w:color="auto" w:sz="12" w:space="0"/>
            </w:tcBorders>
            <w:vAlign w:val="center"/>
          </w:tcPr>
          <w:p w14:paraId="4DEAC4CB">
            <w:pPr>
              <w:spacing w:after="0" w:line="240" w:lineRule="auto"/>
              <w:jc w:val="center"/>
              <w:rPr>
                <w:rFonts w:hint="eastAsia" w:ascii="宋体" w:hAnsi="宋体" w:cs="宋体"/>
                <w:color w:val="auto"/>
                <w:szCs w:val="21"/>
                <w:highlight w:val="none"/>
              </w:rPr>
            </w:pPr>
          </w:p>
        </w:tc>
        <w:tc>
          <w:tcPr>
            <w:tcW w:w="2509" w:type="dxa"/>
            <w:vAlign w:val="center"/>
          </w:tcPr>
          <w:p w14:paraId="28B7854B">
            <w:pPr>
              <w:spacing w:after="0" w:line="240" w:lineRule="auto"/>
              <w:rPr>
                <w:rFonts w:hint="eastAsia" w:ascii="宋体" w:hAnsi="宋体" w:cs="宋体"/>
                <w:color w:val="auto"/>
                <w:szCs w:val="21"/>
                <w:highlight w:val="none"/>
              </w:rPr>
            </w:pPr>
          </w:p>
        </w:tc>
        <w:tc>
          <w:tcPr>
            <w:tcW w:w="2827" w:type="dxa"/>
            <w:tcMar>
              <w:left w:w="170" w:type="dxa"/>
            </w:tcMar>
            <w:vAlign w:val="center"/>
          </w:tcPr>
          <w:p w14:paraId="6F6F872F">
            <w:pPr>
              <w:spacing w:after="0" w:line="240" w:lineRule="auto"/>
              <w:rPr>
                <w:rFonts w:hint="eastAsia" w:ascii="宋体" w:hAnsi="宋体" w:cs="宋体"/>
                <w:color w:val="auto"/>
                <w:szCs w:val="21"/>
                <w:highlight w:val="none"/>
              </w:rPr>
            </w:pPr>
          </w:p>
        </w:tc>
        <w:tc>
          <w:tcPr>
            <w:tcW w:w="2139" w:type="dxa"/>
            <w:vAlign w:val="center"/>
          </w:tcPr>
          <w:p w14:paraId="50A24935">
            <w:pPr>
              <w:spacing w:after="0" w:line="240" w:lineRule="auto"/>
              <w:jc w:val="center"/>
              <w:rPr>
                <w:rFonts w:hint="eastAsia" w:ascii="宋体" w:hAnsi="宋体" w:cs="宋体"/>
                <w:color w:val="auto"/>
                <w:szCs w:val="21"/>
                <w:highlight w:val="none"/>
              </w:rPr>
            </w:pPr>
          </w:p>
        </w:tc>
        <w:tc>
          <w:tcPr>
            <w:tcW w:w="1546" w:type="dxa"/>
            <w:tcBorders>
              <w:right w:val="single" w:color="auto" w:sz="12" w:space="0"/>
            </w:tcBorders>
            <w:vAlign w:val="center"/>
          </w:tcPr>
          <w:p w14:paraId="7017867E">
            <w:pPr>
              <w:spacing w:after="0" w:line="240" w:lineRule="auto"/>
              <w:jc w:val="center"/>
              <w:rPr>
                <w:rFonts w:hint="eastAsia" w:ascii="宋体" w:hAnsi="宋体" w:cs="宋体"/>
                <w:color w:val="auto"/>
                <w:szCs w:val="21"/>
                <w:highlight w:val="none"/>
              </w:rPr>
            </w:pPr>
          </w:p>
        </w:tc>
      </w:tr>
      <w:tr w14:paraId="38F7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837" w:type="dxa"/>
            <w:tcBorders>
              <w:left w:val="single" w:color="auto" w:sz="12" w:space="0"/>
              <w:bottom w:val="single" w:color="auto" w:sz="12" w:space="0"/>
            </w:tcBorders>
            <w:vAlign w:val="center"/>
          </w:tcPr>
          <w:p w14:paraId="47977451">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509" w:type="dxa"/>
            <w:tcBorders>
              <w:bottom w:val="single" w:color="auto" w:sz="12" w:space="0"/>
            </w:tcBorders>
            <w:vAlign w:val="center"/>
          </w:tcPr>
          <w:p w14:paraId="188C39B5">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827" w:type="dxa"/>
            <w:tcBorders>
              <w:bottom w:val="single" w:color="auto" w:sz="12" w:space="0"/>
            </w:tcBorders>
            <w:vAlign w:val="center"/>
          </w:tcPr>
          <w:p w14:paraId="50886663">
            <w:pPr>
              <w:spacing w:after="0" w:line="240" w:lineRule="auto"/>
              <w:jc w:val="center"/>
              <w:rPr>
                <w:rFonts w:hint="eastAsia" w:ascii="宋体" w:hAnsi="宋体" w:cs="宋体"/>
                <w:color w:val="auto"/>
                <w:szCs w:val="21"/>
                <w:highlight w:val="none"/>
              </w:rPr>
            </w:pPr>
          </w:p>
        </w:tc>
        <w:tc>
          <w:tcPr>
            <w:tcW w:w="2139" w:type="dxa"/>
            <w:tcBorders>
              <w:bottom w:val="single" w:color="auto" w:sz="12" w:space="0"/>
            </w:tcBorders>
            <w:vAlign w:val="center"/>
          </w:tcPr>
          <w:p w14:paraId="178DE8BE">
            <w:pPr>
              <w:spacing w:after="0" w:line="240" w:lineRule="auto"/>
              <w:jc w:val="center"/>
              <w:rPr>
                <w:rFonts w:hint="eastAsia" w:ascii="宋体" w:hAnsi="宋体" w:cs="宋体"/>
                <w:color w:val="auto"/>
                <w:szCs w:val="21"/>
                <w:highlight w:val="none"/>
              </w:rPr>
            </w:pPr>
          </w:p>
        </w:tc>
        <w:tc>
          <w:tcPr>
            <w:tcW w:w="1546" w:type="dxa"/>
            <w:tcBorders>
              <w:bottom w:val="single" w:color="auto" w:sz="12" w:space="0"/>
              <w:right w:val="single" w:color="auto" w:sz="12" w:space="0"/>
            </w:tcBorders>
            <w:vAlign w:val="center"/>
          </w:tcPr>
          <w:p w14:paraId="7E0707C5">
            <w:pPr>
              <w:spacing w:after="0" w:line="240" w:lineRule="auto"/>
              <w:jc w:val="center"/>
              <w:rPr>
                <w:rFonts w:hint="eastAsia" w:ascii="宋体" w:hAnsi="宋体" w:cs="宋体"/>
                <w:color w:val="auto"/>
                <w:szCs w:val="21"/>
                <w:highlight w:val="none"/>
              </w:rPr>
            </w:pPr>
          </w:p>
        </w:tc>
      </w:tr>
    </w:tbl>
    <w:p w14:paraId="123EC714">
      <w:pPr>
        <w:spacing w:after="287" w:afterLines="50"/>
        <w:rPr>
          <w:rFonts w:hint="eastAsia" w:ascii="宋体" w:hAnsi="宋体" w:cs="宋体"/>
          <w:color w:val="auto"/>
          <w:szCs w:val="21"/>
          <w:highlight w:val="none"/>
        </w:rPr>
      </w:pP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（招标项目及标段名称）</w:t>
      </w:r>
    </w:p>
    <w:p w14:paraId="01507DB6">
      <w:pPr>
        <w:spacing w:after="0" w:line="240" w:lineRule="auto"/>
        <w:rPr>
          <w:color w:val="auto"/>
          <w:szCs w:val="21"/>
          <w:highlight w:val="none"/>
        </w:rPr>
      </w:pPr>
      <w:r>
        <w:rPr>
          <w:rFonts w:hint="eastAsia"/>
          <w:color w:val="auto"/>
          <w:szCs w:val="21"/>
          <w:highlight w:val="none"/>
        </w:rPr>
        <w:t>说明</w:t>
      </w:r>
      <w:r>
        <w:rPr>
          <w:color w:val="auto"/>
          <w:szCs w:val="21"/>
          <w:highlight w:val="none"/>
        </w:rPr>
        <w:t>：投标人可以在响应招标文件规定的实质性要求和条件的基础上，作出其他有利于招标人的承诺。</w:t>
      </w:r>
    </w:p>
    <w:p w14:paraId="6387E8BA">
      <w:pPr>
        <w:spacing w:after="0" w:line="240" w:lineRule="auto"/>
        <w:ind w:firstLine="303" w:firstLineChars="150"/>
        <w:rPr>
          <w:color w:val="auto"/>
          <w:kern w:val="0"/>
          <w:szCs w:val="21"/>
          <w:highlight w:val="none"/>
        </w:rPr>
      </w:pPr>
      <w:r>
        <w:rPr>
          <w:color w:val="auto"/>
          <w:szCs w:val="21"/>
          <w:highlight w:val="none"/>
        </w:rPr>
        <w:t>此类承诺可在本表中予以补充填写。</w:t>
      </w:r>
    </w:p>
    <w:p w14:paraId="3C14B0ED">
      <w:pPr>
        <w:jc w:val="center"/>
        <w:rPr>
          <w:rFonts w:eastAsia="黑体"/>
          <w:b/>
          <w:bCs/>
          <w:color w:val="auto"/>
          <w:sz w:val="30"/>
          <w:highlight w:val="none"/>
        </w:rPr>
      </w:pPr>
      <w:r>
        <w:rPr>
          <w:rFonts w:hint="eastAsia" w:eastAsia="黑体"/>
          <w:color w:val="auto"/>
          <w:sz w:val="30"/>
          <w:highlight w:val="none"/>
        </w:rPr>
        <w:br w:type="page"/>
      </w:r>
      <w:r>
        <w:rPr>
          <w:rFonts w:hint="eastAsia" w:eastAsia="黑体"/>
          <w:color w:val="auto"/>
          <w:sz w:val="30"/>
          <w:highlight w:val="none"/>
        </w:rPr>
        <w:t>2.</w:t>
      </w:r>
      <w:r>
        <w:rPr>
          <w:rFonts w:eastAsia="黑体"/>
          <w:color w:val="auto"/>
          <w:sz w:val="30"/>
          <w:highlight w:val="none"/>
        </w:rPr>
        <w:t>法定代表人身份证明</w:t>
      </w:r>
    </w:p>
    <w:p w14:paraId="65576CB6">
      <w:pPr>
        <w:spacing w:line="490" w:lineRule="exact"/>
        <w:rPr>
          <w:rFonts w:hint="eastAsia" w:ascii="仿宋" w:hAnsi="仿宋" w:eastAsia="仿宋" w:cs="仿宋"/>
          <w:color w:val="auto"/>
          <w:sz w:val="20"/>
          <w:highlight w:val="none"/>
        </w:rPr>
      </w:pPr>
    </w:p>
    <w:p w14:paraId="31AAC7E4">
      <w:pPr>
        <w:pStyle w:val="38"/>
        <w:spacing w:after="0" w:line="500" w:lineRule="exact"/>
        <w:ind w:left="0" w:leftChars="0" w:firstLine="464"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484B112F">
      <w:pPr>
        <w:pStyle w:val="38"/>
        <w:spacing w:after="0" w:line="500" w:lineRule="exact"/>
        <w:ind w:left="0" w:leftChars="0" w:firstLine="464" w:firstLineChars="20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14:paraId="2D3F18B0">
      <w:pPr>
        <w:pStyle w:val="38"/>
        <w:spacing w:after="0" w:line="500" w:lineRule="exact"/>
        <w:ind w:left="0" w:leftChars="0" w:firstLine="464"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98CAA4B">
      <w:pPr>
        <w:pStyle w:val="38"/>
        <w:spacing w:after="0" w:line="500" w:lineRule="exact"/>
        <w:ind w:left="0" w:leftChars="0" w:firstLine="464"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9BA4C7B">
      <w:pPr>
        <w:pStyle w:val="38"/>
        <w:spacing w:after="0" w:line="500" w:lineRule="exact"/>
        <w:ind w:left="0" w:leftChars="0" w:firstLine="464"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0CEC9B68">
      <w:pPr>
        <w:pStyle w:val="38"/>
        <w:spacing w:after="0" w:line="500" w:lineRule="exact"/>
        <w:ind w:left="0" w:leftChars="0" w:firstLine="464" w:firstLineChars="200"/>
        <w:rPr>
          <w:rFonts w:hint="eastAsia"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p>
    <w:p w14:paraId="5DCE262C">
      <w:pPr>
        <w:pStyle w:val="38"/>
        <w:spacing w:after="0" w:line="500" w:lineRule="exact"/>
        <w:ind w:left="0" w:leftChars="0" w:firstLine="464"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9D1C07E">
      <w:pPr>
        <w:pStyle w:val="38"/>
        <w:spacing w:after="0" w:line="500" w:lineRule="exact"/>
        <w:ind w:left="0" w:leftChars="0" w:firstLine="464" w:firstLineChars="200"/>
        <w:rPr>
          <w:rFonts w:hint="eastAsia" w:ascii="宋体" w:hAnsi="宋体" w:cs="宋体"/>
          <w:color w:val="auto"/>
          <w:sz w:val="24"/>
          <w:highlight w:val="none"/>
        </w:rPr>
      </w:pP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27D4ADFA">
      <w:pPr>
        <w:pStyle w:val="38"/>
        <w:spacing w:after="0" w:line="500" w:lineRule="exact"/>
        <w:ind w:left="0" w:leftChars="0" w:firstLine="464" w:firstLineChars="200"/>
        <w:rPr>
          <w:rFonts w:hint="eastAsia" w:ascii="宋体" w:hAnsi="宋体" w:cs="宋体"/>
          <w:color w:val="auto"/>
          <w:sz w:val="24"/>
          <w:highlight w:val="none"/>
        </w:rPr>
      </w:pPr>
      <w:r>
        <w:rPr>
          <w:rFonts w:hint="eastAsia" w:ascii="宋体" w:hAnsi="宋体" w:cs="宋体"/>
          <w:color w:val="auto"/>
          <w:sz w:val="24"/>
          <w:highlight w:val="none"/>
        </w:rPr>
        <w:t>特此证明。</w:t>
      </w:r>
    </w:p>
    <w:p w14:paraId="293FDA89">
      <w:pPr>
        <w:rPr>
          <w:rFonts w:hint="eastAsia" w:ascii="宋体" w:hAnsi="宋体" w:cs="宋体"/>
          <w:color w:val="auto"/>
          <w:sz w:val="24"/>
          <w:highlight w:val="none"/>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4"/>
      </w:tblGrid>
      <w:tr w14:paraId="5B23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6" w:hRule="atLeast"/>
          <w:jc w:val="center"/>
        </w:trPr>
        <w:tc>
          <w:tcPr>
            <w:tcW w:w="6024" w:type="dxa"/>
            <w:vAlign w:val="center"/>
          </w:tcPr>
          <w:p w14:paraId="4E856253">
            <w:pPr>
              <w:pStyle w:val="23"/>
              <w:jc w:val="center"/>
              <w:rPr>
                <w:rFonts w:hint="eastAsia" w:hAnsi="宋体" w:eastAsia="宋体" w:cs="宋体"/>
                <w:b/>
                <w:color w:val="auto"/>
                <w:sz w:val="24"/>
                <w:highlight w:val="none"/>
              </w:rPr>
            </w:pPr>
            <w:r>
              <w:rPr>
                <w:rFonts w:hint="eastAsia" w:hAnsi="宋体" w:eastAsia="宋体" w:cs="宋体"/>
                <w:b/>
                <w:color w:val="auto"/>
                <w:sz w:val="24"/>
                <w:highlight w:val="none"/>
              </w:rPr>
              <w:t>法定代表人二代身份证（正、反面）扫描件</w:t>
            </w:r>
          </w:p>
        </w:tc>
      </w:tr>
    </w:tbl>
    <w:p w14:paraId="6C20F621">
      <w:pPr>
        <w:spacing w:line="500" w:lineRule="exact"/>
        <w:ind w:firstLine="464" w:firstLineChars="200"/>
        <w:rPr>
          <w:rFonts w:hint="eastAsia" w:ascii="宋体" w:hAnsi="宋体" w:cs="宋体"/>
          <w:color w:val="auto"/>
          <w:sz w:val="24"/>
          <w:highlight w:val="none"/>
        </w:rPr>
      </w:pPr>
    </w:p>
    <w:p w14:paraId="4775AD9B">
      <w:pPr>
        <w:spacing w:line="500" w:lineRule="exact"/>
        <w:ind w:firstLine="464" w:firstLineChars="200"/>
        <w:rPr>
          <w:rFonts w:hint="eastAsia" w:ascii="宋体" w:hAnsi="宋体" w:cs="宋体"/>
          <w:color w:val="auto"/>
          <w:sz w:val="24"/>
          <w:highlight w:val="none"/>
          <w:u w:val="singl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0DF50FF5">
      <w:pPr>
        <w:spacing w:line="500" w:lineRule="exact"/>
        <w:ind w:firstLine="464" w:firstLineChars="200"/>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p>
    <w:p w14:paraId="48595EA1">
      <w:pPr>
        <w:spacing w:line="500" w:lineRule="exact"/>
        <w:ind w:firstLine="464" w:firstLineChars="200"/>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07BA9688">
      <w:pPr>
        <w:widowControl/>
        <w:topLinePunct/>
        <w:spacing w:line="440" w:lineRule="atLeast"/>
        <w:ind w:firstLine="3030" w:firstLineChars="1500"/>
        <w:jc w:val="right"/>
        <w:rPr>
          <w:color w:val="auto"/>
          <w:kern w:val="0"/>
          <w:szCs w:val="21"/>
          <w:highlight w:val="none"/>
        </w:rPr>
      </w:pPr>
      <w:r>
        <w:rPr>
          <w:rFonts w:hint="eastAsia" w:ascii="仿宋" w:hAnsi="仿宋" w:eastAsia="仿宋" w:cs="仿宋"/>
          <w:color w:val="auto"/>
          <w:szCs w:val="21"/>
          <w:highlight w:val="none"/>
        </w:rPr>
        <w:br w:type="page"/>
      </w:r>
    </w:p>
    <w:p w14:paraId="7B2E6DFB">
      <w:pPr>
        <w:widowControl/>
        <w:topLinePunct/>
        <w:spacing w:line="440" w:lineRule="atLeast"/>
        <w:ind w:firstLine="3030" w:firstLineChars="1500"/>
        <w:jc w:val="right"/>
        <w:rPr>
          <w:color w:val="auto"/>
          <w:kern w:val="0"/>
          <w:szCs w:val="21"/>
          <w:highlight w:val="none"/>
        </w:rPr>
        <w:sectPr>
          <w:pgSz w:w="11906" w:h="16838"/>
          <w:pgMar w:top="1440" w:right="1588" w:bottom="1440" w:left="1440" w:header="1134" w:footer="851" w:gutter="0"/>
          <w:cols w:space="720" w:num="1"/>
          <w:docGrid w:type="linesAndChars" w:linePitch="574" w:charSpace="-1683"/>
        </w:sectPr>
      </w:pPr>
    </w:p>
    <w:p w14:paraId="54968AF9">
      <w:pPr>
        <w:pStyle w:val="3"/>
        <w:jc w:val="center"/>
        <w:rPr>
          <w:rFonts w:ascii="Times New Roman" w:hAnsi="Times New Roman" w:eastAsia="黑体"/>
          <w:color w:val="auto"/>
          <w:sz w:val="30"/>
          <w:highlight w:val="none"/>
        </w:rPr>
      </w:pPr>
      <w:bookmarkStart w:id="1198" w:name="_Toc211498759"/>
      <w:r>
        <w:rPr>
          <w:rFonts w:hint="eastAsia" w:ascii="Times New Roman" w:hAnsi="Times New Roman" w:eastAsia="黑体"/>
          <w:color w:val="auto"/>
          <w:sz w:val="30"/>
          <w:highlight w:val="none"/>
        </w:rPr>
        <w:t>3.</w:t>
      </w:r>
      <w:r>
        <w:rPr>
          <w:rFonts w:ascii="Times New Roman" w:hAnsi="Times New Roman" w:eastAsia="黑体"/>
          <w:color w:val="auto"/>
          <w:sz w:val="30"/>
          <w:highlight w:val="none"/>
        </w:rPr>
        <w:t>授权委托书</w:t>
      </w:r>
      <w:r>
        <w:rPr>
          <w:rFonts w:hint="eastAsia" w:ascii="Times New Roman" w:hAnsi="Times New Roman" w:eastAsia="黑体"/>
          <w:color w:val="auto"/>
          <w:sz w:val="30"/>
          <w:highlight w:val="none"/>
        </w:rPr>
        <w:t>（如委托）</w:t>
      </w:r>
      <w:bookmarkEnd w:id="1198"/>
    </w:p>
    <w:p w14:paraId="36517DAB">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 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（姓名）为我方代理人。代理人根据授权，以我方名义签署、澄清、说明、补正、递交、撤回、修改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（标段名称）投标文件、签订合同和处理有关事宜，其法律后果由我方承担。</w:t>
      </w:r>
    </w:p>
    <w:p w14:paraId="1D854563">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C5A6CD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14:paraId="6A12DAAD">
      <w:pPr>
        <w:spacing w:line="490" w:lineRule="exact"/>
        <w:ind w:firstLine="480" w:firstLineChars="200"/>
        <w:rPr>
          <w:rFonts w:hint="eastAsia" w:ascii="宋体" w:hAnsi="宋体" w:cs="宋体"/>
          <w:color w:val="auto"/>
          <w:sz w:val="24"/>
          <w:highlight w:val="none"/>
        </w:rPr>
      </w:pPr>
    </w:p>
    <w:p w14:paraId="6ADC702E">
      <w:pPr>
        <w:spacing w:line="49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附：法定代表人及委托代理人的身份证扫描件。</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59D5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075F74E6">
            <w:pPr>
              <w:jc w:val="center"/>
              <w:rPr>
                <w:rFonts w:hint="eastAsia" w:ascii="宋体" w:hAnsi="宋体" w:cs="宋体"/>
                <w:b/>
                <w:color w:val="auto"/>
                <w:sz w:val="24"/>
                <w:highlight w:val="none"/>
              </w:rPr>
            </w:pPr>
            <w:r>
              <w:rPr>
                <w:rFonts w:hint="eastAsia" w:ascii="宋体" w:hAnsi="宋体" w:cs="宋体"/>
                <w:b/>
                <w:color w:val="auto"/>
                <w:sz w:val="24"/>
                <w:highlight w:val="none"/>
              </w:rPr>
              <w:t>法定代表人身份证（正、反面）扫描件</w:t>
            </w:r>
          </w:p>
        </w:tc>
        <w:tc>
          <w:tcPr>
            <w:tcW w:w="735" w:type="dxa"/>
            <w:tcBorders>
              <w:top w:val="nil"/>
              <w:bottom w:val="nil"/>
            </w:tcBorders>
          </w:tcPr>
          <w:p w14:paraId="04FCD5FA">
            <w:pPr>
              <w:ind w:firstLine="480"/>
              <w:jc w:val="center"/>
              <w:rPr>
                <w:rFonts w:hint="eastAsia" w:ascii="宋体" w:hAnsi="宋体" w:cs="宋体"/>
                <w:b/>
                <w:color w:val="auto"/>
                <w:sz w:val="24"/>
                <w:highlight w:val="none"/>
              </w:rPr>
            </w:pPr>
          </w:p>
        </w:tc>
        <w:tc>
          <w:tcPr>
            <w:tcW w:w="3570" w:type="dxa"/>
            <w:vAlign w:val="center"/>
          </w:tcPr>
          <w:p w14:paraId="58A227EC">
            <w:pPr>
              <w:jc w:val="center"/>
              <w:rPr>
                <w:rFonts w:hint="eastAsia" w:ascii="宋体" w:hAnsi="宋体" w:cs="宋体"/>
                <w:b/>
                <w:color w:val="auto"/>
                <w:sz w:val="24"/>
                <w:highlight w:val="none"/>
              </w:rPr>
            </w:pPr>
            <w:r>
              <w:rPr>
                <w:rFonts w:hint="eastAsia" w:ascii="宋体" w:hAnsi="宋体" w:cs="宋体"/>
                <w:b/>
                <w:color w:val="auto"/>
                <w:sz w:val="24"/>
                <w:highlight w:val="none"/>
              </w:rPr>
              <w:t>委托代理人身份证（正、反面）扫描件</w:t>
            </w:r>
          </w:p>
        </w:tc>
      </w:tr>
    </w:tbl>
    <w:p w14:paraId="04BC434C">
      <w:pPr>
        <w:spacing w:line="400" w:lineRule="exact"/>
        <w:rPr>
          <w:rFonts w:hint="eastAsia" w:ascii="宋体" w:hAnsi="宋体" w:cs="宋体"/>
          <w:color w:val="auto"/>
          <w:sz w:val="24"/>
          <w:highlight w:val="none"/>
        </w:rPr>
      </w:pPr>
    </w:p>
    <w:p w14:paraId="51FE653E">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171288F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p>
    <w:p w14:paraId="355381FF">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0133ADA0">
      <w:pPr>
        <w:spacing w:line="400" w:lineRule="exact"/>
        <w:rPr>
          <w:rFonts w:hint="eastAsia" w:ascii="仿宋" w:hAnsi="仿宋" w:eastAsia="仿宋" w:cs="仿宋"/>
          <w:color w:val="auto"/>
          <w:highlight w:val="none"/>
        </w:rPr>
      </w:pPr>
    </w:p>
    <w:p w14:paraId="094C2599">
      <w:pPr>
        <w:spacing w:after="0" w:line="360" w:lineRule="auto"/>
        <w:rPr>
          <w:rFonts w:hint="eastAsia" w:ascii="宋体" w:hAnsi="宋体" w:cs="宋体"/>
          <w:b/>
          <w:color w:val="auto"/>
          <w:szCs w:val="21"/>
          <w:highlight w:val="none"/>
        </w:rPr>
      </w:pPr>
      <w:r>
        <w:rPr>
          <w:rFonts w:hint="eastAsia" w:ascii="宋体" w:hAnsi="宋体" w:cs="宋体"/>
          <w:b/>
          <w:color w:val="auto"/>
          <w:szCs w:val="21"/>
          <w:highlight w:val="none"/>
        </w:rPr>
        <w:t>备注：</w:t>
      </w:r>
    </w:p>
    <w:p w14:paraId="73BB0CE5">
      <w:pPr>
        <w:kinsoku w:val="0"/>
        <w:autoSpaceDE w:val="0"/>
        <w:autoSpaceDN w:val="0"/>
        <w:adjustRightInd w:val="0"/>
        <w:snapToGrid w:val="0"/>
        <w:spacing w:after="0" w:line="240" w:lineRule="auto"/>
        <w:textAlignment w:val="baseline"/>
        <w:rPr>
          <w:rFonts w:ascii="Arial" w:hAnsi="Arial" w:eastAsia="Arial" w:cs="Arial"/>
          <w:snapToGrid w:val="0"/>
          <w:color w:val="auto"/>
          <w:szCs w:val="21"/>
          <w:highlight w:val="none"/>
        </w:rPr>
      </w:pPr>
      <w:r>
        <w:rPr>
          <w:rFonts w:hint="eastAsia" w:ascii="宋体" w:hAnsi="宋体" w:cs="宋体"/>
          <w:b/>
          <w:color w:val="auto"/>
          <w:szCs w:val="21"/>
          <w:highlight w:val="none"/>
        </w:rPr>
        <w:t>1、联合体投标的由联合体牵头人的法定代表人出具授权委托书。</w:t>
      </w:r>
    </w:p>
    <w:p w14:paraId="6C9E7A89">
      <w:pPr>
        <w:spacing w:line="400" w:lineRule="exact"/>
        <w:rPr>
          <w:rFonts w:hint="eastAsia" w:ascii="仿宋" w:hAnsi="仿宋" w:eastAsia="仿宋" w:cs="仿宋"/>
          <w:color w:val="auto"/>
          <w:highlight w:val="none"/>
        </w:rPr>
      </w:pPr>
    </w:p>
    <w:p w14:paraId="0B155F28">
      <w:pPr>
        <w:widowControl/>
        <w:jc w:val="left"/>
        <w:rPr>
          <w:color w:val="auto"/>
          <w:kern w:val="0"/>
          <w:highlight w:val="none"/>
        </w:rPr>
      </w:pPr>
    </w:p>
    <w:p w14:paraId="59C2F0C8">
      <w:pPr>
        <w:rPr>
          <w:rFonts w:eastAsia="黑体"/>
          <w:color w:val="auto"/>
          <w:sz w:val="30"/>
          <w:highlight w:val="none"/>
        </w:rPr>
      </w:pPr>
      <w:r>
        <w:rPr>
          <w:rFonts w:eastAsia="黑体"/>
          <w:color w:val="auto"/>
          <w:sz w:val="30"/>
          <w:highlight w:val="none"/>
        </w:rPr>
        <w:br w:type="page"/>
      </w:r>
    </w:p>
    <w:p w14:paraId="18819952">
      <w:pPr>
        <w:pStyle w:val="3"/>
        <w:spacing w:before="0" w:after="0" w:line="360" w:lineRule="auto"/>
        <w:jc w:val="center"/>
        <w:rPr>
          <w:rFonts w:ascii="Times New Roman" w:hAnsi="Times New Roman" w:eastAsia="黑体"/>
          <w:color w:val="auto"/>
          <w:sz w:val="30"/>
          <w:highlight w:val="none"/>
        </w:rPr>
      </w:pPr>
      <w:bookmarkStart w:id="1199" w:name="_Toc211498760"/>
      <w:r>
        <w:rPr>
          <w:rFonts w:ascii="Times New Roman" w:hAnsi="Times New Roman" w:eastAsia="黑体"/>
          <w:color w:val="auto"/>
          <w:sz w:val="30"/>
          <w:highlight w:val="none"/>
        </w:rPr>
        <w:t>4.</w:t>
      </w:r>
      <w:r>
        <w:rPr>
          <w:rFonts w:hint="eastAsia" w:ascii="Times New Roman" w:hAnsi="Times New Roman" w:eastAsia="黑体"/>
          <w:color w:val="auto"/>
          <w:sz w:val="30"/>
          <w:highlight w:val="none"/>
        </w:rPr>
        <w:t>联合体协议书</w:t>
      </w:r>
      <w:r>
        <w:rPr>
          <w:rFonts w:hint="eastAsia" w:ascii="黑体" w:hAnsi="黑体" w:eastAsia="黑体"/>
          <w:color w:val="auto"/>
          <w:sz w:val="30"/>
          <w:szCs w:val="30"/>
          <w:highlight w:val="none"/>
        </w:rPr>
        <w:t>（</w:t>
      </w:r>
      <w:r>
        <w:rPr>
          <w:rFonts w:ascii="黑体" w:hAnsi="黑体" w:eastAsia="黑体"/>
          <w:color w:val="auto"/>
          <w:sz w:val="30"/>
          <w:szCs w:val="30"/>
          <w:highlight w:val="none"/>
        </w:rPr>
        <w:sym w:font="Wingdings 2" w:char="00A3"/>
      </w:r>
      <w:r>
        <w:rPr>
          <w:rFonts w:hint="eastAsia" w:ascii="黑体" w:hAnsi="黑体" w:eastAsia="黑体"/>
          <w:color w:val="auto"/>
          <w:sz w:val="30"/>
          <w:szCs w:val="30"/>
          <w:highlight w:val="none"/>
        </w:rPr>
        <w:t>联合体投标适用）</w:t>
      </w:r>
      <w:bookmarkEnd w:id="1199"/>
    </w:p>
    <w:p w14:paraId="2C0F1D15">
      <w:pPr>
        <w:topLinePunct/>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（联合体名称）联合体，共同参加</w:t>
      </w:r>
    </w:p>
    <w:p w14:paraId="3C6A9F74">
      <w:pPr>
        <w:topLinePunct/>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（项目名称）施工投标。现就联合体投标事宜订立如下协议。</w:t>
      </w:r>
    </w:p>
    <w:p w14:paraId="66D0F139">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（联合体名称）牵头人。</w:t>
      </w:r>
    </w:p>
    <w:p w14:paraId="2ECD184D">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11920FC2">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F1F9AA9">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6DFD917">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。按照本条上述分工，联合体成员单位各自所承担的合同工作量比例如下：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5FBC397">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6、投标工作和联合体在中标后工程实施过程中的有关费用按各自承担的工作量分摊。</w:t>
      </w:r>
    </w:p>
    <w:p w14:paraId="33374E11">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7、联合体中标后，本联合体协议是合同的附件，对联合体各成员单位有合同约束力。</w:t>
      </w:r>
    </w:p>
    <w:p w14:paraId="2A220EAE">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8、本协议书自签署之日起生效，联合体未中标或者中标时合同履行完毕后自动失效。</w:t>
      </w:r>
    </w:p>
    <w:p w14:paraId="7F3B3B1E">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9、本协议书一式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份，联合体成员和招标人各执一份。</w:t>
      </w:r>
    </w:p>
    <w:p w14:paraId="77C199D6">
      <w:pPr>
        <w:spacing w:line="460" w:lineRule="exact"/>
        <w:rPr>
          <w:color w:val="auto"/>
          <w:szCs w:val="21"/>
          <w:highlight w:val="none"/>
        </w:rPr>
      </w:pPr>
    </w:p>
    <w:p w14:paraId="1C6EFD99">
      <w:pPr>
        <w:rPr>
          <w:color w:val="auto"/>
          <w:szCs w:val="21"/>
          <w:highlight w:val="none"/>
        </w:rPr>
      </w:pPr>
      <w:r>
        <w:rPr>
          <w:rFonts w:hint="eastAsia"/>
          <w:color w:val="auto"/>
          <w:szCs w:val="21"/>
          <w:highlight w:val="none"/>
        </w:rPr>
        <w:br w:type="page"/>
      </w:r>
    </w:p>
    <w:p w14:paraId="7F85822B">
      <w:pPr>
        <w:pStyle w:val="3"/>
        <w:jc w:val="center"/>
        <w:rPr>
          <w:rFonts w:ascii="Times New Roman" w:hAnsi="Times New Roman" w:eastAsia="黑体"/>
          <w:color w:val="auto"/>
          <w:sz w:val="30"/>
          <w:highlight w:val="none"/>
        </w:rPr>
      </w:pPr>
      <w:bookmarkStart w:id="1200" w:name="_Toc211498761"/>
      <w:r>
        <w:rPr>
          <w:rFonts w:hint="eastAsia" w:ascii="Times New Roman" w:hAnsi="Times New Roman" w:eastAsia="黑体"/>
          <w:color w:val="auto"/>
          <w:sz w:val="30"/>
          <w:highlight w:val="none"/>
        </w:rPr>
        <w:t>5.</w:t>
      </w:r>
      <w:r>
        <w:rPr>
          <w:rFonts w:ascii="Times New Roman" w:hAnsi="Times New Roman" w:eastAsia="黑体"/>
          <w:color w:val="auto"/>
          <w:sz w:val="30"/>
          <w:highlight w:val="none"/>
        </w:rPr>
        <w:t>投标保证</w:t>
      </w:r>
      <w:bookmarkEnd w:id="1200"/>
    </w:p>
    <w:p w14:paraId="6A739C4A">
      <w:pPr>
        <w:widowControl/>
        <w:spacing w:after="0" w:line="500" w:lineRule="exact"/>
        <w:ind w:firstLine="480" w:firstLineChars="200"/>
        <w:jc w:val="left"/>
        <w:rPr>
          <w:rFonts w:hint="eastAsia" w:ascii="宋体" w:hAnsi="宋体" w:cs="宋体"/>
          <w:color w:val="auto"/>
          <w:sz w:val="24"/>
          <w:highlight w:val="none"/>
        </w:rPr>
      </w:pPr>
      <w:bookmarkStart w:id="1201" w:name="_Hlk210328606"/>
      <w:r>
        <w:rPr>
          <w:rFonts w:hint="eastAsia" w:ascii="宋体" w:hAnsi="宋体" w:cs="宋体"/>
          <w:color w:val="auto"/>
          <w:sz w:val="24"/>
          <w:highlight w:val="none"/>
        </w:rPr>
        <w:t>采用现金的，请附投标人基本账户开户许可证复印件（或基本帐户开户银行打印的账户信息，包含户名、账号、基本存款账户编号等信息）以及投标保证金银行进账单复印件</w:t>
      </w:r>
    </w:p>
    <w:p w14:paraId="18542BD1">
      <w:pPr>
        <w:widowControl/>
        <w:spacing w:after="0"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采用保函的，附投标保函复印件</w:t>
      </w:r>
    </w:p>
    <w:p w14:paraId="49EC9539">
      <w:pPr>
        <w:widowControl/>
        <w:spacing w:after="0"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采用保证保险，请附投标保证保险复印件</w:t>
      </w:r>
    </w:p>
    <w:p w14:paraId="074160FF">
      <w:pPr>
        <w:widowControl/>
        <w:spacing w:after="0" w:line="500" w:lineRule="exact"/>
        <w:ind w:firstLine="480" w:firstLineChars="200"/>
        <w:jc w:val="left"/>
        <w:rPr>
          <w:rFonts w:eastAsia="黑体"/>
          <w:color w:val="auto"/>
          <w:sz w:val="24"/>
          <w:highlight w:val="none"/>
        </w:rPr>
      </w:pPr>
      <w:r>
        <w:rPr>
          <w:rFonts w:hint="eastAsia" w:ascii="宋体" w:hAnsi="宋体" w:cs="宋体"/>
          <w:color w:val="auto"/>
          <w:sz w:val="24"/>
          <w:highlight w:val="none"/>
        </w:rPr>
        <w:t>采用承诺的，附投标承诺复印件（格式附后）</w:t>
      </w:r>
      <w:bookmarkEnd w:id="1201"/>
      <w:r>
        <w:rPr>
          <w:rFonts w:eastAsia="黑体"/>
          <w:color w:val="auto"/>
          <w:sz w:val="24"/>
          <w:highlight w:val="none"/>
        </w:rPr>
        <w:br w:type="page"/>
      </w:r>
    </w:p>
    <w:p w14:paraId="3EAA18EA">
      <w:pPr>
        <w:adjustRightInd w:val="0"/>
        <w:snapToGrid w:val="0"/>
        <w:jc w:val="center"/>
        <w:rPr>
          <w:rFonts w:eastAsia="黑体"/>
          <w:color w:val="auto"/>
          <w:sz w:val="30"/>
          <w:szCs w:val="30"/>
          <w:highlight w:val="none"/>
        </w:rPr>
      </w:pPr>
      <w:r>
        <w:rPr>
          <w:rFonts w:eastAsia="黑体"/>
          <w:color w:val="auto"/>
          <w:sz w:val="30"/>
          <w:szCs w:val="30"/>
          <w:highlight w:val="none"/>
        </w:rPr>
        <w:t>投标承诺</w:t>
      </w:r>
    </w:p>
    <w:p w14:paraId="1A8B166E">
      <w:pPr>
        <w:adjustRightInd w:val="0"/>
        <w:snapToGrid w:val="0"/>
        <w:spacing w:line="480" w:lineRule="exact"/>
        <w:jc w:val="left"/>
        <w:rPr>
          <w:color w:val="auto"/>
          <w:sz w:val="24"/>
          <w:highlight w:val="none"/>
        </w:rPr>
      </w:pPr>
    </w:p>
    <w:p w14:paraId="44943E38">
      <w:pPr>
        <w:spacing w:line="5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（招标人名称）</w:t>
      </w:r>
      <w:r>
        <w:rPr>
          <w:rFonts w:hint="eastAsia" w:ascii="宋体" w:hAnsi="宋体" w:cs="宋体"/>
          <w:color w:val="auto"/>
          <w:sz w:val="24"/>
          <w:highlight w:val="none"/>
        </w:rPr>
        <w:t xml:space="preserve"> ：</w:t>
      </w:r>
    </w:p>
    <w:p w14:paraId="4CC1CC10">
      <w:pPr>
        <w:spacing w:line="500" w:lineRule="exact"/>
        <w:ind w:firstLine="640"/>
        <w:rPr>
          <w:rFonts w:hint="eastAsia" w:ascii="宋体" w:hAnsi="宋体" w:cs="宋体"/>
          <w:color w:val="auto"/>
          <w:sz w:val="24"/>
          <w:highlight w:val="none"/>
          <w:u w:val="single"/>
        </w:rPr>
      </w:pPr>
      <w:r>
        <w:rPr>
          <w:rFonts w:hint="eastAsia" w:ascii="宋体" w:hAnsi="宋体" w:cs="宋体"/>
          <w:color w:val="auto"/>
          <w:sz w:val="24"/>
          <w:highlight w:val="none"/>
        </w:rPr>
        <w:t>经慎重研究，我公司</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（以下称“投标人”）决定于______年____月_____日参与你方组织的</w:t>
      </w:r>
      <w:r>
        <w:rPr>
          <w:rFonts w:hint="eastAsia" w:ascii="宋体" w:hAnsi="宋体" w:cs="宋体"/>
          <w:color w:val="auto"/>
          <w:sz w:val="24"/>
          <w:highlight w:val="none"/>
          <w:u w:val="single"/>
        </w:rPr>
        <w:t xml:space="preserve">      招标项目及标段   </w:t>
      </w:r>
      <w:r>
        <w:rPr>
          <w:rFonts w:hint="eastAsia" w:ascii="宋体" w:hAnsi="宋体" w:cs="宋体"/>
          <w:color w:val="auto"/>
          <w:sz w:val="24"/>
          <w:highlight w:val="none"/>
        </w:rPr>
        <w:t>的招标投标，我方承诺严格按照《招标投标法》及其实施条例等法律法规和政策文件的要求，履行投标义务。</w:t>
      </w:r>
    </w:p>
    <w:p w14:paraId="1CA0A091">
      <w:pPr>
        <w:spacing w:line="500" w:lineRule="exact"/>
        <w:ind w:firstLine="640"/>
        <w:rPr>
          <w:rFonts w:hint="eastAsia" w:ascii="宋体" w:hAnsi="宋体" w:cs="宋体"/>
          <w:color w:val="auto"/>
          <w:sz w:val="24"/>
          <w:highlight w:val="none"/>
        </w:rPr>
      </w:pPr>
      <w:r>
        <w:rPr>
          <w:rFonts w:hint="eastAsia" w:ascii="宋体" w:hAnsi="宋体" w:cs="宋体"/>
          <w:color w:val="auto"/>
          <w:sz w:val="24"/>
          <w:highlight w:val="none"/>
        </w:rPr>
        <w:t>如果发生不履行相关投标义务的行为，自愿接受按法律法规和招标文件作出的处理。</w:t>
      </w:r>
    </w:p>
    <w:p w14:paraId="65D97E6A">
      <w:pPr>
        <w:adjustRightInd w:val="0"/>
        <w:snapToGrid w:val="0"/>
        <w:spacing w:line="500" w:lineRule="exact"/>
        <w:jc w:val="left"/>
        <w:rPr>
          <w:rFonts w:hint="eastAsia" w:ascii="宋体" w:hAnsi="宋体" w:cs="宋体"/>
          <w:color w:val="auto"/>
          <w:sz w:val="24"/>
          <w:highlight w:val="none"/>
        </w:rPr>
      </w:pPr>
    </w:p>
    <w:p w14:paraId="4A0BDE6F">
      <w:pPr>
        <w:adjustRightInd w:val="0"/>
        <w:snapToGrid w:val="0"/>
        <w:spacing w:line="480" w:lineRule="exact"/>
        <w:jc w:val="left"/>
        <w:rPr>
          <w:color w:val="auto"/>
          <w:szCs w:val="32"/>
          <w:highlight w:val="none"/>
        </w:rPr>
      </w:pPr>
    </w:p>
    <w:p w14:paraId="7E971A4A">
      <w:pPr>
        <w:spacing w:line="480" w:lineRule="exact"/>
        <w:ind w:firstLine="735" w:firstLineChars="350"/>
        <w:rPr>
          <w:color w:val="auto"/>
          <w:szCs w:val="32"/>
          <w:highlight w:val="none"/>
        </w:rPr>
      </w:pPr>
    </w:p>
    <w:p w14:paraId="44CEE7AC">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1AEA210">
      <w:pPr>
        <w:pStyle w:val="3"/>
        <w:jc w:val="center"/>
        <w:rPr>
          <w:rFonts w:ascii="Times New Roman" w:hAnsi="Times New Roman" w:eastAsia="黑体"/>
          <w:color w:val="auto"/>
          <w:sz w:val="30"/>
          <w:highlight w:val="none"/>
        </w:rPr>
      </w:pPr>
      <w:bookmarkStart w:id="1202" w:name="_Toc211498762"/>
      <w:bookmarkStart w:id="1203" w:name="_Hlk210328712"/>
      <w:r>
        <w:rPr>
          <w:rFonts w:hint="eastAsia" w:ascii="Times New Roman" w:hAnsi="Times New Roman" w:eastAsia="黑体"/>
          <w:color w:val="auto"/>
          <w:sz w:val="30"/>
          <w:highlight w:val="none"/>
        </w:rPr>
        <w:t>6.商务部分评审表</w:t>
      </w:r>
      <w:bookmarkEnd w:id="1202"/>
      <w:r>
        <w:rPr>
          <w:rFonts w:hint="eastAsia" w:ascii="Times New Roman" w:hAnsi="Times New Roman" w:eastAsia="黑体" w:cs="宋体"/>
          <w:snapToGrid w:val="0"/>
          <w:color w:val="auto"/>
          <w:kern w:val="0"/>
          <w:sz w:val="30"/>
          <w:szCs w:val="28"/>
          <w:highlight w:val="none"/>
        </w:rPr>
        <w:t xml:space="preserve"> </w:t>
      </w:r>
    </w:p>
    <w:p w14:paraId="08D8E01F">
      <w:pPr>
        <w:keepNext/>
        <w:keepLines/>
        <w:spacing w:line="400" w:lineRule="exact"/>
        <w:jc w:val="center"/>
        <w:outlineLvl w:val="2"/>
        <w:rPr>
          <w:rFonts w:hint="eastAsia" w:ascii="黑体" w:hAnsi="黑体" w:eastAsia="黑体" w:cs="宋体"/>
          <w:color w:val="auto"/>
          <w:sz w:val="28"/>
          <w:szCs w:val="28"/>
          <w:highlight w:val="none"/>
        </w:rPr>
      </w:pPr>
      <w:bookmarkStart w:id="1204" w:name="_Toc211498763"/>
      <w:r>
        <w:rPr>
          <w:rFonts w:hint="eastAsia" w:ascii="黑体" w:hAnsi="黑体" w:eastAsia="黑体" w:cs="宋体"/>
          <w:color w:val="auto"/>
          <w:sz w:val="28"/>
          <w:szCs w:val="28"/>
          <w:highlight w:val="none"/>
        </w:rPr>
        <w:t>6-1投标人类似工程业绩情况</w:t>
      </w:r>
      <w:bookmarkEnd w:id="1204"/>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94"/>
        <w:gridCol w:w="1294"/>
        <w:gridCol w:w="1294"/>
        <w:gridCol w:w="1294"/>
        <w:gridCol w:w="1294"/>
        <w:gridCol w:w="1295"/>
      </w:tblGrid>
      <w:tr w14:paraId="7F0AF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94" w:type="dxa"/>
            <w:tcBorders>
              <w:tl2br w:val="nil"/>
              <w:tr2bl w:val="nil"/>
            </w:tcBorders>
            <w:vAlign w:val="center"/>
          </w:tcPr>
          <w:p w14:paraId="1DBC42BE">
            <w:pPr>
              <w:spacing w:after="0" w:line="240" w:lineRule="auto"/>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1294" w:type="dxa"/>
            <w:tcBorders>
              <w:tl2br w:val="nil"/>
              <w:tr2bl w:val="nil"/>
            </w:tcBorders>
            <w:vAlign w:val="center"/>
          </w:tcPr>
          <w:p w14:paraId="0FE85628">
            <w:pPr>
              <w:spacing w:after="0" w:line="240" w:lineRule="auto"/>
              <w:jc w:val="center"/>
              <w:rPr>
                <w:rFonts w:hint="eastAsia" w:ascii="宋体" w:hAnsi="宋体" w:cs="宋体"/>
                <w:b/>
                <w:bCs/>
                <w:color w:val="auto"/>
                <w:highlight w:val="none"/>
              </w:rPr>
            </w:pPr>
            <w:r>
              <w:rPr>
                <w:rFonts w:hint="eastAsia" w:ascii="宋体" w:hAnsi="宋体" w:cs="宋体"/>
                <w:b/>
                <w:bCs/>
                <w:color w:val="auto"/>
                <w:highlight w:val="none"/>
              </w:rPr>
              <w:t>项目名称</w:t>
            </w:r>
          </w:p>
        </w:tc>
        <w:tc>
          <w:tcPr>
            <w:tcW w:w="1294" w:type="dxa"/>
            <w:tcBorders>
              <w:tl2br w:val="nil"/>
              <w:tr2bl w:val="nil"/>
            </w:tcBorders>
            <w:vAlign w:val="center"/>
          </w:tcPr>
          <w:p w14:paraId="762C84EB">
            <w:pPr>
              <w:spacing w:after="0" w:line="240" w:lineRule="auto"/>
              <w:jc w:val="center"/>
              <w:rPr>
                <w:rFonts w:hint="eastAsia" w:ascii="宋体" w:hAnsi="宋体" w:cs="宋体"/>
                <w:b/>
                <w:bCs/>
                <w:color w:val="auto"/>
                <w:highlight w:val="none"/>
              </w:rPr>
            </w:pPr>
            <w:r>
              <w:rPr>
                <w:rFonts w:hint="eastAsia" w:ascii="宋体" w:hAnsi="宋体" w:cs="宋体"/>
                <w:b/>
                <w:bCs/>
                <w:color w:val="auto"/>
                <w:highlight w:val="none"/>
              </w:rPr>
              <w:t>指标项名称</w:t>
            </w:r>
          </w:p>
        </w:tc>
        <w:tc>
          <w:tcPr>
            <w:tcW w:w="1294" w:type="dxa"/>
            <w:tcBorders>
              <w:tl2br w:val="nil"/>
              <w:tr2bl w:val="nil"/>
            </w:tcBorders>
            <w:vAlign w:val="center"/>
          </w:tcPr>
          <w:p w14:paraId="2E3CC03D">
            <w:pPr>
              <w:spacing w:after="0" w:line="240" w:lineRule="auto"/>
              <w:jc w:val="center"/>
              <w:rPr>
                <w:rFonts w:hint="eastAsia" w:ascii="宋体" w:hAnsi="宋体" w:cs="宋体"/>
                <w:b/>
                <w:bCs/>
                <w:color w:val="auto"/>
                <w:highlight w:val="none"/>
              </w:rPr>
            </w:pPr>
            <w:r>
              <w:rPr>
                <w:rFonts w:hint="eastAsia" w:ascii="宋体" w:hAnsi="宋体" w:cs="宋体"/>
                <w:b/>
                <w:bCs/>
                <w:color w:val="auto"/>
                <w:highlight w:val="none"/>
              </w:rPr>
              <w:t>指标量</w:t>
            </w:r>
          </w:p>
        </w:tc>
        <w:tc>
          <w:tcPr>
            <w:tcW w:w="1294" w:type="dxa"/>
            <w:tcBorders>
              <w:tl2br w:val="nil"/>
              <w:tr2bl w:val="nil"/>
            </w:tcBorders>
            <w:vAlign w:val="center"/>
          </w:tcPr>
          <w:p w14:paraId="30EC94DA">
            <w:pPr>
              <w:spacing w:after="0" w:line="240" w:lineRule="auto"/>
              <w:jc w:val="center"/>
              <w:rPr>
                <w:rFonts w:hint="eastAsia" w:ascii="宋体" w:hAnsi="宋体" w:cs="宋体"/>
                <w:b/>
                <w:bCs/>
                <w:color w:val="auto"/>
                <w:highlight w:val="none"/>
              </w:rPr>
            </w:pPr>
            <w:r>
              <w:rPr>
                <w:rFonts w:hint="eastAsia" w:ascii="宋体" w:hAnsi="宋体" w:cs="宋体"/>
                <w:b/>
                <w:bCs/>
                <w:color w:val="auto"/>
                <w:highlight w:val="none"/>
              </w:rPr>
              <w:t>所属单位</w:t>
            </w:r>
          </w:p>
        </w:tc>
        <w:tc>
          <w:tcPr>
            <w:tcW w:w="1294" w:type="dxa"/>
            <w:tcBorders>
              <w:tl2br w:val="nil"/>
              <w:tr2bl w:val="nil"/>
            </w:tcBorders>
            <w:vAlign w:val="center"/>
          </w:tcPr>
          <w:p w14:paraId="5F8C9DF7">
            <w:pPr>
              <w:spacing w:after="0" w:line="240" w:lineRule="auto"/>
              <w:jc w:val="center"/>
              <w:rPr>
                <w:rFonts w:hint="eastAsia" w:ascii="宋体" w:hAnsi="宋体" w:cs="宋体"/>
                <w:b/>
                <w:bCs/>
                <w:color w:val="auto"/>
                <w:highlight w:val="none"/>
              </w:rPr>
            </w:pPr>
            <w:r>
              <w:rPr>
                <w:rFonts w:hint="eastAsia" w:ascii="宋体" w:hAnsi="宋体" w:cs="宋体"/>
                <w:b/>
                <w:bCs/>
                <w:color w:val="auto"/>
                <w:highlight w:val="none"/>
              </w:rPr>
              <w:t>竣工日期</w:t>
            </w:r>
          </w:p>
        </w:tc>
        <w:tc>
          <w:tcPr>
            <w:tcW w:w="1295" w:type="dxa"/>
            <w:tcBorders>
              <w:tl2br w:val="nil"/>
              <w:tr2bl w:val="nil"/>
            </w:tcBorders>
            <w:vAlign w:val="center"/>
          </w:tcPr>
          <w:p w14:paraId="4F5DFA0A">
            <w:pPr>
              <w:spacing w:after="0" w:line="240" w:lineRule="auto"/>
              <w:jc w:val="center"/>
              <w:rPr>
                <w:rFonts w:hint="eastAsia" w:ascii="宋体" w:hAnsi="宋体" w:cs="宋体"/>
                <w:b/>
                <w:bCs/>
                <w:color w:val="auto"/>
                <w:highlight w:val="none"/>
              </w:rPr>
            </w:pPr>
            <w:r>
              <w:rPr>
                <w:rFonts w:hint="eastAsia" w:ascii="宋体" w:hAnsi="宋体" w:cs="宋体"/>
                <w:b/>
                <w:bCs/>
                <w:color w:val="auto"/>
                <w:highlight w:val="none"/>
              </w:rPr>
              <w:t>项目经理</w:t>
            </w:r>
          </w:p>
        </w:tc>
      </w:tr>
      <w:tr w14:paraId="7E455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94" w:type="dxa"/>
            <w:tcBorders>
              <w:tl2br w:val="nil"/>
              <w:tr2bl w:val="nil"/>
            </w:tcBorders>
            <w:vAlign w:val="center"/>
          </w:tcPr>
          <w:p w14:paraId="56ADD000">
            <w:pPr>
              <w:spacing w:after="0" w:line="240" w:lineRule="auto"/>
              <w:jc w:val="center"/>
              <w:rPr>
                <w:rFonts w:hint="eastAsia" w:ascii="宋体" w:hAnsi="宋体" w:cs="宋体"/>
                <w:b/>
                <w:bCs/>
                <w:color w:val="auto"/>
                <w:highlight w:val="none"/>
              </w:rPr>
            </w:pPr>
          </w:p>
        </w:tc>
        <w:tc>
          <w:tcPr>
            <w:tcW w:w="1294" w:type="dxa"/>
            <w:tcBorders>
              <w:tl2br w:val="nil"/>
              <w:tr2bl w:val="nil"/>
            </w:tcBorders>
            <w:vAlign w:val="center"/>
          </w:tcPr>
          <w:p w14:paraId="4F34E984">
            <w:pPr>
              <w:spacing w:after="0" w:line="240" w:lineRule="auto"/>
              <w:jc w:val="center"/>
              <w:rPr>
                <w:rFonts w:hint="eastAsia" w:ascii="宋体" w:hAnsi="宋体" w:cs="宋体"/>
                <w:b/>
                <w:bCs/>
                <w:color w:val="auto"/>
                <w:highlight w:val="none"/>
              </w:rPr>
            </w:pPr>
          </w:p>
        </w:tc>
        <w:tc>
          <w:tcPr>
            <w:tcW w:w="1294" w:type="dxa"/>
            <w:tcBorders>
              <w:tl2br w:val="nil"/>
              <w:tr2bl w:val="nil"/>
            </w:tcBorders>
            <w:vAlign w:val="center"/>
          </w:tcPr>
          <w:p w14:paraId="7FE48C37">
            <w:pPr>
              <w:spacing w:after="0" w:line="240" w:lineRule="auto"/>
              <w:jc w:val="center"/>
              <w:rPr>
                <w:rFonts w:hint="eastAsia" w:ascii="宋体" w:hAnsi="宋体" w:cs="宋体"/>
                <w:b/>
                <w:bCs/>
                <w:color w:val="auto"/>
                <w:highlight w:val="none"/>
              </w:rPr>
            </w:pPr>
          </w:p>
        </w:tc>
        <w:tc>
          <w:tcPr>
            <w:tcW w:w="1294" w:type="dxa"/>
            <w:tcBorders>
              <w:tl2br w:val="nil"/>
              <w:tr2bl w:val="nil"/>
            </w:tcBorders>
            <w:vAlign w:val="center"/>
          </w:tcPr>
          <w:p w14:paraId="490C8CDB">
            <w:pPr>
              <w:spacing w:after="0" w:line="240" w:lineRule="auto"/>
              <w:jc w:val="center"/>
              <w:rPr>
                <w:rFonts w:hint="eastAsia" w:ascii="宋体" w:hAnsi="宋体" w:cs="宋体"/>
                <w:b/>
                <w:bCs/>
                <w:color w:val="auto"/>
                <w:highlight w:val="none"/>
              </w:rPr>
            </w:pPr>
          </w:p>
        </w:tc>
        <w:tc>
          <w:tcPr>
            <w:tcW w:w="1294" w:type="dxa"/>
            <w:tcBorders>
              <w:tl2br w:val="nil"/>
              <w:tr2bl w:val="nil"/>
            </w:tcBorders>
            <w:vAlign w:val="center"/>
          </w:tcPr>
          <w:p w14:paraId="751508D4">
            <w:pPr>
              <w:spacing w:after="0" w:line="240" w:lineRule="auto"/>
              <w:jc w:val="center"/>
              <w:rPr>
                <w:rFonts w:hint="eastAsia" w:ascii="宋体" w:hAnsi="宋体" w:cs="宋体"/>
                <w:b/>
                <w:bCs/>
                <w:color w:val="auto"/>
                <w:highlight w:val="none"/>
              </w:rPr>
            </w:pPr>
          </w:p>
        </w:tc>
        <w:tc>
          <w:tcPr>
            <w:tcW w:w="1294" w:type="dxa"/>
            <w:tcBorders>
              <w:tl2br w:val="nil"/>
              <w:tr2bl w:val="nil"/>
            </w:tcBorders>
            <w:vAlign w:val="center"/>
          </w:tcPr>
          <w:p w14:paraId="152FD948">
            <w:pPr>
              <w:spacing w:after="0" w:line="240" w:lineRule="auto"/>
              <w:jc w:val="center"/>
              <w:rPr>
                <w:rFonts w:hint="eastAsia" w:ascii="宋体" w:hAnsi="宋体" w:cs="宋体"/>
                <w:b/>
                <w:bCs/>
                <w:color w:val="auto"/>
                <w:highlight w:val="none"/>
              </w:rPr>
            </w:pPr>
          </w:p>
        </w:tc>
        <w:tc>
          <w:tcPr>
            <w:tcW w:w="1295" w:type="dxa"/>
            <w:tcBorders>
              <w:tl2br w:val="nil"/>
              <w:tr2bl w:val="nil"/>
            </w:tcBorders>
            <w:vAlign w:val="center"/>
          </w:tcPr>
          <w:p w14:paraId="0AFB0E66">
            <w:pPr>
              <w:spacing w:after="0" w:line="240" w:lineRule="auto"/>
              <w:jc w:val="center"/>
              <w:rPr>
                <w:rFonts w:hint="eastAsia" w:ascii="宋体" w:hAnsi="宋体" w:cs="宋体"/>
                <w:b/>
                <w:bCs/>
                <w:color w:val="auto"/>
                <w:highlight w:val="none"/>
              </w:rPr>
            </w:pPr>
          </w:p>
        </w:tc>
      </w:tr>
    </w:tbl>
    <w:p w14:paraId="1E27CBA7">
      <w:pPr>
        <w:spacing w:after="0" w:line="500" w:lineRule="exact"/>
        <w:jc w:val="left"/>
        <w:rPr>
          <w:rFonts w:hint="eastAsia" w:ascii="宋体" w:hAnsi="宋体" w:cs="宋体"/>
          <w:color w:val="auto"/>
          <w:sz w:val="24"/>
          <w:highlight w:val="none"/>
        </w:rPr>
      </w:pPr>
      <w:r>
        <w:rPr>
          <w:rFonts w:hint="eastAsia"/>
          <w:color w:val="auto"/>
          <w:highlight w:val="none"/>
        </w:rPr>
        <w:t xml:space="preserve"> </w:t>
      </w:r>
      <w:r>
        <w:rPr>
          <w:rFonts w:hint="eastAsia" w:ascii="宋体" w:hAnsi="宋体" w:cs="宋体"/>
          <w:color w:val="auto"/>
          <w:sz w:val="24"/>
          <w:highlight w:val="none"/>
        </w:rPr>
        <w:t>注： 1、每张表格只填写一个项目，并标明序号。</w:t>
      </w:r>
    </w:p>
    <w:p w14:paraId="1AE9100E">
      <w:pPr>
        <w:spacing w:after="0"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2、以联合体形式参与投标的，联合体各成员应分别填写。</w:t>
      </w:r>
    </w:p>
    <w:p w14:paraId="6BF488CF">
      <w:pPr>
        <w:spacing w:after="0"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3、请附</w:t>
      </w:r>
      <w:r>
        <w:rPr>
          <w:rFonts w:hint="eastAsia" w:ascii="宋体" w:hAnsi="宋体" w:cs="宋体"/>
          <w:color w:val="auto"/>
          <w:sz w:val="24"/>
          <w:highlight w:val="none"/>
          <w:lang w:eastAsia="zh"/>
        </w:rPr>
        <w:t>类似工程业绩</w:t>
      </w:r>
      <w:r>
        <w:rPr>
          <w:rFonts w:hint="eastAsia" w:ascii="宋体" w:hAnsi="宋体" w:cs="宋体"/>
          <w:color w:val="auto"/>
          <w:sz w:val="24"/>
          <w:highlight w:val="none"/>
        </w:rPr>
        <w:t>证明资料（具体要求见本招标文件第二章投标人须知及商务评分标准表规定）。</w:t>
      </w:r>
    </w:p>
    <w:bookmarkEnd w:id="1203"/>
    <w:p w14:paraId="04B3BDAD">
      <w:pPr>
        <w:keepNext/>
        <w:keepLines/>
        <w:spacing w:line="400" w:lineRule="exact"/>
        <w:jc w:val="left"/>
        <w:outlineLvl w:val="2"/>
        <w:rPr>
          <w:rFonts w:hint="eastAsia" w:ascii="黑体" w:hAnsi="黑体"/>
          <w:color w:val="auto"/>
          <w:highlight w:val="none"/>
        </w:rPr>
      </w:pPr>
    </w:p>
    <w:p w14:paraId="6391D292">
      <w:pPr>
        <w:keepNext/>
        <w:keepLines/>
        <w:spacing w:line="400" w:lineRule="exact"/>
        <w:jc w:val="center"/>
        <w:outlineLvl w:val="2"/>
        <w:rPr>
          <w:rFonts w:hint="eastAsia" w:ascii="黑体" w:hAnsi="黑体" w:eastAsia="黑体" w:cs="宋体"/>
          <w:color w:val="auto"/>
          <w:sz w:val="28"/>
          <w:szCs w:val="28"/>
          <w:highlight w:val="none"/>
        </w:rPr>
      </w:pPr>
      <w:bookmarkStart w:id="1205" w:name="_Toc211498764"/>
      <w:r>
        <w:rPr>
          <w:rFonts w:hint="eastAsia" w:ascii="黑体" w:hAnsi="黑体" w:eastAsia="黑体" w:cs="宋体"/>
          <w:color w:val="auto"/>
          <w:sz w:val="28"/>
          <w:szCs w:val="28"/>
          <w:highlight w:val="none"/>
        </w:rPr>
        <w:t>6-2项目经理类似工程业绩</w:t>
      </w:r>
      <w:bookmarkEnd w:id="1205"/>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1288"/>
        <w:gridCol w:w="1288"/>
        <w:gridCol w:w="1557"/>
        <w:gridCol w:w="1155"/>
        <w:gridCol w:w="1153"/>
      </w:tblGrid>
      <w:tr w14:paraId="7550D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88" w:type="dxa"/>
            <w:tcBorders>
              <w:tl2br w:val="nil"/>
              <w:tr2bl w:val="nil"/>
            </w:tcBorders>
            <w:vAlign w:val="center"/>
          </w:tcPr>
          <w:p w14:paraId="6DC35602">
            <w:pPr>
              <w:spacing w:line="240" w:lineRule="auto"/>
              <w:jc w:val="center"/>
              <w:rPr>
                <w:b/>
                <w:bCs/>
                <w:color w:val="auto"/>
                <w:szCs w:val="21"/>
                <w:highlight w:val="none"/>
              </w:rPr>
            </w:pPr>
            <w:r>
              <w:rPr>
                <w:rFonts w:hint="eastAsia"/>
                <w:b/>
                <w:bCs/>
                <w:color w:val="auto"/>
                <w:szCs w:val="21"/>
                <w:highlight w:val="none"/>
              </w:rPr>
              <w:t>序号</w:t>
            </w:r>
          </w:p>
        </w:tc>
        <w:tc>
          <w:tcPr>
            <w:tcW w:w="1288" w:type="dxa"/>
            <w:tcBorders>
              <w:tl2br w:val="nil"/>
              <w:tr2bl w:val="nil"/>
            </w:tcBorders>
            <w:vAlign w:val="center"/>
          </w:tcPr>
          <w:p w14:paraId="1EB0C805">
            <w:pPr>
              <w:spacing w:line="240" w:lineRule="auto"/>
              <w:jc w:val="center"/>
              <w:rPr>
                <w:b/>
                <w:bCs/>
                <w:color w:val="auto"/>
                <w:szCs w:val="21"/>
                <w:highlight w:val="none"/>
              </w:rPr>
            </w:pPr>
            <w:r>
              <w:rPr>
                <w:rFonts w:hint="eastAsia"/>
                <w:b/>
                <w:bCs/>
                <w:color w:val="auto"/>
                <w:szCs w:val="21"/>
                <w:highlight w:val="none"/>
              </w:rPr>
              <w:t>项目名称</w:t>
            </w:r>
          </w:p>
        </w:tc>
        <w:tc>
          <w:tcPr>
            <w:tcW w:w="1288" w:type="dxa"/>
            <w:tcBorders>
              <w:tl2br w:val="nil"/>
              <w:tr2bl w:val="nil"/>
            </w:tcBorders>
            <w:vAlign w:val="center"/>
          </w:tcPr>
          <w:p w14:paraId="0E2294E0">
            <w:pPr>
              <w:spacing w:line="240" w:lineRule="auto"/>
              <w:jc w:val="center"/>
              <w:rPr>
                <w:b/>
                <w:bCs/>
                <w:color w:val="auto"/>
                <w:szCs w:val="21"/>
                <w:highlight w:val="none"/>
              </w:rPr>
            </w:pPr>
            <w:r>
              <w:rPr>
                <w:rFonts w:hint="eastAsia"/>
                <w:b/>
                <w:bCs/>
                <w:color w:val="auto"/>
                <w:szCs w:val="21"/>
                <w:highlight w:val="none"/>
              </w:rPr>
              <w:t>指标项名称</w:t>
            </w:r>
          </w:p>
        </w:tc>
        <w:tc>
          <w:tcPr>
            <w:tcW w:w="1288" w:type="dxa"/>
            <w:tcBorders>
              <w:tl2br w:val="nil"/>
              <w:tr2bl w:val="nil"/>
            </w:tcBorders>
            <w:vAlign w:val="center"/>
          </w:tcPr>
          <w:p w14:paraId="00EF1100">
            <w:pPr>
              <w:spacing w:line="240" w:lineRule="auto"/>
              <w:jc w:val="center"/>
              <w:rPr>
                <w:b/>
                <w:bCs/>
                <w:color w:val="auto"/>
                <w:szCs w:val="21"/>
                <w:highlight w:val="none"/>
              </w:rPr>
            </w:pPr>
            <w:r>
              <w:rPr>
                <w:rFonts w:hint="eastAsia"/>
                <w:b/>
                <w:bCs/>
                <w:color w:val="auto"/>
                <w:szCs w:val="21"/>
                <w:highlight w:val="none"/>
              </w:rPr>
              <w:t>指标量</w:t>
            </w:r>
          </w:p>
        </w:tc>
        <w:tc>
          <w:tcPr>
            <w:tcW w:w="1557" w:type="dxa"/>
            <w:tcBorders>
              <w:tl2br w:val="nil"/>
              <w:tr2bl w:val="nil"/>
            </w:tcBorders>
            <w:vAlign w:val="center"/>
          </w:tcPr>
          <w:p w14:paraId="0DFAC5FC">
            <w:pPr>
              <w:spacing w:line="240" w:lineRule="auto"/>
              <w:jc w:val="center"/>
              <w:rPr>
                <w:b/>
                <w:bCs/>
                <w:color w:val="auto"/>
                <w:szCs w:val="21"/>
                <w:highlight w:val="none"/>
              </w:rPr>
            </w:pPr>
            <w:r>
              <w:rPr>
                <w:rFonts w:hint="eastAsia"/>
                <w:b/>
                <w:bCs/>
                <w:color w:val="auto"/>
                <w:szCs w:val="21"/>
                <w:highlight w:val="none"/>
              </w:rPr>
              <w:t>人员所属单位</w:t>
            </w:r>
          </w:p>
        </w:tc>
        <w:tc>
          <w:tcPr>
            <w:tcW w:w="1155" w:type="dxa"/>
            <w:tcBorders>
              <w:tl2br w:val="nil"/>
              <w:tr2bl w:val="nil"/>
            </w:tcBorders>
            <w:vAlign w:val="center"/>
          </w:tcPr>
          <w:p w14:paraId="4416E8C6">
            <w:pPr>
              <w:spacing w:line="240" w:lineRule="auto"/>
              <w:jc w:val="center"/>
              <w:rPr>
                <w:b/>
                <w:bCs/>
                <w:color w:val="auto"/>
                <w:szCs w:val="21"/>
                <w:highlight w:val="none"/>
              </w:rPr>
            </w:pPr>
            <w:r>
              <w:rPr>
                <w:rFonts w:hint="eastAsia"/>
                <w:b/>
                <w:bCs/>
                <w:color w:val="auto"/>
                <w:szCs w:val="21"/>
                <w:highlight w:val="none"/>
              </w:rPr>
              <w:t>竣工日期</w:t>
            </w:r>
          </w:p>
        </w:tc>
        <w:tc>
          <w:tcPr>
            <w:tcW w:w="1153" w:type="dxa"/>
            <w:tcBorders>
              <w:tl2br w:val="nil"/>
              <w:tr2bl w:val="nil"/>
            </w:tcBorders>
            <w:vAlign w:val="center"/>
          </w:tcPr>
          <w:p w14:paraId="3B8BEA5E">
            <w:pPr>
              <w:spacing w:line="240" w:lineRule="auto"/>
              <w:jc w:val="center"/>
              <w:rPr>
                <w:b/>
                <w:bCs/>
                <w:color w:val="auto"/>
                <w:szCs w:val="21"/>
                <w:highlight w:val="none"/>
              </w:rPr>
            </w:pPr>
            <w:r>
              <w:rPr>
                <w:rFonts w:hint="eastAsia"/>
                <w:b/>
                <w:bCs/>
                <w:color w:val="auto"/>
                <w:szCs w:val="21"/>
                <w:highlight w:val="none"/>
              </w:rPr>
              <w:t>项目经理</w:t>
            </w:r>
          </w:p>
        </w:tc>
      </w:tr>
      <w:tr w14:paraId="3FC09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88" w:type="dxa"/>
            <w:tcBorders>
              <w:tl2br w:val="nil"/>
              <w:tr2bl w:val="nil"/>
            </w:tcBorders>
            <w:vAlign w:val="center"/>
          </w:tcPr>
          <w:p w14:paraId="20FC2675">
            <w:pPr>
              <w:spacing w:line="240" w:lineRule="auto"/>
              <w:jc w:val="center"/>
              <w:rPr>
                <w:b/>
                <w:bCs/>
                <w:color w:val="auto"/>
                <w:szCs w:val="21"/>
                <w:highlight w:val="none"/>
              </w:rPr>
            </w:pPr>
          </w:p>
        </w:tc>
        <w:tc>
          <w:tcPr>
            <w:tcW w:w="1288" w:type="dxa"/>
            <w:tcBorders>
              <w:tl2br w:val="nil"/>
              <w:tr2bl w:val="nil"/>
            </w:tcBorders>
            <w:vAlign w:val="center"/>
          </w:tcPr>
          <w:p w14:paraId="70755806">
            <w:pPr>
              <w:spacing w:line="240" w:lineRule="auto"/>
              <w:jc w:val="center"/>
              <w:rPr>
                <w:b/>
                <w:bCs/>
                <w:color w:val="auto"/>
                <w:szCs w:val="21"/>
                <w:highlight w:val="none"/>
              </w:rPr>
            </w:pPr>
          </w:p>
        </w:tc>
        <w:tc>
          <w:tcPr>
            <w:tcW w:w="1288" w:type="dxa"/>
            <w:tcBorders>
              <w:tl2br w:val="nil"/>
              <w:tr2bl w:val="nil"/>
            </w:tcBorders>
            <w:vAlign w:val="center"/>
          </w:tcPr>
          <w:p w14:paraId="1A03806B">
            <w:pPr>
              <w:spacing w:line="240" w:lineRule="auto"/>
              <w:jc w:val="center"/>
              <w:rPr>
                <w:b/>
                <w:bCs/>
                <w:color w:val="auto"/>
                <w:szCs w:val="21"/>
                <w:highlight w:val="none"/>
              </w:rPr>
            </w:pPr>
          </w:p>
        </w:tc>
        <w:tc>
          <w:tcPr>
            <w:tcW w:w="1288" w:type="dxa"/>
            <w:tcBorders>
              <w:tl2br w:val="nil"/>
              <w:tr2bl w:val="nil"/>
            </w:tcBorders>
            <w:vAlign w:val="center"/>
          </w:tcPr>
          <w:p w14:paraId="5EB22105">
            <w:pPr>
              <w:spacing w:line="240" w:lineRule="auto"/>
              <w:jc w:val="center"/>
              <w:rPr>
                <w:b/>
                <w:bCs/>
                <w:color w:val="auto"/>
                <w:szCs w:val="21"/>
                <w:highlight w:val="none"/>
              </w:rPr>
            </w:pPr>
          </w:p>
        </w:tc>
        <w:tc>
          <w:tcPr>
            <w:tcW w:w="1557" w:type="dxa"/>
            <w:tcBorders>
              <w:tl2br w:val="nil"/>
              <w:tr2bl w:val="nil"/>
            </w:tcBorders>
            <w:vAlign w:val="center"/>
          </w:tcPr>
          <w:p w14:paraId="1A88A6DF">
            <w:pPr>
              <w:spacing w:line="240" w:lineRule="auto"/>
              <w:jc w:val="center"/>
              <w:rPr>
                <w:b/>
                <w:bCs/>
                <w:color w:val="auto"/>
                <w:szCs w:val="21"/>
                <w:highlight w:val="none"/>
              </w:rPr>
            </w:pPr>
          </w:p>
        </w:tc>
        <w:tc>
          <w:tcPr>
            <w:tcW w:w="1155" w:type="dxa"/>
            <w:tcBorders>
              <w:tl2br w:val="nil"/>
              <w:tr2bl w:val="nil"/>
            </w:tcBorders>
            <w:vAlign w:val="center"/>
          </w:tcPr>
          <w:p w14:paraId="6110256B">
            <w:pPr>
              <w:spacing w:line="240" w:lineRule="auto"/>
              <w:jc w:val="center"/>
              <w:rPr>
                <w:b/>
                <w:bCs/>
                <w:color w:val="auto"/>
                <w:szCs w:val="21"/>
                <w:highlight w:val="none"/>
              </w:rPr>
            </w:pPr>
          </w:p>
        </w:tc>
        <w:tc>
          <w:tcPr>
            <w:tcW w:w="1153" w:type="dxa"/>
            <w:tcBorders>
              <w:tl2br w:val="nil"/>
              <w:tr2bl w:val="nil"/>
            </w:tcBorders>
            <w:vAlign w:val="center"/>
          </w:tcPr>
          <w:p w14:paraId="21206980">
            <w:pPr>
              <w:spacing w:line="240" w:lineRule="auto"/>
              <w:jc w:val="center"/>
              <w:rPr>
                <w:b/>
                <w:bCs/>
                <w:color w:val="auto"/>
                <w:szCs w:val="21"/>
                <w:highlight w:val="none"/>
              </w:rPr>
            </w:pPr>
          </w:p>
        </w:tc>
      </w:tr>
    </w:tbl>
    <w:p w14:paraId="61B004BA">
      <w:pPr>
        <w:spacing w:after="0" w:line="500" w:lineRule="exact"/>
        <w:rPr>
          <w:rFonts w:hint="eastAsia" w:ascii="宋体" w:hAnsi="宋体" w:cs="宋体"/>
          <w:color w:val="auto"/>
          <w:sz w:val="24"/>
          <w:highlight w:val="none"/>
        </w:rPr>
      </w:pPr>
      <w:r>
        <w:rPr>
          <w:rFonts w:hint="eastAsia" w:ascii="宋体" w:hAnsi="宋体" w:cs="宋体"/>
          <w:color w:val="auto"/>
          <w:sz w:val="24"/>
          <w:highlight w:val="none"/>
        </w:rPr>
        <w:t>注：1、每张表格只填写一个项目，并标明序号。</w:t>
      </w:r>
    </w:p>
    <w:p w14:paraId="1F2C8FAB">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2、请附</w:t>
      </w:r>
      <w:r>
        <w:rPr>
          <w:rFonts w:hint="eastAsia" w:ascii="宋体" w:hAnsi="宋体" w:cs="宋体"/>
          <w:color w:val="auto"/>
          <w:sz w:val="24"/>
          <w:highlight w:val="none"/>
          <w:lang w:eastAsia="zh"/>
        </w:rPr>
        <w:t>类似工程业绩</w:t>
      </w:r>
      <w:r>
        <w:rPr>
          <w:rFonts w:hint="eastAsia" w:ascii="宋体" w:hAnsi="宋体" w:cs="宋体"/>
          <w:color w:val="auto"/>
          <w:sz w:val="24"/>
          <w:highlight w:val="none"/>
        </w:rPr>
        <w:t>证明资料（具体要求见本招标文件第二章投标人须知及商务评分标准表规定）。</w:t>
      </w:r>
    </w:p>
    <w:p w14:paraId="4AD77EE8">
      <w:pPr>
        <w:spacing w:line="240" w:lineRule="auto"/>
        <w:jc w:val="left"/>
        <w:rPr>
          <w:color w:val="auto"/>
          <w:highlight w:val="none"/>
        </w:rPr>
      </w:pPr>
    </w:p>
    <w:p w14:paraId="6C1E4D45">
      <w:pPr>
        <w:rPr>
          <w:rFonts w:hint="eastAsia" w:ascii="宋体" w:hAnsi="宋体" w:cs="宋体"/>
          <w:color w:val="auto"/>
          <w:highlight w:val="none"/>
        </w:rPr>
      </w:pPr>
    </w:p>
    <w:p w14:paraId="769F3E29">
      <w:pPr>
        <w:rPr>
          <w:rFonts w:eastAsia="黑体" w:cstheme="minorBidi"/>
          <w:color w:val="auto"/>
          <w:sz w:val="30"/>
          <w:highlight w:val="none"/>
        </w:rPr>
      </w:pPr>
      <w:r>
        <w:rPr>
          <w:rFonts w:hint="eastAsia" w:eastAsia="黑体" w:cstheme="minorBidi"/>
          <w:color w:val="auto"/>
          <w:sz w:val="30"/>
          <w:highlight w:val="none"/>
        </w:rPr>
        <w:br w:type="page"/>
      </w:r>
    </w:p>
    <w:p w14:paraId="509F184C">
      <w:pPr>
        <w:pStyle w:val="3"/>
        <w:jc w:val="center"/>
        <w:rPr>
          <w:rFonts w:ascii="Times New Roman" w:hAnsi="Times New Roman" w:eastAsia="黑体" w:cstheme="minorBidi"/>
          <w:color w:val="auto"/>
          <w:sz w:val="30"/>
          <w:highlight w:val="none"/>
        </w:rPr>
      </w:pPr>
      <w:bookmarkStart w:id="1206" w:name="_Toc211498765"/>
      <w:r>
        <w:rPr>
          <w:rFonts w:hint="eastAsia" w:ascii="Times New Roman" w:hAnsi="Times New Roman" w:eastAsia="黑体" w:cstheme="minorBidi"/>
          <w:color w:val="auto"/>
          <w:sz w:val="30"/>
          <w:highlight w:val="none"/>
        </w:rPr>
        <w:t>6-3项目管理机构组成表</w:t>
      </w:r>
      <w:bookmarkEnd w:id="1206"/>
    </w:p>
    <w:p w14:paraId="55623DDA">
      <w:pPr>
        <w:rPr>
          <w:rFonts w:ascii="Courier New" w:hAnsi="Courier New"/>
          <w:color w:val="auto"/>
          <w:szCs w:val="20"/>
          <w:highlight w:val="none"/>
        </w:rPr>
      </w:pPr>
    </w:p>
    <w:tbl>
      <w:tblPr>
        <w:tblStyle w:val="4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99"/>
        <w:gridCol w:w="937"/>
        <w:gridCol w:w="937"/>
        <w:gridCol w:w="937"/>
        <w:gridCol w:w="937"/>
        <w:gridCol w:w="937"/>
        <w:gridCol w:w="944"/>
        <w:gridCol w:w="1386"/>
        <w:gridCol w:w="847"/>
      </w:tblGrid>
      <w:tr w14:paraId="1AB95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66" w:type="pct"/>
            <w:vMerge w:val="restart"/>
            <w:tcBorders>
              <w:tl2br w:val="nil"/>
              <w:tr2bl w:val="nil"/>
            </w:tcBorders>
            <w:vAlign w:val="center"/>
          </w:tcPr>
          <w:p w14:paraId="134D101C">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姓名</w:t>
            </w:r>
          </w:p>
        </w:tc>
        <w:tc>
          <w:tcPr>
            <w:tcW w:w="378" w:type="pct"/>
            <w:vMerge w:val="restart"/>
            <w:tcBorders>
              <w:tl2br w:val="nil"/>
              <w:tr2bl w:val="nil"/>
            </w:tcBorders>
            <w:vAlign w:val="center"/>
          </w:tcPr>
          <w:p w14:paraId="1D87AE85">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性别</w:t>
            </w:r>
          </w:p>
        </w:tc>
        <w:tc>
          <w:tcPr>
            <w:tcW w:w="3046" w:type="pct"/>
            <w:gridSpan w:val="6"/>
            <w:tcBorders>
              <w:tl2br w:val="nil"/>
              <w:tr2bl w:val="nil"/>
            </w:tcBorders>
            <w:vAlign w:val="center"/>
          </w:tcPr>
          <w:p w14:paraId="43FDD110">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执业或岗位资格证明</w:t>
            </w:r>
          </w:p>
        </w:tc>
        <w:tc>
          <w:tcPr>
            <w:tcW w:w="750" w:type="pct"/>
            <w:vMerge w:val="restart"/>
            <w:tcBorders>
              <w:tl2br w:val="nil"/>
              <w:tr2bl w:val="nil"/>
            </w:tcBorders>
            <w:vAlign w:val="center"/>
          </w:tcPr>
          <w:p w14:paraId="15F841BB">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拟在本项目担任的工作岗位</w:t>
            </w:r>
          </w:p>
        </w:tc>
        <w:tc>
          <w:tcPr>
            <w:tcW w:w="458" w:type="pct"/>
            <w:vMerge w:val="restart"/>
            <w:tcBorders>
              <w:tl2br w:val="nil"/>
              <w:tr2bl w:val="nil"/>
            </w:tcBorders>
            <w:vAlign w:val="center"/>
          </w:tcPr>
          <w:p w14:paraId="1DC5BA03">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25F5E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66" w:type="pct"/>
            <w:vMerge w:val="continue"/>
            <w:tcBorders>
              <w:tl2br w:val="nil"/>
              <w:tr2bl w:val="nil"/>
            </w:tcBorders>
            <w:vAlign w:val="center"/>
          </w:tcPr>
          <w:p w14:paraId="0B4761C1">
            <w:pPr>
              <w:spacing w:after="0" w:line="240" w:lineRule="auto"/>
              <w:jc w:val="center"/>
              <w:rPr>
                <w:rFonts w:hint="eastAsia" w:ascii="宋体" w:hAnsi="宋体" w:cs="宋体"/>
                <w:b/>
                <w:bCs/>
                <w:color w:val="auto"/>
                <w:szCs w:val="21"/>
                <w:highlight w:val="none"/>
              </w:rPr>
            </w:pPr>
          </w:p>
        </w:tc>
        <w:tc>
          <w:tcPr>
            <w:tcW w:w="378" w:type="pct"/>
            <w:vMerge w:val="continue"/>
            <w:tcBorders>
              <w:tl2br w:val="nil"/>
              <w:tr2bl w:val="nil"/>
            </w:tcBorders>
            <w:vAlign w:val="center"/>
          </w:tcPr>
          <w:p w14:paraId="521F9354">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081F8CF8">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证书</w:t>
            </w:r>
          </w:p>
          <w:p w14:paraId="7FE9B619">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名称</w:t>
            </w:r>
          </w:p>
        </w:tc>
        <w:tc>
          <w:tcPr>
            <w:tcW w:w="507" w:type="pct"/>
            <w:tcBorders>
              <w:tl2br w:val="nil"/>
              <w:tr2bl w:val="nil"/>
            </w:tcBorders>
            <w:vAlign w:val="center"/>
          </w:tcPr>
          <w:p w14:paraId="7C03A380">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级别</w:t>
            </w:r>
          </w:p>
        </w:tc>
        <w:tc>
          <w:tcPr>
            <w:tcW w:w="507" w:type="pct"/>
            <w:tcBorders>
              <w:tl2br w:val="nil"/>
              <w:tr2bl w:val="nil"/>
            </w:tcBorders>
            <w:vAlign w:val="center"/>
          </w:tcPr>
          <w:p w14:paraId="27E468BF">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证号</w:t>
            </w:r>
          </w:p>
        </w:tc>
        <w:tc>
          <w:tcPr>
            <w:tcW w:w="507" w:type="pct"/>
            <w:tcBorders>
              <w:tl2br w:val="nil"/>
              <w:tr2bl w:val="nil"/>
            </w:tcBorders>
            <w:vAlign w:val="center"/>
          </w:tcPr>
          <w:p w14:paraId="0B74C082">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专业</w:t>
            </w:r>
          </w:p>
        </w:tc>
        <w:tc>
          <w:tcPr>
            <w:tcW w:w="507" w:type="pct"/>
            <w:tcBorders>
              <w:tl2br w:val="nil"/>
              <w:tr2bl w:val="nil"/>
            </w:tcBorders>
            <w:vAlign w:val="center"/>
          </w:tcPr>
          <w:p w14:paraId="140AE2C7">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证书有效期</w:t>
            </w:r>
          </w:p>
        </w:tc>
        <w:tc>
          <w:tcPr>
            <w:tcW w:w="510" w:type="pct"/>
            <w:tcBorders>
              <w:tl2br w:val="nil"/>
              <w:tr2bl w:val="nil"/>
            </w:tcBorders>
            <w:vAlign w:val="center"/>
          </w:tcPr>
          <w:p w14:paraId="5B6E9F33">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身份证号码</w:t>
            </w:r>
          </w:p>
        </w:tc>
        <w:tc>
          <w:tcPr>
            <w:tcW w:w="750" w:type="pct"/>
            <w:vMerge w:val="continue"/>
            <w:tcBorders>
              <w:tl2br w:val="nil"/>
              <w:tr2bl w:val="nil"/>
            </w:tcBorders>
            <w:vAlign w:val="center"/>
          </w:tcPr>
          <w:p w14:paraId="1A7E5593">
            <w:pPr>
              <w:spacing w:after="0" w:line="240" w:lineRule="auto"/>
              <w:jc w:val="center"/>
              <w:rPr>
                <w:rFonts w:hint="eastAsia" w:ascii="宋体" w:hAnsi="宋体" w:cs="宋体"/>
                <w:b/>
                <w:bCs/>
                <w:color w:val="auto"/>
                <w:szCs w:val="21"/>
                <w:highlight w:val="none"/>
              </w:rPr>
            </w:pPr>
          </w:p>
        </w:tc>
        <w:tc>
          <w:tcPr>
            <w:tcW w:w="458" w:type="pct"/>
            <w:vMerge w:val="continue"/>
            <w:tcBorders>
              <w:tl2br w:val="nil"/>
              <w:tr2bl w:val="nil"/>
            </w:tcBorders>
            <w:vAlign w:val="center"/>
          </w:tcPr>
          <w:p w14:paraId="1AF8F72A">
            <w:pPr>
              <w:spacing w:after="0" w:line="240" w:lineRule="auto"/>
              <w:jc w:val="center"/>
              <w:rPr>
                <w:rFonts w:hint="eastAsia" w:ascii="宋体" w:hAnsi="宋体" w:cs="宋体"/>
                <w:b/>
                <w:bCs/>
                <w:color w:val="auto"/>
                <w:szCs w:val="21"/>
                <w:highlight w:val="none"/>
              </w:rPr>
            </w:pPr>
          </w:p>
        </w:tc>
      </w:tr>
      <w:tr w14:paraId="48AFD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66" w:type="pct"/>
            <w:tcBorders>
              <w:tl2br w:val="nil"/>
              <w:tr2bl w:val="nil"/>
            </w:tcBorders>
            <w:vAlign w:val="center"/>
          </w:tcPr>
          <w:p w14:paraId="7F9FD3FE">
            <w:pPr>
              <w:spacing w:after="0" w:line="240" w:lineRule="auto"/>
              <w:jc w:val="center"/>
              <w:rPr>
                <w:rFonts w:hint="eastAsia" w:ascii="宋体" w:hAnsi="宋体" w:cs="宋体"/>
                <w:b/>
                <w:bCs/>
                <w:color w:val="auto"/>
                <w:szCs w:val="21"/>
                <w:highlight w:val="none"/>
              </w:rPr>
            </w:pPr>
          </w:p>
        </w:tc>
        <w:tc>
          <w:tcPr>
            <w:tcW w:w="378" w:type="pct"/>
            <w:tcBorders>
              <w:tl2br w:val="nil"/>
              <w:tr2bl w:val="nil"/>
            </w:tcBorders>
            <w:vAlign w:val="center"/>
          </w:tcPr>
          <w:p w14:paraId="268875D2">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1EFC08F8">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23E49450">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6F782EB1">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1321E6D8">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3B86C43A">
            <w:pPr>
              <w:spacing w:after="0" w:line="240" w:lineRule="auto"/>
              <w:jc w:val="center"/>
              <w:rPr>
                <w:rFonts w:hint="eastAsia" w:ascii="宋体" w:hAnsi="宋体" w:cs="宋体"/>
                <w:b/>
                <w:bCs/>
                <w:color w:val="auto"/>
                <w:szCs w:val="21"/>
                <w:highlight w:val="none"/>
              </w:rPr>
            </w:pPr>
          </w:p>
        </w:tc>
        <w:tc>
          <w:tcPr>
            <w:tcW w:w="510" w:type="pct"/>
            <w:tcBorders>
              <w:tl2br w:val="nil"/>
              <w:tr2bl w:val="nil"/>
            </w:tcBorders>
            <w:vAlign w:val="center"/>
          </w:tcPr>
          <w:p w14:paraId="301BC055">
            <w:pPr>
              <w:spacing w:after="0" w:line="240" w:lineRule="auto"/>
              <w:jc w:val="center"/>
              <w:rPr>
                <w:rFonts w:hint="eastAsia" w:ascii="宋体" w:hAnsi="宋体" w:cs="宋体"/>
                <w:b/>
                <w:bCs/>
                <w:color w:val="auto"/>
                <w:szCs w:val="21"/>
                <w:highlight w:val="none"/>
              </w:rPr>
            </w:pPr>
          </w:p>
        </w:tc>
        <w:tc>
          <w:tcPr>
            <w:tcW w:w="750" w:type="pct"/>
            <w:tcBorders>
              <w:tl2br w:val="nil"/>
              <w:tr2bl w:val="nil"/>
            </w:tcBorders>
            <w:vAlign w:val="center"/>
          </w:tcPr>
          <w:p w14:paraId="7D8DDFE7">
            <w:pPr>
              <w:spacing w:after="0" w:line="240" w:lineRule="auto"/>
              <w:jc w:val="center"/>
              <w:rPr>
                <w:rFonts w:hint="eastAsia" w:ascii="宋体" w:hAnsi="宋体" w:cs="宋体"/>
                <w:b/>
                <w:bCs/>
                <w:color w:val="auto"/>
                <w:szCs w:val="21"/>
                <w:highlight w:val="none"/>
              </w:rPr>
            </w:pPr>
          </w:p>
        </w:tc>
        <w:tc>
          <w:tcPr>
            <w:tcW w:w="458" w:type="pct"/>
            <w:tcBorders>
              <w:tl2br w:val="nil"/>
              <w:tr2bl w:val="nil"/>
            </w:tcBorders>
            <w:vAlign w:val="center"/>
          </w:tcPr>
          <w:p w14:paraId="2CF0DF23">
            <w:pPr>
              <w:spacing w:after="0" w:line="240" w:lineRule="auto"/>
              <w:jc w:val="center"/>
              <w:rPr>
                <w:rFonts w:hint="eastAsia" w:ascii="宋体" w:hAnsi="宋体" w:cs="宋体"/>
                <w:b/>
                <w:bCs/>
                <w:color w:val="auto"/>
                <w:szCs w:val="21"/>
                <w:highlight w:val="none"/>
              </w:rPr>
            </w:pPr>
          </w:p>
        </w:tc>
      </w:tr>
      <w:tr w14:paraId="5C9A8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66" w:type="pct"/>
            <w:tcBorders>
              <w:tl2br w:val="nil"/>
              <w:tr2bl w:val="nil"/>
            </w:tcBorders>
            <w:vAlign w:val="center"/>
          </w:tcPr>
          <w:p w14:paraId="70554BA7">
            <w:pPr>
              <w:spacing w:after="0" w:line="240" w:lineRule="auto"/>
              <w:jc w:val="center"/>
              <w:rPr>
                <w:rFonts w:hint="eastAsia" w:ascii="宋体" w:hAnsi="宋体" w:cs="宋体"/>
                <w:b/>
                <w:bCs/>
                <w:color w:val="auto"/>
                <w:szCs w:val="21"/>
                <w:highlight w:val="none"/>
              </w:rPr>
            </w:pPr>
          </w:p>
        </w:tc>
        <w:tc>
          <w:tcPr>
            <w:tcW w:w="378" w:type="pct"/>
            <w:tcBorders>
              <w:tl2br w:val="nil"/>
              <w:tr2bl w:val="nil"/>
            </w:tcBorders>
            <w:vAlign w:val="center"/>
          </w:tcPr>
          <w:p w14:paraId="7DDBD491">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0864ADBE">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510A6F04">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1550D691">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3512A755">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3A96C5E7">
            <w:pPr>
              <w:spacing w:after="0" w:line="240" w:lineRule="auto"/>
              <w:jc w:val="center"/>
              <w:rPr>
                <w:rFonts w:hint="eastAsia" w:ascii="宋体" w:hAnsi="宋体" w:cs="宋体"/>
                <w:b/>
                <w:bCs/>
                <w:color w:val="auto"/>
                <w:szCs w:val="21"/>
                <w:highlight w:val="none"/>
              </w:rPr>
            </w:pPr>
          </w:p>
        </w:tc>
        <w:tc>
          <w:tcPr>
            <w:tcW w:w="510" w:type="pct"/>
            <w:tcBorders>
              <w:tl2br w:val="nil"/>
              <w:tr2bl w:val="nil"/>
            </w:tcBorders>
            <w:vAlign w:val="center"/>
          </w:tcPr>
          <w:p w14:paraId="7BBC0082">
            <w:pPr>
              <w:spacing w:after="0" w:line="240" w:lineRule="auto"/>
              <w:jc w:val="center"/>
              <w:rPr>
                <w:rFonts w:hint="eastAsia" w:ascii="宋体" w:hAnsi="宋体" w:cs="宋体"/>
                <w:b/>
                <w:bCs/>
                <w:color w:val="auto"/>
                <w:szCs w:val="21"/>
                <w:highlight w:val="none"/>
              </w:rPr>
            </w:pPr>
          </w:p>
        </w:tc>
        <w:tc>
          <w:tcPr>
            <w:tcW w:w="750" w:type="pct"/>
            <w:tcBorders>
              <w:tl2br w:val="nil"/>
              <w:tr2bl w:val="nil"/>
            </w:tcBorders>
            <w:vAlign w:val="center"/>
          </w:tcPr>
          <w:p w14:paraId="2E310F26">
            <w:pPr>
              <w:spacing w:after="0" w:line="240" w:lineRule="auto"/>
              <w:jc w:val="center"/>
              <w:rPr>
                <w:rFonts w:hint="eastAsia" w:ascii="宋体" w:hAnsi="宋体" w:cs="宋体"/>
                <w:b/>
                <w:bCs/>
                <w:color w:val="auto"/>
                <w:szCs w:val="21"/>
                <w:highlight w:val="none"/>
              </w:rPr>
            </w:pPr>
          </w:p>
        </w:tc>
        <w:tc>
          <w:tcPr>
            <w:tcW w:w="458" w:type="pct"/>
            <w:tcBorders>
              <w:tl2br w:val="nil"/>
              <w:tr2bl w:val="nil"/>
            </w:tcBorders>
            <w:vAlign w:val="center"/>
          </w:tcPr>
          <w:p w14:paraId="17224B53">
            <w:pPr>
              <w:spacing w:after="0" w:line="240" w:lineRule="auto"/>
              <w:jc w:val="center"/>
              <w:rPr>
                <w:rFonts w:hint="eastAsia" w:ascii="宋体" w:hAnsi="宋体" w:cs="宋体"/>
                <w:b/>
                <w:bCs/>
                <w:color w:val="auto"/>
                <w:szCs w:val="21"/>
                <w:highlight w:val="none"/>
              </w:rPr>
            </w:pPr>
          </w:p>
        </w:tc>
      </w:tr>
      <w:tr w14:paraId="465D9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366" w:type="pct"/>
            <w:tcBorders>
              <w:tl2br w:val="nil"/>
              <w:tr2bl w:val="nil"/>
            </w:tcBorders>
            <w:vAlign w:val="center"/>
          </w:tcPr>
          <w:p w14:paraId="3F869989">
            <w:pPr>
              <w:spacing w:after="0" w:line="240" w:lineRule="auto"/>
              <w:jc w:val="center"/>
              <w:rPr>
                <w:rFonts w:hint="eastAsia" w:ascii="宋体" w:hAnsi="宋体" w:cs="宋体"/>
                <w:b/>
                <w:bCs/>
                <w:color w:val="auto"/>
                <w:szCs w:val="21"/>
                <w:highlight w:val="none"/>
              </w:rPr>
            </w:pPr>
          </w:p>
        </w:tc>
        <w:tc>
          <w:tcPr>
            <w:tcW w:w="378" w:type="pct"/>
            <w:tcBorders>
              <w:tl2br w:val="nil"/>
              <w:tr2bl w:val="nil"/>
            </w:tcBorders>
            <w:vAlign w:val="center"/>
          </w:tcPr>
          <w:p w14:paraId="62332008">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4F9756FE">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2C5FC997">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6197DB98">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3B12F96D">
            <w:pPr>
              <w:spacing w:after="0" w:line="240" w:lineRule="auto"/>
              <w:jc w:val="center"/>
              <w:rPr>
                <w:rFonts w:hint="eastAsia" w:ascii="宋体" w:hAnsi="宋体" w:cs="宋体"/>
                <w:b/>
                <w:bCs/>
                <w:color w:val="auto"/>
                <w:szCs w:val="21"/>
                <w:highlight w:val="none"/>
              </w:rPr>
            </w:pPr>
          </w:p>
        </w:tc>
        <w:tc>
          <w:tcPr>
            <w:tcW w:w="507" w:type="pct"/>
            <w:tcBorders>
              <w:tl2br w:val="nil"/>
              <w:tr2bl w:val="nil"/>
            </w:tcBorders>
            <w:vAlign w:val="center"/>
          </w:tcPr>
          <w:p w14:paraId="015D5A82">
            <w:pPr>
              <w:spacing w:after="0" w:line="240" w:lineRule="auto"/>
              <w:jc w:val="center"/>
              <w:rPr>
                <w:rFonts w:hint="eastAsia" w:ascii="宋体" w:hAnsi="宋体" w:cs="宋体"/>
                <w:b/>
                <w:bCs/>
                <w:color w:val="auto"/>
                <w:szCs w:val="21"/>
                <w:highlight w:val="none"/>
              </w:rPr>
            </w:pPr>
          </w:p>
        </w:tc>
        <w:tc>
          <w:tcPr>
            <w:tcW w:w="510" w:type="pct"/>
            <w:tcBorders>
              <w:tl2br w:val="nil"/>
              <w:tr2bl w:val="nil"/>
            </w:tcBorders>
            <w:vAlign w:val="center"/>
          </w:tcPr>
          <w:p w14:paraId="5207C270">
            <w:pPr>
              <w:spacing w:after="0" w:line="240" w:lineRule="auto"/>
              <w:jc w:val="center"/>
              <w:rPr>
                <w:rFonts w:hint="eastAsia" w:ascii="宋体" w:hAnsi="宋体" w:cs="宋体"/>
                <w:b/>
                <w:bCs/>
                <w:color w:val="auto"/>
                <w:szCs w:val="21"/>
                <w:highlight w:val="none"/>
              </w:rPr>
            </w:pPr>
          </w:p>
        </w:tc>
        <w:tc>
          <w:tcPr>
            <w:tcW w:w="750" w:type="pct"/>
            <w:tcBorders>
              <w:tl2br w:val="nil"/>
              <w:tr2bl w:val="nil"/>
            </w:tcBorders>
            <w:vAlign w:val="center"/>
          </w:tcPr>
          <w:p w14:paraId="6BD53588">
            <w:pPr>
              <w:spacing w:after="0" w:line="240" w:lineRule="auto"/>
              <w:jc w:val="center"/>
              <w:rPr>
                <w:rFonts w:hint="eastAsia" w:ascii="宋体" w:hAnsi="宋体" w:cs="宋体"/>
                <w:b/>
                <w:bCs/>
                <w:color w:val="auto"/>
                <w:szCs w:val="21"/>
                <w:highlight w:val="none"/>
              </w:rPr>
            </w:pPr>
          </w:p>
        </w:tc>
        <w:tc>
          <w:tcPr>
            <w:tcW w:w="458" w:type="pct"/>
            <w:tcBorders>
              <w:tl2br w:val="nil"/>
              <w:tr2bl w:val="nil"/>
            </w:tcBorders>
            <w:vAlign w:val="center"/>
          </w:tcPr>
          <w:p w14:paraId="78C2CE38">
            <w:pPr>
              <w:spacing w:after="0" w:line="240" w:lineRule="auto"/>
              <w:jc w:val="center"/>
              <w:rPr>
                <w:rFonts w:hint="eastAsia" w:ascii="宋体" w:hAnsi="宋体" w:cs="宋体"/>
                <w:b/>
                <w:bCs/>
                <w:color w:val="auto"/>
                <w:szCs w:val="21"/>
                <w:highlight w:val="none"/>
              </w:rPr>
            </w:pPr>
          </w:p>
        </w:tc>
      </w:tr>
    </w:tbl>
    <w:p w14:paraId="4970A321">
      <w:pPr>
        <w:ind w:firstLine="420" w:firstLineChars="200"/>
        <w:rPr>
          <w:color w:val="auto"/>
          <w:highlight w:val="none"/>
        </w:rPr>
      </w:pPr>
      <w:r>
        <w:rPr>
          <w:rFonts w:hint="eastAsia" w:ascii="宋体" w:hAnsi="宋体" w:cs="宋体"/>
          <w:snapToGrid w:val="0"/>
          <w:color w:val="auto"/>
          <w:kern w:val="0"/>
          <w:szCs w:val="21"/>
          <w:highlight w:val="none"/>
        </w:rPr>
        <w:t>注：项目管理人员是指项目经理。</w:t>
      </w:r>
    </w:p>
    <w:p w14:paraId="129280C3">
      <w:pPr>
        <w:numPr>
          <w:ilvl w:val="255"/>
          <w:numId w:val="0"/>
        </w:numPr>
        <w:jc w:val="left"/>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br w:type="page"/>
      </w:r>
    </w:p>
    <w:p w14:paraId="533BC3A8">
      <w:pPr>
        <w:keepNext/>
        <w:keepLines/>
        <w:numPr>
          <w:ilvl w:val="255"/>
          <w:numId w:val="0"/>
        </w:numPr>
        <w:spacing w:line="400" w:lineRule="exact"/>
        <w:jc w:val="center"/>
        <w:outlineLvl w:val="2"/>
        <w:rPr>
          <w:rFonts w:hint="eastAsia" w:ascii="黑体" w:hAnsi="黑体" w:eastAsia="黑体" w:cs="宋体"/>
          <w:color w:val="auto"/>
          <w:sz w:val="28"/>
          <w:szCs w:val="28"/>
          <w:highlight w:val="none"/>
        </w:rPr>
      </w:pPr>
      <w:bookmarkStart w:id="1207" w:name="_Toc211498766"/>
      <w:r>
        <w:rPr>
          <w:rFonts w:hint="eastAsia" w:ascii="黑体" w:hAnsi="黑体" w:eastAsia="黑体" w:cs="宋体"/>
          <w:color w:val="auto"/>
          <w:sz w:val="28"/>
          <w:szCs w:val="28"/>
          <w:highlight w:val="none"/>
        </w:rPr>
        <w:t>6-3-1拟任项目经理简历表</w:t>
      </w:r>
      <w:bookmarkEnd w:id="1207"/>
    </w:p>
    <w:tbl>
      <w:tblPr>
        <w:tblStyle w:val="41"/>
        <w:tblW w:w="8454" w:type="dxa"/>
        <w:jc w:val="center"/>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08"/>
        <w:gridCol w:w="4772"/>
        <w:gridCol w:w="1510"/>
        <w:gridCol w:w="1264"/>
      </w:tblGrid>
      <w:tr w14:paraId="5C017F00">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vAlign w:val="center"/>
          </w:tcPr>
          <w:p w14:paraId="1EA3A3B1">
            <w:pPr>
              <w:widowControl/>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772" w:type="dxa"/>
            <w:tcBorders>
              <w:tl2br w:val="nil"/>
              <w:tr2bl w:val="nil"/>
            </w:tcBorders>
            <w:vAlign w:val="center"/>
          </w:tcPr>
          <w:p w14:paraId="153ABDC4">
            <w:pPr>
              <w:widowControl/>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关键信息项</w:t>
            </w:r>
          </w:p>
        </w:tc>
        <w:tc>
          <w:tcPr>
            <w:tcW w:w="1510" w:type="dxa"/>
            <w:tcBorders>
              <w:tl2br w:val="nil"/>
              <w:tr2bl w:val="nil"/>
            </w:tcBorders>
            <w:vAlign w:val="center"/>
          </w:tcPr>
          <w:p w14:paraId="1CBE173E">
            <w:pPr>
              <w:widowControl/>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c>
          <w:tcPr>
            <w:tcW w:w="1264" w:type="dxa"/>
            <w:tcBorders>
              <w:tl2br w:val="nil"/>
              <w:tr2bl w:val="nil"/>
            </w:tcBorders>
            <w:vAlign w:val="center"/>
          </w:tcPr>
          <w:p w14:paraId="79758446">
            <w:pPr>
              <w:widowControl/>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11BB0010">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334357E7">
            <w:pPr>
              <w:widowControl/>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72" w:type="dxa"/>
            <w:tcBorders>
              <w:tl2br w:val="nil"/>
              <w:tr2bl w:val="nil"/>
            </w:tcBorders>
            <w:tcMar>
              <w:left w:w="108" w:type="dxa"/>
              <w:right w:w="108" w:type="dxa"/>
            </w:tcMar>
            <w:vAlign w:val="center"/>
          </w:tcPr>
          <w:p w14:paraId="74BE625A">
            <w:pPr>
              <w:widowControl/>
              <w:spacing w:after="0" w:line="24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510" w:type="dxa"/>
            <w:tcBorders>
              <w:tl2br w:val="nil"/>
              <w:tr2bl w:val="nil"/>
            </w:tcBorders>
            <w:tcMar>
              <w:left w:w="108" w:type="dxa"/>
              <w:right w:w="108" w:type="dxa"/>
            </w:tcMar>
            <w:vAlign w:val="center"/>
          </w:tcPr>
          <w:p w14:paraId="062B837B">
            <w:pPr>
              <w:widowControl/>
              <w:spacing w:after="0" w:line="24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mc:AlternateContent>
                <mc:Choice Requires="wps">
                  <w:drawing>
                    <wp:inline distT="0" distB="0" distL="114300" distR="114300">
                      <wp:extent cx="635" cy="0"/>
                      <wp:effectExtent l="0" t="4445" r="0" b="5080"/>
                      <wp:docPr id="761665843" name="矩形 7616658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K4p/pCQIAACgEAAAOAAAAZHJzL2Uyb0RvYy54bWytU0uO2zAM3RfoHQTt&#10;GyeZJp0acQbFpNPNoB1g2gMwsmwL1Q+iEienKdBdD9HjFHONUnKS+XSTRb0wKIp85HukFlc7o9lW&#10;BlTOVnwyGnMmrXC1sm3Fv329eXPJGUawNWhnZcX3EvnV8vWrRe9LOXWd07UMjEAslr2veBejL4sC&#10;RScN4Mh5aemyccFApGNoizpAT+hGF9PxeF70LtQ+OCERybsaLvkBMZwD6JpGCblyYmOkjQNqkBoi&#10;UcJOeeTL3G3TSBG/NA3KyHTFiWnMfypC9jr9i+UCyjaA75Q4tADntPCCkwFlqegJagUR2Caof6CM&#10;EsGha+JIOFMMRLIixGIyfqHNfQdeZi4kNfqT6Pj/YMXn7V1gqq74u/lkPp9dvr3gzIKhwT/8+PXn&#10;90/26Ceteo8lpdz7u5DYor914jsy6647sK38gJ4Up61KuhbPgtMBD2m7JpiUTvTZLs9if5qF3EUm&#10;yDm/mHEmjv4CymOSDxg/SWdYMioeqGBWHra3GFNZKI8hqYZ1N0rrPGZtWV/x97NpQgZa3YZWhkzj&#10;iT7aNsOg06pOKZlfaNfXOrAtpPXJX2ZGzJ+GpXorwG6Iy1fDYhkVZci1Own1R1uzuPckraWXxVMz&#10;RtacaUkPMVk5MoLS50QST20PKg/CJonXrt7TQDc+qLZ7NglaoCzOYdnThj49Z6THB77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ZTkKnOAAAA/wAAAA8AAAAAAAAAAQAgAAAAIgAAAGRycy9kb3du&#10;cmV2LnhtbFBLAQIUABQAAAAIAIdO4kAK4p/pCQIAACgEAAAOAAAAAAAAAAEAIAAAAB0BAABkcnMv&#10;ZTJvRG9jLnhtbFBLBQYAAAAABgAGAFkBAACYBQAAAAA=&#10;">
                      <v:fill on="f" focussize="0,0"/>
                      <v:stroke color="#000000" joinstyle="miter"/>
                      <v:imagedata o:title=""/>
                      <o:lock v:ext="edit" aspectratio="t"/>
                      <w10:wrap type="none"/>
                      <w10:anchorlock/>
                    </v:rect>
                  </w:pict>
                </mc:Fallback>
              </mc:AlternateContent>
            </w:r>
          </w:p>
        </w:tc>
        <w:tc>
          <w:tcPr>
            <w:tcW w:w="1264" w:type="dxa"/>
            <w:tcBorders>
              <w:tl2br w:val="nil"/>
              <w:tr2bl w:val="nil"/>
            </w:tcBorders>
            <w:tcMar>
              <w:left w:w="108" w:type="dxa"/>
              <w:right w:w="108" w:type="dxa"/>
            </w:tcMar>
            <w:vAlign w:val="center"/>
          </w:tcPr>
          <w:p w14:paraId="665B52EB">
            <w:pPr>
              <w:widowControl/>
              <w:spacing w:after="0" w:line="240" w:lineRule="auto"/>
              <w:jc w:val="center"/>
              <w:rPr>
                <w:rFonts w:hint="eastAsia" w:ascii="宋体" w:hAnsi="宋体" w:cs="宋体"/>
                <w:color w:val="auto"/>
                <w:kern w:val="0"/>
                <w:szCs w:val="21"/>
                <w:highlight w:val="none"/>
                <w:lang w:bidi="ar"/>
              </w:rPr>
            </w:pPr>
          </w:p>
        </w:tc>
      </w:tr>
      <w:tr w14:paraId="7D8C3A57">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6CAE2337">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772" w:type="dxa"/>
            <w:tcBorders>
              <w:tl2br w:val="nil"/>
              <w:tr2bl w:val="nil"/>
            </w:tcBorders>
            <w:tcMar>
              <w:left w:w="108" w:type="dxa"/>
              <w:right w:w="108" w:type="dxa"/>
            </w:tcMar>
            <w:vAlign w:val="center"/>
          </w:tcPr>
          <w:p w14:paraId="486D58F4">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单位名称</w:t>
            </w:r>
          </w:p>
        </w:tc>
        <w:tc>
          <w:tcPr>
            <w:tcW w:w="1510" w:type="dxa"/>
            <w:tcBorders>
              <w:tl2br w:val="nil"/>
              <w:tr2bl w:val="nil"/>
            </w:tcBorders>
            <w:tcMar>
              <w:left w:w="108" w:type="dxa"/>
              <w:right w:w="108" w:type="dxa"/>
            </w:tcMar>
            <w:vAlign w:val="center"/>
          </w:tcPr>
          <w:p w14:paraId="048D2712">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07EDBCE3">
            <w:pPr>
              <w:widowControl/>
              <w:spacing w:after="0" w:line="240" w:lineRule="auto"/>
              <w:jc w:val="center"/>
              <w:rPr>
                <w:rFonts w:hint="eastAsia" w:ascii="宋体" w:hAnsi="宋体" w:cs="宋体"/>
                <w:color w:val="auto"/>
                <w:kern w:val="0"/>
                <w:szCs w:val="21"/>
                <w:highlight w:val="none"/>
                <w:lang w:bidi="ar"/>
              </w:rPr>
            </w:pPr>
          </w:p>
        </w:tc>
      </w:tr>
      <w:tr w14:paraId="693D61CD">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03F55C7D">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772" w:type="dxa"/>
            <w:tcBorders>
              <w:tl2br w:val="nil"/>
              <w:tr2bl w:val="nil"/>
            </w:tcBorders>
            <w:tcMar>
              <w:left w:w="108" w:type="dxa"/>
              <w:right w:w="108" w:type="dxa"/>
            </w:tcMar>
            <w:vAlign w:val="center"/>
          </w:tcPr>
          <w:p w14:paraId="3150BAA4">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建造师注册执业资格证书等级</w:t>
            </w:r>
          </w:p>
        </w:tc>
        <w:tc>
          <w:tcPr>
            <w:tcW w:w="1510" w:type="dxa"/>
            <w:tcBorders>
              <w:tl2br w:val="nil"/>
              <w:tr2bl w:val="nil"/>
            </w:tcBorders>
            <w:tcMar>
              <w:left w:w="108" w:type="dxa"/>
              <w:right w:w="108" w:type="dxa"/>
            </w:tcMar>
            <w:vAlign w:val="center"/>
          </w:tcPr>
          <w:p w14:paraId="2F4E2F79">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49840613">
            <w:pPr>
              <w:widowControl/>
              <w:spacing w:after="0" w:line="240" w:lineRule="auto"/>
              <w:jc w:val="center"/>
              <w:rPr>
                <w:rFonts w:hint="eastAsia" w:ascii="宋体" w:hAnsi="宋体" w:cs="宋体"/>
                <w:color w:val="auto"/>
                <w:kern w:val="0"/>
                <w:szCs w:val="21"/>
                <w:highlight w:val="none"/>
                <w:lang w:bidi="ar"/>
              </w:rPr>
            </w:pPr>
          </w:p>
        </w:tc>
      </w:tr>
      <w:tr w14:paraId="26862517">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5FDF87B9">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772" w:type="dxa"/>
            <w:tcBorders>
              <w:tl2br w:val="nil"/>
              <w:tr2bl w:val="nil"/>
            </w:tcBorders>
            <w:tcMar>
              <w:left w:w="108" w:type="dxa"/>
              <w:right w:w="108" w:type="dxa"/>
            </w:tcMar>
            <w:vAlign w:val="center"/>
          </w:tcPr>
          <w:p w14:paraId="110C9119">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建造师注册执业资格证书编号</w:t>
            </w:r>
          </w:p>
        </w:tc>
        <w:tc>
          <w:tcPr>
            <w:tcW w:w="1510" w:type="dxa"/>
            <w:tcBorders>
              <w:tl2br w:val="nil"/>
              <w:tr2bl w:val="nil"/>
            </w:tcBorders>
            <w:tcMar>
              <w:left w:w="108" w:type="dxa"/>
              <w:right w:w="108" w:type="dxa"/>
            </w:tcMar>
            <w:vAlign w:val="center"/>
          </w:tcPr>
          <w:p w14:paraId="521BBDFD">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5A244D69">
            <w:pPr>
              <w:widowControl/>
              <w:spacing w:after="0" w:line="240" w:lineRule="auto"/>
              <w:jc w:val="center"/>
              <w:rPr>
                <w:rFonts w:hint="eastAsia" w:ascii="宋体" w:hAnsi="宋体" w:cs="宋体"/>
                <w:color w:val="auto"/>
                <w:kern w:val="0"/>
                <w:szCs w:val="21"/>
                <w:highlight w:val="none"/>
                <w:lang w:bidi="ar"/>
              </w:rPr>
            </w:pPr>
          </w:p>
        </w:tc>
      </w:tr>
      <w:tr w14:paraId="0B184C1D">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48698D0F">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4772" w:type="dxa"/>
            <w:tcBorders>
              <w:tl2br w:val="nil"/>
              <w:tr2bl w:val="nil"/>
            </w:tcBorders>
            <w:tcMar>
              <w:left w:w="108" w:type="dxa"/>
              <w:right w:w="108" w:type="dxa"/>
            </w:tcMar>
            <w:vAlign w:val="center"/>
          </w:tcPr>
          <w:p w14:paraId="45105769">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执业资格证书有效期</w:t>
            </w:r>
          </w:p>
        </w:tc>
        <w:tc>
          <w:tcPr>
            <w:tcW w:w="1510" w:type="dxa"/>
            <w:tcBorders>
              <w:tl2br w:val="nil"/>
              <w:tr2bl w:val="nil"/>
            </w:tcBorders>
            <w:tcMar>
              <w:left w:w="108" w:type="dxa"/>
              <w:right w:w="108" w:type="dxa"/>
            </w:tcMar>
            <w:vAlign w:val="center"/>
          </w:tcPr>
          <w:p w14:paraId="2B87A7DF">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3B3A1FD8">
            <w:pPr>
              <w:widowControl/>
              <w:spacing w:after="0" w:line="240" w:lineRule="auto"/>
              <w:jc w:val="center"/>
              <w:rPr>
                <w:rFonts w:hint="eastAsia" w:ascii="宋体" w:hAnsi="宋体" w:cs="宋体"/>
                <w:color w:val="auto"/>
                <w:kern w:val="0"/>
                <w:szCs w:val="21"/>
                <w:highlight w:val="none"/>
                <w:lang w:bidi="ar"/>
              </w:rPr>
            </w:pPr>
          </w:p>
        </w:tc>
      </w:tr>
      <w:tr w14:paraId="1FA38D6E">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13924A52">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4772" w:type="dxa"/>
            <w:tcBorders>
              <w:tl2br w:val="nil"/>
              <w:tr2bl w:val="nil"/>
            </w:tcBorders>
            <w:tcMar>
              <w:left w:w="108" w:type="dxa"/>
              <w:right w:w="108" w:type="dxa"/>
            </w:tcMar>
            <w:vAlign w:val="center"/>
          </w:tcPr>
          <w:p w14:paraId="2273402C">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证书有效期</w:t>
            </w:r>
          </w:p>
        </w:tc>
        <w:tc>
          <w:tcPr>
            <w:tcW w:w="1510" w:type="dxa"/>
            <w:tcBorders>
              <w:tl2br w:val="nil"/>
              <w:tr2bl w:val="nil"/>
            </w:tcBorders>
            <w:tcMar>
              <w:left w:w="108" w:type="dxa"/>
              <w:right w:w="108" w:type="dxa"/>
            </w:tcMar>
            <w:vAlign w:val="center"/>
          </w:tcPr>
          <w:p w14:paraId="6769D3C5">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07B727B5">
            <w:pPr>
              <w:widowControl/>
              <w:spacing w:after="0" w:line="240" w:lineRule="auto"/>
              <w:jc w:val="center"/>
              <w:rPr>
                <w:rFonts w:hint="eastAsia" w:ascii="宋体" w:hAnsi="宋体" w:cs="宋体"/>
                <w:color w:val="auto"/>
                <w:kern w:val="0"/>
                <w:szCs w:val="21"/>
                <w:highlight w:val="none"/>
                <w:lang w:bidi="ar"/>
              </w:rPr>
            </w:pPr>
          </w:p>
        </w:tc>
      </w:tr>
      <w:tr w14:paraId="2F8FDAAE">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1836E9E2">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4772" w:type="dxa"/>
            <w:tcBorders>
              <w:tl2br w:val="nil"/>
              <w:tr2bl w:val="nil"/>
            </w:tcBorders>
            <w:tcMar>
              <w:left w:w="108" w:type="dxa"/>
              <w:right w:w="108" w:type="dxa"/>
            </w:tcMar>
            <w:vAlign w:val="center"/>
          </w:tcPr>
          <w:p w14:paraId="446FC499">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注册专业</w:t>
            </w:r>
          </w:p>
        </w:tc>
        <w:tc>
          <w:tcPr>
            <w:tcW w:w="1510" w:type="dxa"/>
            <w:tcBorders>
              <w:tl2br w:val="nil"/>
              <w:tr2bl w:val="nil"/>
            </w:tcBorders>
            <w:tcMar>
              <w:left w:w="108" w:type="dxa"/>
              <w:right w:w="108" w:type="dxa"/>
            </w:tcMar>
            <w:vAlign w:val="center"/>
          </w:tcPr>
          <w:p w14:paraId="1805E468">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1D3FE0A3">
            <w:pPr>
              <w:widowControl/>
              <w:spacing w:after="0" w:line="240" w:lineRule="auto"/>
              <w:jc w:val="center"/>
              <w:rPr>
                <w:rFonts w:hint="eastAsia" w:ascii="宋体" w:hAnsi="宋体" w:cs="宋体"/>
                <w:color w:val="auto"/>
                <w:kern w:val="0"/>
                <w:szCs w:val="21"/>
                <w:highlight w:val="none"/>
                <w:lang w:bidi="ar"/>
              </w:rPr>
            </w:pPr>
          </w:p>
        </w:tc>
      </w:tr>
      <w:tr w14:paraId="0DA731A3">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07F51DD0">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4772" w:type="dxa"/>
            <w:tcBorders>
              <w:tl2br w:val="nil"/>
              <w:tr2bl w:val="nil"/>
            </w:tcBorders>
            <w:tcMar>
              <w:left w:w="108" w:type="dxa"/>
              <w:right w:w="108" w:type="dxa"/>
            </w:tcMar>
            <w:vAlign w:val="center"/>
          </w:tcPr>
          <w:p w14:paraId="51333710">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职称级别</w:t>
            </w:r>
          </w:p>
        </w:tc>
        <w:tc>
          <w:tcPr>
            <w:tcW w:w="1510" w:type="dxa"/>
            <w:tcBorders>
              <w:tl2br w:val="nil"/>
              <w:tr2bl w:val="nil"/>
            </w:tcBorders>
            <w:tcMar>
              <w:left w:w="108" w:type="dxa"/>
              <w:right w:w="108" w:type="dxa"/>
            </w:tcMar>
            <w:vAlign w:val="center"/>
          </w:tcPr>
          <w:p w14:paraId="6B282A52">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32D0452D">
            <w:pPr>
              <w:widowControl/>
              <w:spacing w:after="0" w:line="240" w:lineRule="auto"/>
              <w:jc w:val="center"/>
              <w:rPr>
                <w:rFonts w:hint="eastAsia" w:ascii="宋体" w:hAnsi="宋体" w:cs="宋体"/>
                <w:color w:val="auto"/>
                <w:kern w:val="0"/>
                <w:szCs w:val="21"/>
                <w:highlight w:val="none"/>
                <w:lang w:bidi="ar"/>
              </w:rPr>
            </w:pPr>
          </w:p>
        </w:tc>
      </w:tr>
      <w:tr w14:paraId="27F33C74">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54FD134E">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w:t>
            </w:r>
          </w:p>
        </w:tc>
        <w:tc>
          <w:tcPr>
            <w:tcW w:w="4772" w:type="dxa"/>
            <w:tcBorders>
              <w:tl2br w:val="nil"/>
              <w:tr2bl w:val="nil"/>
            </w:tcBorders>
            <w:tcMar>
              <w:left w:w="108" w:type="dxa"/>
              <w:right w:w="108" w:type="dxa"/>
            </w:tcMar>
            <w:vAlign w:val="center"/>
          </w:tcPr>
          <w:p w14:paraId="0234C8B0">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职称专业</w:t>
            </w:r>
          </w:p>
        </w:tc>
        <w:tc>
          <w:tcPr>
            <w:tcW w:w="1510" w:type="dxa"/>
            <w:tcBorders>
              <w:tl2br w:val="nil"/>
              <w:tr2bl w:val="nil"/>
            </w:tcBorders>
            <w:tcMar>
              <w:left w:w="108" w:type="dxa"/>
              <w:right w:w="108" w:type="dxa"/>
            </w:tcMar>
            <w:vAlign w:val="center"/>
          </w:tcPr>
          <w:p w14:paraId="3EE6F34D">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15D8E932">
            <w:pPr>
              <w:widowControl/>
              <w:spacing w:after="0" w:line="240" w:lineRule="auto"/>
              <w:jc w:val="center"/>
              <w:rPr>
                <w:rFonts w:hint="eastAsia" w:ascii="宋体" w:hAnsi="宋体" w:cs="宋体"/>
                <w:color w:val="auto"/>
                <w:kern w:val="0"/>
                <w:szCs w:val="21"/>
                <w:highlight w:val="none"/>
                <w:lang w:bidi="ar"/>
              </w:rPr>
            </w:pPr>
          </w:p>
        </w:tc>
      </w:tr>
      <w:tr w14:paraId="57BC9B19">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5083C10F">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w:t>
            </w:r>
          </w:p>
        </w:tc>
        <w:tc>
          <w:tcPr>
            <w:tcW w:w="4772" w:type="dxa"/>
            <w:tcBorders>
              <w:tl2br w:val="nil"/>
              <w:tr2bl w:val="nil"/>
            </w:tcBorders>
            <w:tcMar>
              <w:left w:w="108" w:type="dxa"/>
              <w:right w:w="108" w:type="dxa"/>
            </w:tcMar>
            <w:vAlign w:val="center"/>
          </w:tcPr>
          <w:p w14:paraId="4EB4DFEC">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w:t>
            </w:r>
          </w:p>
        </w:tc>
        <w:tc>
          <w:tcPr>
            <w:tcW w:w="1510" w:type="dxa"/>
            <w:tcBorders>
              <w:tl2br w:val="nil"/>
              <w:tr2bl w:val="nil"/>
            </w:tcBorders>
            <w:tcMar>
              <w:left w:w="108" w:type="dxa"/>
              <w:right w:w="108" w:type="dxa"/>
            </w:tcMar>
            <w:vAlign w:val="center"/>
          </w:tcPr>
          <w:p w14:paraId="33372373">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237D1974">
            <w:pPr>
              <w:widowControl/>
              <w:spacing w:after="0" w:line="240" w:lineRule="auto"/>
              <w:jc w:val="center"/>
              <w:rPr>
                <w:rFonts w:hint="eastAsia" w:ascii="宋体" w:hAnsi="宋体" w:cs="宋体"/>
                <w:color w:val="auto"/>
                <w:kern w:val="0"/>
                <w:szCs w:val="21"/>
                <w:highlight w:val="none"/>
                <w:lang w:bidi="ar"/>
              </w:rPr>
            </w:pPr>
          </w:p>
        </w:tc>
      </w:tr>
      <w:tr w14:paraId="79F7DB35">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5F7014AD">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w:t>
            </w:r>
          </w:p>
        </w:tc>
        <w:tc>
          <w:tcPr>
            <w:tcW w:w="4772" w:type="dxa"/>
            <w:tcBorders>
              <w:tl2br w:val="nil"/>
              <w:tr2bl w:val="nil"/>
            </w:tcBorders>
            <w:tcMar>
              <w:left w:w="108" w:type="dxa"/>
              <w:right w:w="108" w:type="dxa"/>
            </w:tcMar>
            <w:vAlign w:val="center"/>
          </w:tcPr>
          <w:p w14:paraId="5BC7A3EF">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安全生产考核合格证书有效期</w:t>
            </w:r>
          </w:p>
        </w:tc>
        <w:tc>
          <w:tcPr>
            <w:tcW w:w="1510" w:type="dxa"/>
            <w:tcBorders>
              <w:tl2br w:val="nil"/>
              <w:tr2bl w:val="nil"/>
            </w:tcBorders>
            <w:tcMar>
              <w:left w:w="108" w:type="dxa"/>
              <w:right w:w="108" w:type="dxa"/>
            </w:tcMar>
            <w:vAlign w:val="center"/>
          </w:tcPr>
          <w:p w14:paraId="6B201CF4">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0149F8DA">
            <w:pPr>
              <w:widowControl/>
              <w:spacing w:after="0" w:line="240" w:lineRule="auto"/>
              <w:jc w:val="center"/>
              <w:rPr>
                <w:rFonts w:hint="eastAsia" w:ascii="宋体" w:hAnsi="宋体" w:cs="宋体"/>
                <w:color w:val="auto"/>
                <w:kern w:val="0"/>
                <w:szCs w:val="21"/>
                <w:highlight w:val="none"/>
                <w:lang w:bidi="ar"/>
              </w:rPr>
            </w:pPr>
          </w:p>
        </w:tc>
      </w:tr>
      <w:tr w14:paraId="0D3335E9">
        <w:tblPrEx>
          <w:tblBorders>
            <w:top w:val="outset" w:color="auto" w:sz="12" w:space="0"/>
            <w:left w:val="outset" w:color="auto" w:sz="12" w:space="0"/>
            <w:bottom w:val="outset" w:color="auto" w:sz="12" w:space="0"/>
            <w:right w:val="outset" w:color="auto" w:sz="12"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908" w:type="dxa"/>
            <w:tcBorders>
              <w:tl2br w:val="nil"/>
              <w:tr2bl w:val="nil"/>
            </w:tcBorders>
            <w:tcMar>
              <w:left w:w="108" w:type="dxa"/>
              <w:right w:w="108" w:type="dxa"/>
            </w:tcMar>
            <w:vAlign w:val="center"/>
          </w:tcPr>
          <w:p w14:paraId="6D6895FA">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4772" w:type="dxa"/>
            <w:tcBorders>
              <w:tl2br w:val="nil"/>
              <w:tr2bl w:val="nil"/>
            </w:tcBorders>
            <w:tcMar>
              <w:left w:w="108" w:type="dxa"/>
              <w:right w:w="108" w:type="dxa"/>
            </w:tcMar>
            <w:vAlign w:val="center"/>
          </w:tcPr>
          <w:p w14:paraId="07094AB2">
            <w:pPr>
              <w:widowControl/>
              <w:spacing w:after="0" w:line="240" w:lineRule="auto"/>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在建状态</w:t>
            </w:r>
          </w:p>
        </w:tc>
        <w:tc>
          <w:tcPr>
            <w:tcW w:w="1510" w:type="dxa"/>
            <w:tcBorders>
              <w:tl2br w:val="nil"/>
              <w:tr2bl w:val="nil"/>
            </w:tcBorders>
            <w:tcMar>
              <w:left w:w="108" w:type="dxa"/>
              <w:right w:w="108" w:type="dxa"/>
            </w:tcMar>
            <w:vAlign w:val="center"/>
          </w:tcPr>
          <w:p w14:paraId="749EDB29">
            <w:pPr>
              <w:widowControl/>
              <w:spacing w:after="0" w:line="240" w:lineRule="auto"/>
              <w:jc w:val="center"/>
              <w:rPr>
                <w:rFonts w:hint="eastAsia" w:ascii="宋体" w:hAnsi="宋体" w:cs="宋体"/>
                <w:color w:val="auto"/>
                <w:kern w:val="0"/>
                <w:szCs w:val="21"/>
                <w:highlight w:val="none"/>
                <w:lang w:bidi="ar"/>
              </w:rPr>
            </w:pPr>
          </w:p>
        </w:tc>
        <w:tc>
          <w:tcPr>
            <w:tcW w:w="1264" w:type="dxa"/>
            <w:tcBorders>
              <w:tl2br w:val="nil"/>
              <w:tr2bl w:val="nil"/>
            </w:tcBorders>
            <w:tcMar>
              <w:left w:w="108" w:type="dxa"/>
              <w:right w:w="108" w:type="dxa"/>
            </w:tcMar>
            <w:vAlign w:val="center"/>
          </w:tcPr>
          <w:p w14:paraId="5F4C2837">
            <w:pPr>
              <w:widowControl/>
              <w:spacing w:after="0" w:line="240" w:lineRule="auto"/>
              <w:jc w:val="center"/>
              <w:rPr>
                <w:rFonts w:hint="eastAsia" w:ascii="宋体" w:hAnsi="宋体" w:cs="宋体"/>
                <w:color w:val="auto"/>
                <w:kern w:val="0"/>
                <w:szCs w:val="21"/>
                <w:highlight w:val="none"/>
                <w:lang w:bidi="ar"/>
              </w:rPr>
            </w:pPr>
          </w:p>
        </w:tc>
      </w:tr>
    </w:tbl>
    <w:p w14:paraId="1F7D4727">
      <w:pPr>
        <w:spacing w:after="0" w:line="500" w:lineRule="exact"/>
        <w:ind w:firstLine="480" w:firstLineChars="200"/>
        <w:rPr>
          <w:rFonts w:hint="eastAsia" w:ascii="宋体" w:hAnsi="宋体" w:cs="宋体"/>
          <w:color w:val="auto"/>
          <w:sz w:val="24"/>
          <w:highlight w:val="none"/>
        </w:rPr>
      </w:pPr>
      <w:bookmarkStart w:id="1208" w:name="_Hlk210294567"/>
      <w:r>
        <w:rPr>
          <w:rFonts w:hint="eastAsia" w:ascii="宋体" w:hAnsi="宋体" w:cs="宋体"/>
          <w:color w:val="auto"/>
          <w:sz w:val="24"/>
          <w:highlight w:val="none"/>
        </w:rPr>
        <w:t>注：1、</w:t>
      </w:r>
      <w:r>
        <w:rPr>
          <w:rFonts w:hint="eastAsia" w:ascii="宋体" w:hAnsi="宋体" w:cs="宋体"/>
          <w:snapToGrid w:val="0"/>
          <w:color w:val="auto"/>
          <w:kern w:val="0"/>
          <w:sz w:val="24"/>
          <w:highlight w:val="none"/>
        </w:rPr>
        <w:t>附拟任</w:t>
      </w:r>
      <w:r>
        <w:rPr>
          <w:color w:val="auto"/>
          <w:sz w:val="24"/>
          <w:highlight w:val="none"/>
        </w:rPr>
        <w:t>项目经理的建造师注册证书、项目负责人安全生产考核合格证书、</w:t>
      </w:r>
      <w:r>
        <w:rPr>
          <w:rFonts w:hint="eastAsia"/>
          <w:color w:val="auto"/>
          <w:sz w:val="24"/>
          <w:highlight w:val="none"/>
        </w:rPr>
        <w:t>职称证、</w:t>
      </w:r>
      <w:r>
        <w:rPr>
          <w:color w:val="auto"/>
          <w:sz w:val="24"/>
          <w:highlight w:val="none"/>
        </w:rPr>
        <w:t>身份证</w:t>
      </w:r>
      <w:r>
        <w:rPr>
          <w:rFonts w:hint="eastAsia"/>
          <w:color w:val="auto"/>
          <w:sz w:val="24"/>
          <w:highlight w:val="none"/>
        </w:rPr>
        <w:t>等的</w:t>
      </w:r>
      <w:r>
        <w:rPr>
          <w:color w:val="auto"/>
          <w:sz w:val="24"/>
          <w:highlight w:val="none"/>
        </w:rPr>
        <w:t>复印件。</w:t>
      </w:r>
    </w:p>
    <w:bookmarkEnd w:id="1208"/>
    <w:p w14:paraId="5247848B">
      <w:pPr>
        <w:jc w:val="center"/>
        <w:rPr>
          <w:rFonts w:eastAsia="黑体"/>
          <w:color w:val="auto"/>
          <w:kern w:val="0"/>
          <w:sz w:val="28"/>
          <w:highlight w:val="none"/>
        </w:rPr>
      </w:pPr>
      <w:r>
        <w:rPr>
          <w:rFonts w:hint="eastAsia" w:ascii="宋体" w:hAnsi="宋体" w:cs="宋体"/>
          <w:color w:val="auto"/>
          <w:highlight w:val="none"/>
        </w:rPr>
        <w:br w:type="page"/>
      </w:r>
      <w:r>
        <w:rPr>
          <w:rFonts w:hint="eastAsia" w:ascii="仿宋" w:hAnsi="仿宋" w:eastAsia="仿宋" w:cs="仿宋"/>
          <w:color w:val="auto"/>
          <w:kern w:val="0"/>
          <w:sz w:val="28"/>
          <w:highlight w:val="none"/>
        </w:rPr>
        <w:t>6-3-2</w:t>
      </w:r>
      <w:r>
        <w:rPr>
          <w:rFonts w:hint="eastAsia" w:eastAsia="黑体"/>
          <w:color w:val="auto"/>
          <w:kern w:val="0"/>
          <w:sz w:val="28"/>
          <w:highlight w:val="none"/>
        </w:rPr>
        <w:t>项目经理在建情况及到岗履职承诺书</w:t>
      </w:r>
    </w:p>
    <w:p w14:paraId="2070D0F8">
      <w:pPr>
        <w:jc w:val="center"/>
        <w:rPr>
          <w:color w:val="auto"/>
          <w:highlight w:val="none"/>
        </w:rPr>
      </w:pPr>
    </w:p>
    <w:p w14:paraId="77E6E09E">
      <w:pPr>
        <w:spacing w:after="0" w:line="5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（招标人）</w:t>
      </w:r>
      <w:r>
        <w:rPr>
          <w:rFonts w:hint="eastAsia" w:ascii="宋体" w:hAnsi="宋体" w:cs="宋体"/>
          <w:color w:val="auto"/>
          <w:sz w:val="24"/>
          <w:highlight w:val="none"/>
        </w:rPr>
        <w:t>：</w:t>
      </w:r>
    </w:p>
    <w:p w14:paraId="1BA75EFE">
      <w:pPr>
        <w:spacing w:after="0"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我</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(公司名称)</w:t>
      </w:r>
      <w:r>
        <w:rPr>
          <w:rFonts w:hint="eastAsia" w:ascii="宋体" w:hAnsi="宋体" w:cs="宋体"/>
          <w:color w:val="auto"/>
          <w:sz w:val="24"/>
          <w:highlight w:val="none"/>
        </w:rPr>
        <w:t>的法定代表人，现拟派项目经理</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；项目经理证号: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担任</w:t>
      </w:r>
      <w:r>
        <w:rPr>
          <w:rFonts w:hint="eastAsia" w:ascii="宋体" w:hAnsi="宋体" w:cs="宋体"/>
          <w:color w:val="auto"/>
          <w:sz w:val="24"/>
          <w:highlight w:val="none"/>
          <w:u w:val="single"/>
        </w:rPr>
        <w:t xml:space="preserve">              （招标项目名称）</w:t>
      </w:r>
      <w:r>
        <w:rPr>
          <w:rFonts w:hint="eastAsia" w:ascii="宋体" w:hAnsi="宋体" w:cs="宋体"/>
          <w:color w:val="auto"/>
          <w:sz w:val="24"/>
          <w:highlight w:val="none"/>
        </w:rPr>
        <w:t>的项目经理，现就该项目经理在建情况及到岗履职承诺如下：</w:t>
      </w:r>
    </w:p>
    <w:p w14:paraId="24305D1B">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我司承诺：</w:t>
      </w:r>
    </w:p>
    <w:p w14:paraId="71E0AF72">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拟任项目经理投标截止时未在其他任何项目上任关键岗位人员，项目经理能按时到岗履职，如不能按时到岗履职或经查实未如实说明任关键岗位人员情况，我方自愿接受处罚，并自愿接受招标人作出的取消我公司中标候选人或中标人资格的决定。</w:t>
      </w:r>
    </w:p>
    <w:p w14:paraId="2F892D34">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拟任项目经理在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项目上任关键岗位人员，任职岗位为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本招标项目中标候选人公示中明确的公示期满之前，项目经理保证从该项目上撤离并按时到岗履职，如不能按时到岗履职或者不能从该项目上按期撤离，我方自愿接受处罚，并自愿接受招标人作出的取消我公司中标候选人或中标人资格的决定。</w:t>
      </w:r>
    </w:p>
    <w:p w14:paraId="49AD797C">
      <w:pPr>
        <w:spacing w:after="0" w:line="500" w:lineRule="exact"/>
        <w:ind w:firstLine="420"/>
        <w:rPr>
          <w:rFonts w:hint="eastAsia" w:ascii="宋体" w:hAnsi="宋体" w:cs="宋体"/>
          <w:color w:val="auto"/>
          <w:sz w:val="24"/>
          <w:highlight w:val="none"/>
        </w:rPr>
      </w:pPr>
      <w:r>
        <w:rPr>
          <w:rFonts w:hint="eastAsia" w:ascii="宋体" w:hAnsi="宋体" w:cs="宋体"/>
          <w:color w:val="auto"/>
          <w:sz w:val="24"/>
          <w:highlight w:val="none"/>
        </w:rPr>
        <w:t xml:space="preserve">特此承诺。 </w:t>
      </w:r>
    </w:p>
    <w:p w14:paraId="35373A82">
      <w:pPr>
        <w:spacing w:line="360" w:lineRule="auto"/>
        <w:ind w:firstLine="420"/>
        <w:jc w:val="left"/>
        <w:rPr>
          <w:rFonts w:hint="eastAsia" w:ascii="宋体" w:hAnsi="宋体" w:cs="宋体"/>
          <w:color w:val="auto"/>
          <w:szCs w:val="21"/>
          <w:highlight w:val="none"/>
        </w:rPr>
      </w:pPr>
    </w:p>
    <w:p w14:paraId="7408741D">
      <w:pPr>
        <w:spacing w:line="360" w:lineRule="auto"/>
        <w:ind w:firstLine="420"/>
        <w:jc w:val="left"/>
        <w:rPr>
          <w:rFonts w:hint="eastAsia" w:ascii="宋体" w:hAnsi="宋体" w:cs="宋体"/>
          <w:color w:val="auto"/>
          <w:szCs w:val="21"/>
          <w:highlight w:val="none"/>
        </w:rPr>
      </w:pPr>
    </w:p>
    <w:p w14:paraId="11CE350F">
      <w:pPr>
        <w:spacing w:line="360" w:lineRule="auto"/>
        <w:ind w:firstLine="420"/>
        <w:jc w:val="left"/>
        <w:rPr>
          <w:rFonts w:hint="eastAsia" w:ascii="宋体" w:hAnsi="宋体" w:cs="宋体"/>
          <w:color w:val="auto"/>
          <w:szCs w:val="21"/>
          <w:highlight w:val="none"/>
        </w:rPr>
      </w:pPr>
    </w:p>
    <w:p w14:paraId="50A8F171">
      <w:pPr>
        <w:spacing w:line="500" w:lineRule="exact"/>
        <w:ind w:firstLine="560" w:firstLineChars="200"/>
        <w:rPr>
          <w:color w:val="auto"/>
          <w:sz w:val="28"/>
          <w:szCs w:val="28"/>
          <w:highlight w:val="none"/>
        </w:rPr>
      </w:pPr>
    </w:p>
    <w:p w14:paraId="32401119">
      <w:pPr>
        <w:snapToGrid w:val="0"/>
        <w:spacing w:line="360" w:lineRule="auto"/>
        <w:jc w:val="center"/>
        <w:rPr>
          <w:rFonts w:hint="eastAsia" w:ascii="黑体" w:hAnsi="黑体" w:eastAsia="黑体" w:cs="黑体"/>
          <w:color w:val="auto"/>
          <w:sz w:val="28"/>
          <w:szCs w:val="28"/>
          <w:highlight w:val="none"/>
        </w:rPr>
      </w:pPr>
      <w:r>
        <w:rPr>
          <w:color w:val="auto"/>
          <w:highlight w:val="none"/>
        </w:rPr>
        <w:br w:type="page"/>
      </w:r>
      <w:bookmarkStart w:id="1209" w:name="_Hlk210329001"/>
      <w:r>
        <w:rPr>
          <w:rFonts w:hint="eastAsia" w:ascii="黑体" w:hAnsi="黑体" w:eastAsia="黑体" w:cs="黑体"/>
          <w:color w:val="auto"/>
          <w:sz w:val="28"/>
          <w:szCs w:val="28"/>
          <w:highlight w:val="none"/>
        </w:rPr>
        <w:t>6-4信用情况</w:t>
      </w:r>
      <w:bookmarkStart w:id="1210" w:name="_Hlk210294651"/>
      <w:r>
        <w:rPr>
          <w:rFonts w:hint="eastAsia" w:ascii="黑体" w:hAnsi="黑体" w:eastAsia="黑体" w:cs="黑体"/>
          <w:color w:val="auto"/>
          <w:sz w:val="28"/>
          <w:szCs w:val="28"/>
          <w:highlight w:val="none"/>
        </w:rPr>
        <w:t>（适用于全省统一的招标投标信用评价体系建立前）</w:t>
      </w:r>
      <w:bookmarkEnd w:id="1210"/>
    </w:p>
    <w:tbl>
      <w:tblPr>
        <w:tblStyle w:val="4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1506"/>
        <w:gridCol w:w="1506"/>
        <w:gridCol w:w="1506"/>
        <w:gridCol w:w="1506"/>
        <w:gridCol w:w="1506"/>
      </w:tblGrid>
      <w:tr w14:paraId="6C987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05" w:type="dxa"/>
            <w:vMerge w:val="restart"/>
            <w:tcBorders>
              <w:tl2br w:val="nil"/>
              <w:tr2bl w:val="nil"/>
            </w:tcBorders>
            <w:vAlign w:val="center"/>
          </w:tcPr>
          <w:p w14:paraId="5110D028">
            <w:pPr>
              <w:snapToGrid w:val="0"/>
              <w:spacing w:after="0" w:line="240" w:lineRule="auto"/>
              <w:jc w:val="center"/>
              <w:rPr>
                <w:b/>
                <w:bCs/>
                <w:color w:val="auto"/>
                <w:kern w:val="0"/>
                <w:szCs w:val="21"/>
                <w:highlight w:val="none"/>
              </w:rPr>
            </w:pPr>
            <w:r>
              <w:rPr>
                <w:rFonts w:hint="eastAsia"/>
                <w:b/>
                <w:bCs/>
                <w:color w:val="auto"/>
                <w:kern w:val="0"/>
                <w:szCs w:val="21"/>
                <w:highlight w:val="none"/>
              </w:rPr>
              <w:t>信用加分</w:t>
            </w:r>
          </w:p>
        </w:tc>
        <w:tc>
          <w:tcPr>
            <w:tcW w:w="1506" w:type="dxa"/>
            <w:tcBorders>
              <w:tl2br w:val="nil"/>
              <w:tr2bl w:val="nil"/>
            </w:tcBorders>
            <w:vAlign w:val="center"/>
          </w:tcPr>
          <w:p w14:paraId="12A83125">
            <w:pPr>
              <w:snapToGrid w:val="0"/>
              <w:spacing w:after="0" w:line="240" w:lineRule="auto"/>
              <w:jc w:val="center"/>
              <w:rPr>
                <w:b/>
                <w:bCs/>
                <w:color w:val="auto"/>
                <w:kern w:val="0"/>
                <w:szCs w:val="21"/>
                <w:highlight w:val="none"/>
              </w:rPr>
            </w:pPr>
            <w:r>
              <w:rPr>
                <w:rFonts w:hint="eastAsia"/>
                <w:b/>
                <w:bCs/>
                <w:color w:val="auto"/>
                <w:kern w:val="0"/>
                <w:szCs w:val="21"/>
                <w:highlight w:val="none"/>
              </w:rPr>
              <w:t>信用评价年度</w:t>
            </w:r>
          </w:p>
        </w:tc>
        <w:tc>
          <w:tcPr>
            <w:tcW w:w="1506" w:type="dxa"/>
            <w:tcBorders>
              <w:tl2br w:val="nil"/>
              <w:tr2bl w:val="nil"/>
            </w:tcBorders>
            <w:vAlign w:val="center"/>
          </w:tcPr>
          <w:p w14:paraId="03054592">
            <w:pPr>
              <w:snapToGrid w:val="0"/>
              <w:spacing w:after="0" w:line="240" w:lineRule="auto"/>
              <w:jc w:val="center"/>
              <w:rPr>
                <w:b/>
                <w:bCs/>
                <w:color w:val="auto"/>
                <w:kern w:val="0"/>
                <w:szCs w:val="21"/>
                <w:highlight w:val="none"/>
              </w:rPr>
            </w:pPr>
            <w:r>
              <w:rPr>
                <w:rFonts w:hint="eastAsia"/>
                <w:b/>
                <w:bCs/>
                <w:color w:val="auto"/>
                <w:kern w:val="0"/>
                <w:szCs w:val="21"/>
                <w:highlight w:val="none"/>
              </w:rPr>
              <w:t>区域</w:t>
            </w:r>
          </w:p>
        </w:tc>
        <w:tc>
          <w:tcPr>
            <w:tcW w:w="1506" w:type="dxa"/>
            <w:tcBorders>
              <w:tl2br w:val="nil"/>
              <w:tr2bl w:val="nil"/>
            </w:tcBorders>
            <w:vAlign w:val="center"/>
          </w:tcPr>
          <w:p w14:paraId="43879A7B">
            <w:pPr>
              <w:snapToGrid w:val="0"/>
              <w:spacing w:after="0" w:line="240" w:lineRule="auto"/>
              <w:jc w:val="center"/>
              <w:rPr>
                <w:b/>
                <w:bCs/>
                <w:color w:val="auto"/>
                <w:kern w:val="0"/>
                <w:szCs w:val="21"/>
                <w:highlight w:val="none"/>
              </w:rPr>
            </w:pPr>
            <w:r>
              <w:rPr>
                <w:rFonts w:hint="eastAsia"/>
                <w:b/>
                <w:bCs/>
                <w:color w:val="auto"/>
                <w:kern w:val="0"/>
                <w:szCs w:val="21"/>
                <w:highlight w:val="none"/>
              </w:rPr>
              <w:t>行业</w:t>
            </w:r>
          </w:p>
        </w:tc>
        <w:tc>
          <w:tcPr>
            <w:tcW w:w="1506" w:type="dxa"/>
            <w:tcBorders>
              <w:tl2br w:val="nil"/>
              <w:tr2bl w:val="nil"/>
            </w:tcBorders>
            <w:vAlign w:val="center"/>
          </w:tcPr>
          <w:p w14:paraId="2159FDAB">
            <w:pPr>
              <w:snapToGrid w:val="0"/>
              <w:spacing w:after="0" w:line="240" w:lineRule="auto"/>
              <w:jc w:val="center"/>
              <w:rPr>
                <w:b/>
                <w:bCs/>
                <w:color w:val="auto"/>
                <w:kern w:val="0"/>
                <w:szCs w:val="21"/>
                <w:highlight w:val="none"/>
              </w:rPr>
            </w:pPr>
            <w:r>
              <w:rPr>
                <w:rFonts w:hint="eastAsia"/>
                <w:b/>
                <w:bCs/>
                <w:color w:val="auto"/>
                <w:kern w:val="0"/>
                <w:szCs w:val="21"/>
                <w:highlight w:val="none"/>
              </w:rPr>
              <w:t>信用等级</w:t>
            </w:r>
          </w:p>
        </w:tc>
        <w:tc>
          <w:tcPr>
            <w:tcW w:w="1506" w:type="dxa"/>
            <w:tcBorders>
              <w:tl2br w:val="nil"/>
              <w:tr2bl w:val="nil"/>
            </w:tcBorders>
            <w:vAlign w:val="center"/>
          </w:tcPr>
          <w:p w14:paraId="0857A2AB">
            <w:pPr>
              <w:snapToGrid w:val="0"/>
              <w:spacing w:after="0" w:line="240" w:lineRule="auto"/>
              <w:jc w:val="center"/>
              <w:rPr>
                <w:b/>
                <w:bCs/>
                <w:color w:val="auto"/>
                <w:kern w:val="0"/>
                <w:szCs w:val="21"/>
                <w:highlight w:val="none"/>
              </w:rPr>
            </w:pPr>
            <w:r>
              <w:rPr>
                <w:rFonts w:hint="eastAsia"/>
                <w:b/>
                <w:bCs/>
                <w:color w:val="auto"/>
                <w:kern w:val="0"/>
                <w:szCs w:val="21"/>
                <w:highlight w:val="none"/>
              </w:rPr>
              <w:t>信用评价得分</w:t>
            </w:r>
          </w:p>
        </w:tc>
      </w:tr>
      <w:tr w14:paraId="6280C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05" w:type="dxa"/>
            <w:vMerge w:val="continue"/>
            <w:tcBorders>
              <w:tl2br w:val="nil"/>
              <w:tr2bl w:val="nil"/>
            </w:tcBorders>
            <w:vAlign w:val="center"/>
          </w:tcPr>
          <w:p w14:paraId="3310F47A">
            <w:pPr>
              <w:snapToGrid w:val="0"/>
              <w:spacing w:after="0" w:line="240" w:lineRule="auto"/>
              <w:jc w:val="center"/>
              <w:rPr>
                <w:b/>
                <w:bCs/>
                <w:color w:val="auto"/>
                <w:kern w:val="0"/>
                <w:szCs w:val="21"/>
                <w:highlight w:val="none"/>
              </w:rPr>
            </w:pPr>
          </w:p>
        </w:tc>
        <w:tc>
          <w:tcPr>
            <w:tcW w:w="1506" w:type="dxa"/>
            <w:tcBorders>
              <w:tl2br w:val="nil"/>
              <w:tr2bl w:val="nil"/>
            </w:tcBorders>
            <w:vAlign w:val="center"/>
          </w:tcPr>
          <w:p w14:paraId="45CE4014">
            <w:pPr>
              <w:snapToGrid w:val="0"/>
              <w:spacing w:after="0" w:line="240" w:lineRule="auto"/>
              <w:jc w:val="center"/>
              <w:rPr>
                <w:b/>
                <w:bCs/>
                <w:color w:val="auto"/>
                <w:kern w:val="0"/>
                <w:szCs w:val="21"/>
                <w:highlight w:val="none"/>
              </w:rPr>
            </w:pPr>
          </w:p>
        </w:tc>
        <w:tc>
          <w:tcPr>
            <w:tcW w:w="1506" w:type="dxa"/>
            <w:tcBorders>
              <w:tl2br w:val="nil"/>
              <w:tr2bl w:val="nil"/>
            </w:tcBorders>
            <w:vAlign w:val="center"/>
          </w:tcPr>
          <w:p w14:paraId="78C052B1">
            <w:pPr>
              <w:snapToGrid w:val="0"/>
              <w:spacing w:after="0" w:line="240" w:lineRule="auto"/>
              <w:jc w:val="center"/>
              <w:rPr>
                <w:b/>
                <w:bCs/>
                <w:color w:val="auto"/>
                <w:kern w:val="0"/>
                <w:szCs w:val="21"/>
                <w:highlight w:val="none"/>
              </w:rPr>
            </w:pPr>
          </w:p>
        </w:tc>
        <w:tc>
          <w:tcPr>
            <w:tcW w:w="1506" w:type="dxa"/>
            <w:tcBorders>
              <w:tl2br w:val="nil"/>
              <w:tr2bl w:val="nil"/>
            </w:tcBorders>
            <w:vAlign w:val="center"/>
          </w:tcPr>
          <w:p w14:paraId="6767E283">
            <w:pPr>
              <w:snapToGrid w:val="0"/>
              <w:spacing w:after="0" w:line="240" w:lineRule="auto"/>
              <w:jc w:val="center"/>
              <w:rPr>
                <w:b/>
                <w:bCs/>
                <w:color w:val="auto"/>
                <w:kern w:val="0"/>
                <w:szCs w:val="21"/>
                <w:highlight w:val="none"/>
              </w:rPr>
            </w:pPr>
          </w:p>
        </w:tc>
        <w:tc>
          <w:tcPr>
            <w:tcW w:w="1506" w:type="dxa"/>
            <w:tcBorders>
              <w:tl2br w:val="nil"/>
              <w:tr2bl w:val="nil"/>
            </w:tcBorders>
            <w:vAlign w:val="center"/>
          </w:tcPr>
          <w:p w14:paraId="63C86AC1">
            <w:pPr>
              <w:snapToGrid w:val="0"/>
              <w:spacing w:after="0" w:line="240" w:lineRule="auto"/>
              <w:jc w:val="center"/>
              <w:rPr>
                <w:b/>
                <w:bCs/>
                <w:color w:val="auto"/>
                <w:kern w:val="0"/>
                <w:szCs w:val="21"/>
                <w:highlight w:val="none"/>
              </w:rPr>
            </w:pPr>
          </w:p>
        </w:tc>
        <w:tc>
          <w:tcPr>
            <w:tcW w:w="1506" w:type="dxa"/>
            <w:tcBorders>
              <w:tl2br w:val="nil"/>
              <w:tr2bl w:val="nil"/>
            </w:tcBorders>
            <w:vAlign w:val="center"/>
          </w:tcPr>
          <w:p w14:paraId="57D165C1">
            <w:pPr>
              <w:snapToGrid w:val="0"/>
              <w:spacing w:after="0" w:line="240" w:lineRule="auto"/>
              <w:jc w:val="center"/>
              <w:rPr>
                <w:b/>
                <w:bCs/>
                <w:color w:val="auto"/>
                <w:kern w:val="0"/>
                <w:szCs w:val="21"/>
                <w:highlight w:val="none"/>
              </w:rPr>
            </w:pPr>
          </w:p>
        </w:tc>
      </w:tr>
    </w:tbl>
    <w:p w14:paraId="07B1CC8E">
      <w:pPr>
        <w:snapToGrid w:val="0"/>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投标人在“湖南省数字城建档案馆|智慧住建云”有公布信息的，填写“湖南省数字城建档案馆|智慧住建云上”最新公布的信用评价总分（附“湖南省数字城建档案馆|智慧住建云”上查询的信用评价结果详细信息网页截图）；无信用评价结果的，在信用评价得分栏填写“无信用评价总分”；省外企业在“湖南省数字城建档案馆|智慧住建云”无信用评价查询结果的，可以提供企业注册地省级住房和城乡建设部门公布的信用评价结果（非百分制的按照《导则》规定的原则，按照百分制自行折算后填写</w:t>
      </w:r>
      <w:r>
        <w:rPr>
          <w:rFonts w:hint="eastAsia" w:ascii="宋体" w:hAnsi="宋体" w:cs="宋体"/>
          <w:color w:val="auto"/>
          <w:sz w:val="24"/>
          <w:highlight w:val="none"/>
          <w:lang w:eastAsia="zh-CN"/>
        </w:rPr>
        <w:t>；虽为百分制但不是 100分封顶的，要按照该企业得分与</w:t>
      </w:r>
      <w:r>
        <w:rPr>
          <w:rFonts w:hint="eastAsia" w:ascii="宋体" w:hAnsi="宋体" w:cs="宋体"/>
          <w:color w:val="auto"/>
          <w:sz w:val="24"/>
          <w:highlight w:val="none"/>
          <w:lang w:val="en-US" w:eastAsia="zh-CN"/>
        </w:rPr>
        <w:t>当</w:t>
      </w:r>
      <w:r>
        <w:rPr>
          <w:rFonts w:hint="eastAsia" w:ascii="宋体" w:hAnsi="宋体" w:cs="宋体"/>
          <w:color w:val="auto"/>
          <w:sz w:val="24"/>
          <w:highlight w:val="none"/>
          <w:lang w:eastAsia="zh-CN"/>
        </w:rPr>
        <w:t>年该省</w:t>
      </w:r>
      <w:r>
        <w:rPr>
          <w:rFonts w:hint="eastAsia" w:ascii="宋体" w:hAnsi="宋体" w:cs="宋体"/>
          <w:color w:val="auto"/>
          <w:sz w:val="24"/>
          <w:highlight w:val="none"/>
          <w:lang w:val="en-US" w:eastAsia="zh-CN"/>
        </w:rPr>
        <w:t>同期</w:t>
      </w:r>
      <w:r>
        <w:rPr>
          <w:rFonts w:hint="eastAsia" w:ascii="宋体" w:hAnsi="宋体" w:cs="宋体"/>
          <w:color w:val="auto"/>
          <w:sz w:val="24"/>
          <w:highlight w:val="none"/>
          <w:lang w:eastAsia="zh-CN"/>
        </w:rPr>
        <w:t>施工企业最高信用评价分自行折算后填写。</w:t>
      </w:r>
      <w:r>
        <w:rPr>
          <w:rFonts w:hint="eastAsia" w:ascii="宋体" w:hAnsi="宋体" w:cs="宋体"/>
          <w:color w:val="auto"/>
          <w:sz w:val="24"/>
          <w:highlight w:val="none"/>
        </w:rPr>
        <w:t>附企业注册地省级住房和城乡建设部门公布的相关佐证材料、对应的信用评价规则和依据的复印件）。</w:t>
      </w:r>
    </w:p>
    <w:p w14:paraId="2D533C7C">
      <w:pPr>
        <w:snapToGrid w:val="0"/>
        <w:spacing w:after="0" w:line="500" w:lineRule="exact"/>
        <w:ind w:firstLine="420" w:firstLineChars="200"/>
        <w:rPr>
          <w:rFonts w:hint="eastAsia" w:ascii="宋体" w:hAnsi="宋体" w:cs="宋体"/>
          <w:color w:val="auto"/>
          <w:szCs w:val="21"/>
          <w:highlight w:val="none"/>
        </w:rPr>
      </w:pPr>
    </w:p>
    <w:p w14:paraId="0398C88A">
      <w:pPr>
        <w:snapToGrid w:val="0"/>
        <w:spacing w:after="0" w:line="500" w:lineRule="exact"/>
        <w:ind w:firstLine="420" w:firstLineChars="200"/>
        <w:rPr>
          <w:rFonts w:hint="eastAsia" w:ascii="宋体" w:hAnsi="宋体" w:cs="宋体"/>
          <w:color w:val="auto"/>
          <w:szCs w:val="21"/>
          <w:highlight w:val="none"/>
        </w:rPr>
      </w:pP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090"/>
        <w:gridCol w:w="1142"/>
        <w:gridCol w:w="1142"/>
        <w:gridCol w:w="1142"/>
        <w:gridCol w:w="1142"/>
        <w:gridCol w:w="1142"/>
        <w:gridCol w:w="1143"/>
      </w:tblGrid>
      <w:tr w14:paraId="272A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90" w:type="dxa"/>
            <w:vMerge w:val="restart"/>
            <w:tcBorders>
              <w:tl2br w:val="nil"/>
              <w:tr2bl w:val="nil"/>
            </w:tcBorders>
            <w:vAlign w:val="center"/>
          </w:tcPr>
          <w:p w14:paraId="1E21C803">
            <w:pPr>
              <w:snapToGrid w:val="0"/>
              <w:spacing w:after="0"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信用扣分</w:t>
            </w:r>
          </w:p>
        </w:tc>
        <w:tc>
          <w:tcPr>
            <w:tcW w:w="1090" w:type="dxa"/>
            <w:tcBorders>
              <w:tl2br w:val="nil"/>
              <w:tr2bl w:val="nil"/>
            </w:tcBorders>
            <w:vAlign w:val="center"/>
          </w:tcPr>
          <w:p w14:paraId="1483D31E">
            <w:pPr>
              <w:snapToGrid w:val="0"/>
              <w:spacing w:after="0"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42" w:type="dxa"/>
            <w:tcBorders>
              <w:tl2br w:val="nil"/>
              <w:tr2bl w:val="nil"/>
            </w:tcBorders>
            <w:vAlign w:val="center"/>
          </w:tcPr>
          <w:p w14:paraId="6E28CE0D">
            <w:pPr>
              <w:snapToGrid w:val="0"/>
              <w:spacing w:after="0"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行政处罚事项</w:t>
            </w:r>
          </w:p>
        </w:tc>
        <w:tc>
          <w:tcPr>
            <w:tcW w:w="1142" w:type="dxa"/>
            <w:tcBorders>
              <w:tl2br w:val="nil"/>
              <w:tr2bl w:val="nil"/>
            </w:tcBorders>
            <w:vAlign w:val="center"/>
          </w:tcPr>
          <w:p w14:paraId="62AE3FEC">
            <w:pPr>
              <w:snapToGrid w:val="0"/>
              <w:spacing w:after="0"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处罚机关</w:t>
            </w:r>
          </w:p>
        </w:tc>
        <w:tc>
          <w:tcPr>
            <w:tcW w:w="1142" w:type="dxa"/>
            <w:tcBorders>
              <w:tl2br w:val="nil"/>
              <w:tr2bl w:val="nil"/>
            </w:tcBorders>
            <w:vAlign w:val="center"/>
          </w:tcPr>
          <w:p w14:paraId="4A8926DF">
            <w:pPr>
              <w:snapToGrid w:val="0"/>
              <w:spacing w:after="0"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处罚开始日期</w:t>
            </w:r>
          </w:p>
        </w:tc>
        <w:tc>
          <w:tcPr>
            <w:tcW w:w="1142" w:type="dxa"/>
            <w:tcBorders>
              <w:tl2br w:val="nil"/>
              <w:tr2bl w:val="nil"/>
            </w:tcBorders>
            <w:vAlign w:val="center"/>
          </w:tcPr>
          <w:p w14:paraId="666AE427">
            <w:pPr>
              <w:snapToGrid w:val="0"/>
              <w:spacing w:after="0"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处罚截止日期</w:t>
            </w:r>
          </w:p>
        </w:tc>
        <w:tc>
          <w:tcPr>
            <w:tcW w:w="1142" w:type="dxa"/>
            <w:tcBorders>
              <w:tl2br w:val="nil"/>
              <w:tr2bl w:val="nil"/>
            </w:tcBorders>
            <w:vAlign w:val="center"/>
          </w:tcPr>
          <w:p w14:paraId="74D354F6">
            <w:pPr>
              <w:snapToGrid w:val="0"/>
              <w:spacing w:after="0"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罚款金额</w:t>
            </w:r>
          </w:p>
        </w:tc>
        <w:tc>
          <w:tcPr>
            <w:tcW w:w="1143" w:type="dxa"/>
            <w:tcBorders>
              <w:tl2br w:val="nil"/>
              <w:tr2bl w:val="nil"/>
            </w:tcBorders>
            <w:vAlign w:val="center"/>
          </w:tcPr>
          <w:p w14:paraId="7631507F">
            <w:pPr>
              <w:snapToGrid w:val="0"/>
              <w:spacing w:after="0" w:line="24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投标单位</w:t>
            </w:r>
          </w:p>
        </w:tc>
      </w:tr>
      <w:tr w14:paraId="59BF0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090" w:type="dxa"/>
            <w:vMerge w:val="continue"/>
            <w:tcBorders>
              <w:tl2br w:val="nil"/>
              <w:tr2bl w:val="nil"/>
            </w:tcBorders>
            <w:vAlign w:val="center"/>
          </w:tcPr>
          <w:p w14:paraId="48B138CE">
            <w:pPr>
              <w:snapToGrid w:val="0"/>
              <w:spacing w:after="0" w:line="500" w:lineRule="exact"/>
              <w:jc w:val="center"/>
              <w:rPr>
                <w:rFonts w:hint="eastAsia" w:ascii="宋体" w:hAnsi="宋体" w:cs="宋体"/>
                <w:b/>
                <w:bCs/>
                <w:color w:val="auto"/>
                <w:kern w:val="0"/>
                <w:szCs w:val="21"/>
                <w:highlight w:val="none"/>
              </w:rPr>
            </w:pPr>
          </w:p>
        </w:tc>
        <w:tc>
          <w:tcPr>
            <w:tcW w:w="1090" w:type="dxa"/>
            <w:tcBorders>
              <w:tl2br w:val="nil"/>
              <w:tr2bl w:val="nil"/>
            </w:tcBorders>
            <w:vAlign w:val="center"/>
          </w:tcPr>
          <w:p w14:paraId="74A7FB89">
            <w:pPr>
              <w:snapToGrid w:val="0"/>
              <w:spacing w:after="0"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6996B9CF">
            <w:pPr>
              <w:snapToGrid w:val="0"/>
              <w:spacing w:after="0"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2E05256E">
            <w:pPr>
              <w:snapToGrid w:val="0"/>
              <w:spacing w:after="0"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03FFD518">
            <w:pPr>
              <w:snapToGrid w:val="0"/>
              <w:spacing w:after="0"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46C51C52">
            <w:pPr>
              <w:snapToGrid w:val="0"/>
              <w:spacing w:after="0"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14E6AC38">
            <w:pPr>
              <w:snapToGrid w:val="0"/>
              <w:spacing w:after="0" w:line="500" w:lineRule="exact"/>
              <w:jc w:val="center"/>
              <w:rPr>
                <w:rFonts w:hint="eastAsia" w:ascii="宋体" w:hAnsi="宋体" w:cs="宋体"/>
                <w:b/>
                <w:bCs/>
                <w:color w:val="auto"/>
                <w:kern w:val="0"/>
                <w:szCs w:val="21"/>
                <w:highlight w:val="none"/>
              </w:rPr>
            </w:pPr>
          </w:p>
        </w:tc>
        <w:tc>
          <w:tcPr>
            <w:tcW w:w="1143" w:type="dxa"/>
            <w:tcBorders>
              <w:tl2br w:val="nil"/>
              <w:tr2bl w:val="nil"/>
            </w:tcBorders>
            <w:vAlign w:val="center"/>
          </w:tcPr>
          <w:p w14:paraId="2E51978D">
            <w:pPr>
              <w:snapToGrid w:val="0"/>
              <w:spacing w:after="0" w:line="500" w:lineRule="exact"/>
              <w:jc w:val="center"/>
              <w:rPr>
                <w:rFonts w:hint="eastAsia" w:ascii="宋体" w:hAnsi="宋体" w:cs="宋体"/>
                <w:b/>
                <w:bCs/>
                <w:color w:val="auto"/>
                <w:kern w:val="0"/>
                <w:szCs w:val="21"/>
                <w:highlight w:val="none"/>
              </w:rPr>
            </w:pPr>
          </w:p>
        </w:tc>
      </w:tr>
    </w:tbl>
    <w:p w14:paraId="3E3023F1">
      <w:p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使用我省省本级信用评价结果或我省企业无信用评价结果的，对应信用处罚扣分填写我省省本级信用处罚情况；使用外省省本级信用评价结果或外省企业无信用评价结果的，对应信用处罚扣分填写该企业注册地省本级信用处罚情况。</w:t>
      </w:r>
    </w:p>
    <w:p w14:paraId="50BE3BB7">
      <w:pPr>
        <w:numPr>
          <w:ilvl w:val="0"/>
          <w:numId w:val="3"/>
        </w:numPr>
        <w:spacing w:after="0"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本表后附信用处罚扣分情况证明资料的复印件（具体要求见第二章投标人须知前附表）。</w:t>
      </w:r>
    </w:p>
    <w:p w14:paraId="660F478F">
      <w:pPr>
        <w:numPr>
          <w:ilvl w:val="255"/>
          <w:numId w:val="0"/>
        </w:numPr>
        <w:spacing w:after="0" w:line="500" w:lineRule="exact"/>
        <w:ind w:firstLine="0" w:firstLineChars="0"/>
        <w:rPr>
          <w:rFonts w:hint="eastAsia" w:ascii="宋体" w:hAnsi="宋体" w:cs="宋体"/>
          <w:color w:val="auto"/>
          <w:sz w:val="24"/>
          <w:highlight w:val="none"/>
        </w:rPr>
      </w:pPr>
    </w:p>
    <w:p w14:paraId="3638AB67">
      <w:pPr>
        <w:ind w:firstLine="480" w:firstLineChars="200"/>
        <w:rPr>
          <w:color w:val="auto"/>
          <w:highlight w:val="none"/>
        </w:rPr>
      </w:pPr>
      <w:r>
        <w:rPr>
          <w:rFonts w:hint="eastAsia" w:ascii="宋体" w:hAnsi="宋体" w:cs="宋体"/>
          <w:color w:val="auto"/>
          <w:sz w:val="24"/>
          <w:szCs w:val="22"/>
          <w:highlight w:val="none"/>
        </w:rPr>
        <w:t>说明：全省统一的招标投标信用评价体系建立后，上表“信用情况”应根据《湖南省工程建设项目招标投标信用评价管理办法》的相关规定修改。</w:t>
      </w:r>
    </w:p>
    <w:p w14:paraId="564294F9">
      <w:pPr>
        <w:snapToGrid w:val="0"/>
        <w:spacing w:line="360" w:lineRule="auto"/>
        <w:rPr>
          <w:color w:val="auto"/>
          <w:highlight w:val="none"/>
        </w:rPr>
      </w:pPr>
    </w:p>
    <w:p w14:paraId="52144FEC">
      <w:pPr>
        <w:snapToGrid w:val="0"/>
        <w:spacing w:line="360" w:lineRule="auto"/>
        <w:jc w:val="center"/>
        <w:rPr>
          <w:rFonts w:hint="eastAsia" w:ascii="黑体" w:hAnsi="黑体" w:eastAsia="黑体" w:cs="黑体"/>
          <w:color w:val="auto"/>
          <w:sz w:val="28"/>
          <w:szCs w:val="28"/>
          <w:highlight w:val="none"/>
        </w:rPr>
      </w:pPr>
      <w:r>
        <w:rPr>
          <w:rFonts w:hint="eastAsia" w:eastAsia="黑体" w:cstheme="minorBidi"/>
          <w:color w:val="auto"/>
          <w:sz w:val="30"/>
          <w:highlight w:val="none"/>
        </w:rPr>
        <w:br w:type="page"/>
      </w:r>
      <w:bookmarkStart w:id="1211" w:name="_Hlk210294686"/>
    </w:p>
    <w:bookmarkEnd w:id="1209"/>
    <w:bookmarkEnd w:id="1211"/>
    <w:p w14:paraId="3B9B7F64">
      <w:pPr>
        <w:rPr>
          <w:rFonts w:eastAsia="黑体" w:cstheme="minorBidi"/>
          <w:color w:val="auto"/>
          <w:sz w:val="30"/>
          <w:highlight w:val="none"/>
        </w:rPr>
      </w:pPr>
    </w:p>
    <w:p w14:paraId="08F1820C">
      <w:pPr>
        <w:pStyle w:val="3"/>
        <w:jc w:val="center"/>
        <w:rPr>
          <w:rFonts w:ascii="Times New Roman" w:hAnsi="Times New Roman" w:eastAsia="黑体" w:cs="宋体"/>
          <w:color w:val="auto"/>
          <w:sz w:val="30"/>
          <w:szCs w:val="28"/>
          <w:highlight w:val="none"/>
        </w:rPr>
      </w:pPr>
      <w:bookmarkStart w:id="1212" w:name="_Toc211498767"/>
      <w:r>
        <w:rPr>
          <w:rFonts w:hint="eastAsia" w:ascii="Times New Roman" w:hAnsi="Times New Roman" w:eastAsia="黑体" w:cstheme="minorBidi"/>
          <w:color w:val="auto"/>
          <w:sz w:val="30"/>
          <w:highlight w:val="none"/>
        </w:rPr>
        <w:t>6-5</w:t>
      </w:r>
      <w:r>
        <w:rPr>
          <w:rFonts w:hint="eastAsia" w:ascii="Times New Roman" w:hAnsi="Times New Roman" w:eastAsia="黑体" w:cs="宋体"/>
          <w:color w:val="auto"/>
          <w:sz w:val="30"/>
          <w:szCs w:val="28"/>
          <w:highlight w:val="none"/>
        </w:rPr>
        <w:t>奖项和发明专利（适用综合评估法2）</w:t>
      </w:r>
      <w:bookmarkEnd w:id="1212"/>
    </w:p>
    <w:p w14:paraId="4FF2DC24">
      <w:pPr>
        <w:rPr>
          <w:rFonts w:hint="eastAsia" w:ascii="宋体" w:hAnsi="宋体" w:cs="宋体"/>
          <w:color w:val="auto"/>
          <w:sz w:val="24"/>
          <w:highlight w:val="none"/>
        </w:rPr>
      </w:pPr>
      <w:r>
        <w:rPr>
          <w:rFonts w:hint="eastAsia" w:ascii="宋体" w:hAnsi="宋体" w:cs="宋体"/>
          <w:color w:val="auto"/>
          <w:sz w:val="24"/>
          <w:highlight w:val="none"/>
        </w:rPr>
        <w:t>（1）奖项</w:t>
      </w:r>
    </w:p>
    <w:tbl>
      <w:tblPr>
        <w:tblStyle w:val="42"/>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790"/>
        <w:gridCol w:w="696"/>
        <w:gridCol w:w="1250"/>
        <w:gridCol w:w="1631"/>
        <w:gridCol w:w="1272"/>
        <w:gridCol w:w="730"/>
        <w:gridCol w:w="754"/>
        <w:gridCol w:w="1080"/>
      </w:tblGrid>
      <w:tr w14:paraId="7D1C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81" w:type="pct"/>
            <w:vMerge w:val="restart"/>
            <w:tcBorders>
              <w:top w:val="single" w:color="auto" w:sz="12" w:space="0"/>
              <w:left w:val="single" w:color="auto" w:sz="12" w:space="0"/>
              <w:bottom w:val="single" w:color="auto" w:sz="4" w:space="0"/>
              <w:right w:val="single" w:color="auto" w:sz="4" w:space="0"/>
            </w:tcBorders>
            <w:vAlign w:val="center"/>
          </w:tcPr>
          <w:p w14:paraId="4360CF60">
            <w:pPr>
              <w:jc w:val="center"/>
              <w:rPr>
                <w:b/>
                <w:bCs/>
                <w:color w:val="auto"/>
                <w:highlight w:val="none"/>
              </w:rPr>
            </w:pPr>
            <w:r>
              <w:rPr>
                <w:rFonts w:hint="eastAsia"/>
                <w:b/>
                <w:bCs/>
                <w:color w:val="auto"/>
                <w:highlight w:val="none"/>
              </w:rPr>
              <w:t>奖项（如有）</w:t>
            </w:r>
          </w:p>
        </w:tc>
        <w:tc>
          <w:tcPr>
            <w:tcW w:w="435" w:type="pct"/>
            <w:tcBorders>
              <w:top w:val="single" w:color="auto" w:sz="12" w:space="0"/>
              <w:left w:val="single" w:color="auto" w:sz="4" w:space="0"/>
              <w:bottom w:val="single" w:color="auto" w:sz="4" w:space="0"/>
              <w:right w:val="single" w:color="auto" w:sz="4" w:space="0"/>
            </w:tcBorders>
            <w:vAlign w:val="center"/>
          </w:tcPr>
          <w:p w14:paraId="7A879FDF">
            <w:pPr>
              <w:spacing w:after="0" w:line="240" w:lineRule="auto"/>
              <w:jc w:val="center"/>
              <w:rPr>
                <w:b/>
                <w:bCs/>
                <w:color w:val="auto"/>
                <w:highlight w:val="none"/>
              </w:rPr>
            </w:pPr>
            <w:r>
              <w:rPr>
                <w:rFonts w:hint="eastAsia"/>
                <w:b/>
                <w:bCs/>
                <w:color w:val="auto"/>
                <w:highlight w:val="none"/>
              </w:rPr>
              <w:t>奖项排序</w:t>
            </w:r>
          </w:p>
        </w:tc>
        <w:tc>
          <w:tcPr>
            <w:tcW w:w="383" w:type="pct"/>
            <w:tcBorders>
              <w:top w:val="single" w:color="auto" w:sz="12" w:space="0"/>
              <w:left w:val="single" w:color="auto" w:sz="4" w:space="0"/>
              <w:bottom w:val="single" w:color="auto" w:sz="4" w:space="0"/>
              <w:right w:val="single" w:color="auto" w:sz="4" w:space="0"/>
            </w:tcBorders>
            <w:vAlign w:val="center"/>
          </w:tcPr>
          <w:p w14:paraId="1948BE0C">
            <w:pPr>
              <w:spacing w:after="0" w:line="240" w:lineRule="auto"/>
              <w:jc w:val="center"/>
              <w:rPr>
                <w:b/>
                <w:bCs/>
                <w:color w:val="auto"/>
                <w:highlight w:val="none"/>
              </w:rPr>
            </w:pPr>
            <w:r>
              <w:rPr>
                <w:rFonts w:hint="eastAsia"/>
                <w:b/>
                <w:bCs/>
                <w:color w:val="auto"/>
                <w:highlight w:val="none"/>
              </w:rPr>
              <w:t>奖项类别</w:t>
            </w:r>
          </w:p>
        </w:tc>
        <w:tc>
          <w:tcPr>
            <w:tcW w:w="688" w:type="pct"/>
            <w:tcBorders>
              <w:top w:val="single" w:color="auto" w:sz="12" w:space="0"/>
              <w:left w:val="single" w:color="auto" w:sz="4" w:space="0"/>
              <w:bottom w:val="single" w:color="auto" w:sz="4" w:space="0"/>
              <w:right w:val="single" w:color="auto" w:sz="4" w:space="0"/>
            </w:tcBorders>
            <w:vAlign w:val="center"/>
          </w:tcPr>
          <w:p w14:paraId="4E1116A3">
            <w:pPr>
              <w:spacing w:after="0" w:line="240" w:lineRule="auto"/>
              <w:jc w:val="center"/>
              <w:rPr>
                <w:b/>
                <w:bCs/>
                <w:color w:val="auto"/>
                <w:highlight w:val="none"/>
              </w:rPr>
            </w:pPr>
            <w:r>
              <w:rPr>
                <w:rFonts w:hint="eastAsia"/>
                <w:b/>
                <w:bCs/>
                <w:color w:val="auto"/>
                <w:highlight w:val="none"/>
              </w:rPr>
              <w:t>级别（国家级/省级）</w:t>
            </w:r>
          </w:p>
        </w:tc>
        <w:tc>
          <w:tcPr>
            <w:tcW w:w="898" w:type="pct"/>
            <w:tcBorders>
              <w:top w:val="single" w:color="auto" w:sz="12" w:space="0"/>
              <w:left w:val="single" w:color="auto" w:sz="4" w:space="0"/>
              <w:bottom w:val="single" w:color="auto" w:sz="4" w:space="0"/>
              <w:right w:val="single" w:color="auto" w:sz="4" w:space="0"/>
            </w:tcBorders>
            <w:vAlign w:val="center"/>
          </w:tcPr>
          <w:p w14:paraId="01899776">
            <w:pPr>
              <w:spacing w:after="0" w:line="240" w:lineRule="auto"/>
              <w:jc w:val="center"/>
              <w:rPr>
                <w:b/>
                <w:bCs/>
                <w:color w:val="auto"/>
                <w:highlight w:val="none"/>
              </w:rPr>
            </w:pPr>
            <w:r>
              <w:rPr>
                <w:rFonts w:hint="eastAsia"/>
                <w:b/>
                <w:bCs/>
                <w:color w:val="auto"/>
                <w:highlight w:val="none"/>
              </w:rPr>
              <w:t>排名（第一名</w:t>
            </w:r>
            <w:r>
              <w:rPr>
                <w:rFonts w:hint="eastAsia"/>
                <w:b/>
                <w:bCs/>
                <w:color w:val="auto"/>
                <w:highlight w:val="none"/>
                <w:lang w:val="en-US" w:eastAsia="zh-CN"/>
              </w:rPr>
              <w:t>···</w:t>
            </w:r>
            <w:r>
              <w:rPr>
                <w:rFonts w:hint="eastAsia"/>
                <w:b/>
                <w:bCs/>
                <w:color w:val="auto"/>
                <w:highlight w:val="none"/>
              </w:rPr>
              <w:t>）</w:t>
            </w:r>
          </w:p>
        </w:tc>
        <w:tc>
          <w:tcPr>
            <w:tcW w:w="700" w:type="pct"/>
            <w:tcBorders>
              <w:top w:val="single" w:color="auto" w:sz="12" w:space="0"/>
              <w:left w:val="single" w:color="auto" w:sz="4" w:space="0"/>
              <w:bottom w:val="single" w:color="auto" w:sz="4" w:space="0"/>
              <w:right w:val="single" w:color="auto" w:sz="4" w:space="0"/>
            </w:tcBorders>
            <w:vAlign w:val="center"/>
          </w:tcPr>
          <w:p w14:paraId="774C54F9">
            <w:pPr>
              <w:spacing w:after="0" w:line="240" w:lineRule="auto"/>
              <w:jc w:val="center"/>
              <w:rPr>
                <w:rFonts w:hint="eastAsia" w:eastAsia="宋体"/>
                <w:b/>
                <w:bCs/>
                <w:color w:val="auto"/>
                <w:highlight w:val="none"/>
                <w:lang w:eastAsia="zh-CN"/>
              </w:rPr>
            </w:pPr>
            <w:r>
              <w:rPr>
                <w:rFonts w:hint="eastAsia"/>
                <w:b/>
                <w:bCs/>
                <w:color w:val="auto"/>
                <w:highlight w:val="none"/>
              </w:rPr>
              <w:t>奖项等级</w:t>
            </w:r>
            <w:r>
              <w:rPr>
                <w:rFonts w:hint="eastAsia"/>
                <w:b/>
                <w:bCs/>
                <w:color w:val="auto"/>
                <w:highlight w:val="none"/>
                <w:lang w:eastAsia="zh-CN"/>
              </w:rPr>
              <w:t>（</w:t>
            </w:r>
            <w:r>
              <w:rPr>
                <w:rFonts w:hint="eastAsia"/>
                <w:b/>
                <w:bCs/>
                <w:color w:val="auto"/>
                <w:highlight w:val="none"/>
                <w:lang w:val="en-US" w:eastAsia="zh-CN"/>
              </w:rPr>
              <w:t>一等奖···</w:t>
            </w:r>
            <w:r>
              <w:rPr>
                <w:rFonts w:hint="eastAsia"/>
                <w:b/>
                <w:bCs/>
                <w:color w:val="auto"/>
                <w:highlight w:val="none"/>
                <w:lang w:eastAsia="zh-CN"/>
              </w:rPr>
              <w:t>）</w:t>
            </w:r>
          </w:p>
        </w:tc>
        <w:tc>
          <w:tcPr>
            <w:tcW w:w="402" w:type="pct"/>
            <w:tcBorders>
              <w:top w:val="single" w:color="auto" w:sz="12" w:space="0"/>
              <w:left w:val="single" w:color="auto" w:sz="4" w:space="0"/>
              <w:bottom w:val="single" w:color="auto" w:sz="4" w:space="0"/>
              <w:right w:val="single" w:color="auto" w:sz="4" w:space="0"/>
            </w:tcBorders>
            <w:vAlign w:val="center"/>
          </w:tcPr>
          <w:p w14:paraId="34EE97EE">
            <w:pPr>
              <w:spacing w:after="0" w:line="240" w:lineRule="auto"/>
              <w:jc w:val="center"/>
              <w:rPr>
                <w:b/>
                <w:bCs/>
                <w:color w:val="auto"/>
                <w:highlight w:val="none"/>
              </w:rPr>
            </w:pPr>
            <w:r>
              <w:rPr>
                <w:rFonts w:hint="eastAsia"/>
                <w:b/>
                <w:bCs/>
                <w:color w:val="auto"/>
                <w:highlight w:val="none"/>
              </w:rPr>
              <w:t>单位名称</w:t>
            </w:r>
          </w:p>
        </w:tc>
        <w:tc>
          <w:tcPr>
            <w:tcW w:w="415" w:type="pct"/>
            <w:tcBorders>
              <w:top w:val="single" w:color="auto" w:sz="12" w:space="0"/>
              <w:left w:val="single" w:color="auto" w:sz="4" w:space="0"/>
              <w:bottom w:val="single" w:color="auto" w:sz="4" w:space="0"/>
              <w:right w:val="single" w:color="auto" w:sz="4" w:space="0"/>
            </w:tcBorders>
            <w:vAlign w:val="center"/>
          </w:tcPr>
          <w:p w14:paraId="01EDDB1A">
            <w:pPr>
              <w:spacing w:after="0" w:line="240" w:lineRule="auto"/>
              <w:jc w:val="center"/>
              <w:rPr>
                <w:b/>
                <w:bCs/>
                <w:color w:val="auto"/>
                <w:highlight w:val="none"/>
              </w:rPr>
            </w:pPr>
            <w:r>
              <w:rPr>
                <w:rFonts w:hint="eastAsia"/>
                <w:b/>
                <w:bCs/>
                <w:color w:val="auto"/>
                <w:highlight w:val="none"/>
              </w:rPr>
              <w:t>获奖日期</w:t>
            </w:r>
          </w:p>
        </w:tc>
        <w:tc>
          <w:tcPr>
            <w:tcW w:w="594" w:type="pct"/>
            <w:tcBorders>
              <w:top w:val="single" w:color="auto" w:sz="12" w:space="0"/>
              <w:left w:val="single" w:color="auto" w:sz="4" w:space="0"/>
              <w:bottom w:val="single" w:color="auto" w:sz="4" w:space="0"/>
              <w:right w:val="single" w:color="auto" w:sz="12" w:space="0"/>
            </w:tcBorders>
            <w:vAlign w:val="center"/>
          </w:tcPr>
          <w:p w14:paraId="01581B17">
            <w:pPr>
              <w:spacing w:after="0" w:line="240" w:lineRule="auto"/>
              <w:jc w:val="center"/>
              <w:rPr>
                <w:b/>
                <w:bCs/>
                <w:color w:val="auto"/>
                <w:highlight w:val="none"/>
              </w:rPr>
            </w:pPr>
            <w:r>
              <w:rPr>
                <w:rFonts w:hint="eastAsia"/>
                <w:b/>
                <w:bCs/>
                <w:color w:val="auto"/>
                <w:highlight w:val="none"/>
              </w:rPr>
              <w:t>工程项目</w:t>
            </w:r>
          </w:p>
        </w:tc>
      </w:tr>
      <w:tr w14:paraId="7C47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 w:type="pct"/>
            <w:vMerge w:val="continue"/>
            <w:tcBorders>
              <w:left w:val="single" w:color="auto" w:sz="12" w:space="0"/>
              <w:right w:val="single" w:color="auto" w:sz="4" w:space="0"/>
            </w:tcBorders>
            <w:vAlign w:val="center"/>
          </w:tcPr>
          <w:p w14:paraId="798EBB12">
            <w:pPr>
              <w:jc w:val="center"/>
              <w:rPr>
                <w:rFonts w:hint="eastAsia"/>
                <w:b/>
                <w:bCs/>
                <w:color w:val="auto"/>
                <w:highlight w:val="none"/>
              </w:rPr>
            </w:pPr>
          </w:p>
        </w:tc>
        <w:tc>
          <w:tcPr>
            <w:tcW w:w="435" w:type="pct"/>
            <w:tcBorders>
              <w:top w:val="single" w:color="auto" w:sz="12" w:space="0"/>
              <w:left w:val="single" w:color="auto" w:sz="4" w:space="0"/>
              <w:bottom w:val="single" w:color="auto" w:sz="4" w:space="0"/>
              <w:right w:val="single" w:color="auto" w:sz="4" w:space="0"/>
            </w:tcBorders>
            <w:vAlign w:val="center"/>
          </w:tcPr>
          <w:p w14:paraId="582C4C67">
            <w:pPr>
              <w:spacing w:after="0" w:line="240" w:lineRule="auto"/>
              <w:jc w:val="center"/>
              <w:rPr>
                <w:rFonts w:hint="eastAsia"/>
                <w:b/>
                <w:bCs/>
                <w:color w:val="auto"/>
                <w:highlight w:val="none"/>
              </w:rPr>
            </w:pPr>
            <w:r>
              <w:rPr>
                <w:rFonts w:hint="eastAsia"/>
                <w:color w:val="auto"/>
                <w:highlight w:val="none"/>
              </w:rPr>
              <w:t>第一项</w:t>
            </w:r>
          </w:p>
        </w:tc>
        <w:tc>
          <w:tcPr>
            <w:tcW w:w="383" w:type="pct"/>
            <w:tcBorders>
              <w:top w:val="single" w:color="auto" w:sz="12" w:space="0"/>
              <w:left w:val="single" w:color="auto" w:sz="4" w:space="0"/>
              <w:bottom w:val="single" w:color="auto" w:sz="4" w:space="0"/>
              <w:right w:val="single" w:color="auto" w:sz="4" w:space="0"/>
            </w:tcBorders>
            <w:vAlign w:val="center"/>
          </w:tcPr>
          <w:p w14:paraId="439D1E74">
            <w:pPr>
              <w:spacing w:after="0" w:line="240" w:lineRule="auto"/>
              <w:jc w:val="center"/>
              <w:rPr>
                <w:rFonts w:hint="eastAsia"/>
                <w:b/>
                <w:bCs/>
                <w:color w:val="auto"/>
                <w:highlight w:val="none"/>
              </w:rPr>
            </w:pPr>
          </w:p>
        </w:tc>
        <w:tc>
          <w:tcPr>
            <w:tcW w:w="688" w:type="pct"/>
            <w:tcBorders>
              <w:top w:val="single" w:color="auto" w:sz="12" w:space="0"/>
              <w:left w:val="single" w:color="auto" w:sz="4" w:space="0"/>
              <w:bottom w:val="single" w:color="auto" w:sz="4" w:space="0"/>
              <w:right w:val="single" w:color="auto" w:sz="4" w:space="0"/>
            </w:tcBorders>
            <w:vAlign w:val="center"/>
          </w:tcPr>
          <w:p w14:paraId="2FDE9A7C">
            <w:pPr>
              <w:spacing w:after="0" w:line="240" w:lineRule="auto"/>
              <w:jc w:val="center"/>
              <w:rPr>
                <w:rFonts w:hint="eastAsia"/>
                <w:b/>
                <w:bCs/>
                <w:color w:val="auto"/>
                <w:highlight w:val="none"/>
              </w:rPr>
            </w:pPr>
          </w:p>
        </w:tc>
        <w:tc>
          <w:tcPr>
            <w:tcW w:w="898" w:type="pct"/>
            <w:tcBorders>
              <w:top w:val="single" w:color="auto" w:sz="12" w:space="0"/>
              <w:left w:val="single" w:color="auto" w:sz="4" w:space="0"/>
              <w:bottom w:val="single" w:color="auto" w:sz="4" w:space="0"/>
              <w:right w:val="single" w:color="auto" w:sz="4" w:space="0"/>
            </w:tcBorders>
            <w:vAlign w:val="center"/>
          </w:tcPr>
          <w:p w14:paraId="40C10244">
            <w:pPr>
              <w:spacing w:after="0" w:line="240" w:lineRule="auto"/>
              <w:jc w:val="center"/>
              <w:rPr>
                <w:rFonts w:hint="default" w:eastAsia="宋体"/>
                <w:b/>
                <w:bCs/>
                <w:color w:val="auto"/>
                <w:highlight w:val="none"/>
                <w:lang w:val="en-US" w:eastAsia="zh-CN"/>
              </w:rPr>
            </w:pPr>
          </w:p>
        </w:tc>
        <w:tc>
          <w:tcPr>
            <w:tcW w:w="700" w:type="pct"/>
            <w:tcBorders>
              <w:top w:val="single" w:color="auto" w:sz="12" w:space="0"/>
              <w:left w:val="single" w:color="auto" w:sz="4" w:space="0"/>
              <w:bottom w:val="single" w:color="auto" w:sz="4" w:space="0"/>
              <w:right w:val="single" w:color="auto" w:sz="4" w:space="0"/>
            </w:tcBorders>
            <w:vAlign w:val="center"/>
          </w:tcPr>
          <w:p w14:paraId="45D16EC8">
            <w:pPr>
              <w:spacing w:after="0" w:line="240" w:lineRule="auto"/>
              <w:jc w:val="center"/>
              <w:rPr>
                <w:rFonts w:hint="eastAsia"/>
                <w:b/>
                <w:bCs/>
                <w:color w:val="auto"/>
                <w:highlight w:val="none"/>
              </w:rPr>
            </w:pPr>
          </w:p>
        </w:tc>
        <w:tc>
          <w:tcPr>
            <w:tcW w:w="402" w:type="pct"/>
            <w:tcBorders>
              <w:top w:val="single" w:color="auto" w:sz="12" w:space="0"/>
              <w:left w:val="single" w:color="auto" w:sz="4" w:space="0"/>
              <w:bottom w:val="single" w:color="auto" w:sz="4" w:space="0"/>
              <w:right w:val="single" w:color="auto" w:sz="4" w:space="0"/>
            </w:tcBorders>
            <w:vAlign w:val="center"/>
          </w:tcPr>
          <w:p w14:paraId="5404BEBD">
            <w:pPr>
              <w:spacing w:after="0" w:line="240" w:lineRule="auto"/>
              <w:jc w:val="center"/>
              <w:rPr>
                <w:rFonts w:hint="eastAsia"/>
                <w:b/>
                <w:bCs/>
                <w:color w:val="auto"/>
                <w:highlight w:val="none"/>
              </w:rPr>
            </w:pPr>
          </w:p>
        </w:tc>
        <w:tc>
          <w:tcPr>
            <w:tcW w:w="415" w:type="pct"/>
            <w:tcBorders>
              <w:top w:val="single" w:color="auto" w:sz="12" w:space="0"/>
              <w:left w:val="single" w:color="auto" w:sz="4" w:space="0"/>
              <w:bottom w:val="single" w:color="auto" w:sz="4" w:space="0"/>
              <w:right w:val="single" w:color="auto" w:sz="4" w:space="0"/>
            </w:tcBorders>
            <w:vAlign w:val="center"/>
          </w:tcPr>
          <w:p w14:paraId="2826CA79">
            <w:pPr>
              <w:spacing w:after="0" w:line="240" w:lineRule="auto"/>
              <w:jc w:val="center"/>
              <w:rPr>
                <w:rFonts w:hint="eastAsia"/>
                <w:b/>
                <w:bCs/>
                <w:color w:val="auto"/>
                <w:highlight w:val="none"/>
              </w:rPr>
            </w:pPr>
          </w:p>
        </w:tc>
        <w:tc>
          <w:tcPr>
            <w:tcW w:w="594" w:type="pct"/>
            <w:tcBorders>
              <w:top w:val="single" w:color="auto" w:sz="12" w:space="0"/>
              <w:left w:val="single" w:color="auto" w:sz="4" w:space="0"/>
              <w:bottom w:val="single" w:color="auto" w:sz="4" w:space="0"/>
              <w:right w:val="single" w:color="auto" w:sz="12" w:space="0"/>
            </w:tcBorders>
            <w:vAlign w:val="center"/>
          </w:tcPr>
          <w:p w14:paraId="2131DF97">
            <w:pPr>
              <w:spacing w:after="0" w:line="240" w:lineRule="auto"/>
              <w:jc w:val="center"/>
              <w:rPr>
                <w:b/>
                <w:bCs/>
                <w:color w:val="auto"/>
                <w:highlight w:val="none"/>
              </w:rPr>
            </w:pPr>
          </w:p>
        </w:tc>
      </w:tr>
      <w:tr w14:paraId="473D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81" w:type="pct"/>
            <w:vMerge w:val="continue"/>
            <w:tcBorders>
              <w:left w:val="single" w:color="auto" w:sz="12" w:space="0"/>
              <w:right w:val="single" w:color="auto" w:sz="4" w:space="0"/>
            </w:tcBorders>
            <w:vAlign w:val="center"/>
          </w:tcPr>
          <w:p w14:paraId="53F3100A">
            <w:pPr>
              <w:jc w:val="center"/>
              <w:rPr>
                <w:rFonts w:hint="eastAsia"/>
                <w:b/>
                <w:bCs/>
                <w:color w:val="auto"/>
                <w:highlight w:val="none"/>
              </w:rPr>
            </w:pPr>
          </w:p>
        </w:tc>
        <w:tc>
          <w:tcPr>
            <w:tcW w:w="435" w:type="pct"/>
            <w:tcBorders>
              <w:top w:val="single" w:color="auto" w:sz="12" w:space="0"/>
              <w:left w:val="single" w:color="auto" w:sz="4" w:space="0"/>
              <w:bottom w:val="single" w:color="auto" w:sz="4" w:space="0"/>
              <w:right w:val="single" w:color="auto" w:sz="4" w:space="0"/>
            </w:tcBorders>
            <w:vAlign w:val="center"/>
          </w:tcPr>
          <w:p w14:paraId="7AAB3125">
            <w:pPr>
              <w:spacing w:after="0" w:line="240" w:lineRule="auto"/>
              <w:jc w:val="center"/>
              <w:rPr>
                <w:rFonts w:hint="eastAsia"/>
                <w:b/>
                <w:bCs/>
                <w:color w:val="auto"/>
                <w:highlight w:val="none"/>
              </w:rPr>
            </w:pPr>
            <w:r>
              <w:rPr>
                <w:rFonts w:hint="eastAsia"/>
                <w:color w:val="auto"/>
                <w:highlight w:val="none"/>
              </w:rPr>
              <w:t>第二项</w:t>
            </w:r>
          </w:p>
        </w:tc>
        <w:tc>
          <w:tcPr>
            <w:tcW w:w="383" w:type="pct"/>
            <w:tcBorders>
              <w:top w:val="single" w:color="auto" w:sz="12" w:space="0"/>
              <w:left w:val="single" w:color="auto" w:sz="4" w:space="0"/>
              <w:bottom w:val="single" w:color="auto" w:sz="4" w:space="0"/>
              <w:right w:val="single" w:color="auto" w:sz="4" w:space="0"/>
            </w:tcBorders>
            <w:vAlign w:val="center"/>
          </w:tcPr>
          <w:p w14:paraId="5EFD39B4">
            <w:pPr>
              <w:spacing w:after="0" w:line="240" w:lineRule="auto"/>
              <w:jc w:val="center"/>
              <w:rPr>
                <w:rFonts w:hint="eastAsia"/>
                <w:b/>
                <w:bCs/>
                <w:color w:val="auto"/>
                <w:highlight w:val="none"/>
              </w:rPr>
            </w:pPr>
          </w:p>
        </w:tc>
        <w:tc>
          <w:tcPr>
            <w:tcW w:w="688" w:type="pct"/>
            <w:tcBorders>
              <w:top w:val="single" w:color="auto" w:sz="12" w:space="0"/>
              <w:left w:val="single" w:color="auto" w:sz="4" w:space="0"/>
              <w:bottom w:val="single" w:color="auto" w:sz="4" w:space="0"/>
              <w:right w:val="single" w:color="auto" w:sz="4" w:space="0"/>
            </w:tcBorders>
            <w:vAlign w:val="center"/>
          </w:tcPr>
          <w:p w14:paraId="72EB4D15">
            <w:pPr>
              <w:spacing w:after="0" w:line="240" w:lineRule="auto"/>
              <w:jc w:val="center"/>
              <w:rPr>
                <w:rFonts w:hint="eastAsia"/>
                <w:b/>
                <w:bCs/>
                <w:color w:val="auto"/>
                <w:highlight w:val="none"/>
              </w:rPr>
            </w:pPr>
          </w:p>
        </w:tc>
        <w:tc>
          <w:tcPr>
            <w:tcW w:w="898" w:type="pct"/>
            <w:tcBorders>
              <w:top w:val="single" w:color="auto" w:sz="12" w:space="0"/>
              <w:left w:val="single" w:color="auto" w:sz="4" w:space="0"/>
              <w:bottom w:val="single" w:color="auto" w:sz="4" w:space="0"/>
              <w:right w:val="single" w:color="auto" w:sz="4" w:space="0"/>
            </w:tcBorders>
            <w:vAlign w:val="center"/>
          </w:tcPr>
          <w:p w14:paraId="3DC408AD">
            <w:pPr>
              <w:spacing w:after="0" w:line="240" w:lineRule="auto"/>
              <w:jc w:val="center"/>
              <w:rPr>
                <w:rFonts w:hint="eastAsia"/>
                <w:b/>
                <w:bCs/>
                <w:color w:val="auto"/>
                <w:highlight w:val="none"/>
              </w:rPr>
            </w:pPr>
          </w:p>
        </w:tc>
        <w:tc>
          <w:tcPr>
            <w:tcW w:w="700" w:type="pct"/>
            <w:tcBorders>
              <w:top w:val="single" w:color="auto" w:sz="12" w:space="0"/>
              <w:left w:val="single" w:color="auto" w:sz="4" w:space="0"/>
              <w:bottom w:val="single" w:color="auto" w:sz="4" w:space="0"/>
              <w:right w:val="single" w:color="auto" w:sz="4" w:space="0"/>
            </w:tcBorders>
            <w:vAlign w:val="center"/>
          </w:tcPr>
          <w:p w14:paraId="325A871B">
            <w:pPr>
              <w:spacing w:after="0" w:line="240" w:lineRule="auto"/>
              <w:jc w:val="center"/>
              <w:rPr>
                <w:rFonts w:hint="eastAsia"/>
                <w:b/>
                <w:bCs/>
                <w:color w:val="auto"/>
                <w:highlight w:val="none"/>
              </w:rPr>
            </w:pPr>
          </w:p>
        </w:tc>
        <w:tc>
          <w:tcPr>
            <w:tcW w:w="402" w:type="pct"/>
            <w:tcBorders>
              <w:top w:val="single" w:color="auto" w:sz="12" w:space="0"/>
              <w:left w:val="single" w:color="auto" w:sz="4" w:space="0"/>
              <w:bottom w:val="single" w:color="auto" w:sz="4" w:space="0"/>
              <w:right w:val="single" w:color="auto" w:sz="4" w:space="0"/>
            </w:tcBorders>
            <w:vAlign w:val="center"/>
          </w:tcPr>
          <w:p w14:paraId="2C460738">
            <w:pPr>
              <w:spacing w:after="0" w:line="240" w:lineRule="auto"/>
              <w:jc w:val="center"/>
              <w:rPr>
                <w:rFonts w:hint="eastAsia"/>
                <w:b/>
                <w:bCs/>
                <w:color w:val="auto"/>
                <w:highlight w:val="none"/>
              </w:rPr>
            </w:pPr>
          </w:p>
        </w:tc>
        <w:tc>
          <w:tcPr>
            <w:tcW w:w="415" w:type="pct"/>
            <w:tcBorders>
              <w:top w:val="single" w:color="auto" w:sz="12" w:space="0"/>
              <w:left w:val="single" w:color="auto" w:sz="4" w:space="0"/>
              <w:bottom w:val="single" w:color="auto" w:sz="4" w:space="0"/>
              <w:right w:val="single" w:color="auto" w:sz="4" w:space="0"/>
            </w:tcBorders>
            <w:vAlign w:val="center"/>
          </w:tcPr>
          <w:p w14:paraId="49AA6685">
            <w:pPr>
              <w:spacing w:after="0" w:line="240" w:lineRule="auto"/>
              <w:jc w:val="center"/>
              <w:rPr>
                <w:rFonts w:hint="eastAsia"/>
                <w:b/>
                <w:bCs/>
                <w:color w:val="auto"/>
                <w:highlight w:val="none"/>
              </w:rPr>
            </w:pPr>
          </w:p>
        </w:tc>
        <w:tc>
          <w:tcPr>
            <w:tcW w:w="594" w:type="pct"/>
            <w:tcBorders>
              <w:top w:val="single" w:color="auto" w:sz="12" w:space="0"/>
              <w:left w:val="single" w:color="auto" w:sz="4" w:space="0"/>
              <w:bottom w:val="single" w:color="auto" w:sz="4" w:space="0"/>
              <w:right w:val="single" w:color="auto" w:sz="12" w:space="0"/>
            </w:tcBorders>
            <w:vAlign w:val="center"/>
          </w:tcPr>
          <w:p w14:paraId="35E25800">
            <w:pPr>
              <w:spacing w:after="0" w:line="240" w:lineRule="auto"/>
              <w:jc w:val="center"/>
              <w:rPr>
                <w:b/>
                <w:bCs/>
                <w:color w:val="auto"/>
                <w:highlight w:val="none"/>
              </w:rPr>
            </w:pPr>
          </w:p>
        </w:tc>
      </w:tr>
      <w:tr w14:paraId="7793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1" w:type="pct"/>
            <w:vMerge w:val="continue"/>
            <w:tcBorders>
              <w:top w:val="single" w:color="auto" w:sz="4" w:space="0"/>
              <w:left w:val="single" w:color="auto" w:sz="12" w:space="0"/>
              <w:bottom w:val="single" w:color="auto" w:sz="12" w:space="0"/>
              <w:right w:val="single" w:color="auto" w:sz="4" w:space="0"/>
            </w:tcBorders>
            <w:vAlign w:val="center"/>
          </w:tcPr>
          <w:p w14:paraId="64E2ECF8">
            <w:pPr>
              <w:jc w:val="center"/>
              <w:rPr>
                <w:b/>
                <w:bCs/>
                <w:color w:val="auto"/>
                <w:highlight w:val="none"/>
              </w:rPr>
            </w:pPr>
          </w:p>
        </w:tc>
        <w:tc>
          <w:tcPr>
            <w:tcW w:w="435" w:type="pct"/>
            <w:tcBorders>
              <w:top w:val="single" w:color="auto" w:sz="4" w:space="0"/>
              <w:left w:val="single" w:color="auto" w:sz="4" w:space="0"/>
              <w:bottom w:val="single" w:color="auto" w:sz="12" w:space="0"/>
              <w:right w:val="single" w:color="auto" w:sz="4" w:space="0"/>
            </w:tcBorders>
            <w:shd w:val="clear" w:color="auto" w:fill="auto"/>
            <w:vAlign w:val="center"/>
          </w:tcPr>
          <w:p w14:paraId="65333F4F">
            <w:pPr>
              <w:spacing w:after="0" w:line="240" w:lineRule="auto"/>
              <w:jc w:val="center"/>
              <w:rPr>
                <w:rFonts w:hint="eastAsia" w:ascii="Times New Roman" w:hAnsi="Times New Roman" w:eastAsia="宋体" w:cs="Times New Roman"/>
                <w:b/>
                <w:bCs/>
                <w:color w:val="auto"/>
                <w:kern w:val="2"/>
                <w:sz w:val="21"/>
                <w:szCs w:val="24"/>
                <w:highlight w:val="none"/>
                <w:lang w:val="en-US" w:eastAsia="zh-CN" w:bidi="ar-SA"/>
              </w:rPr>
            </w:pPr>
            <w:r>
              <w:rPr>
                <w:rFonts w:hint="eastAsia"/>
                <w:color w:val="auto"/>
                <w:highlight w:val="none"/>
              </w:rPr>
              <w:t>第三项</w:t>
            </w:r>
          </w:p>
        </w:tc>
        <w:tc>
          <w:tcPr>
            <w:tcW w:w="383" w:type="pct"/>
            <w:tcBorders>
              <w:top w:val="single" w:color="auto" w:sz="4" w:space="0"/>
              <w:left w:val="single" w:color="auto" w:sz="4" w:space="0"/>
              <w:bottom w:val="single" w:color="auto" w:sz="12" w:space="0"/>
              <w:right w:val="single" w:color="auto" w:sz="4" w:space="0"/>
            </w:tcBorders>
            <w:vAlign w:val="center"/>
          </w:tcPr>
          <w:p w14:paraId="5E6BEC17">
            <w:pPr>
              <w:jc w:val="center"/>
              <w:rPr>
                <w:b/>
                <w:bCs/>
                <w:color w:val="auto"/>
                <w:highlight w:val="none"/>
              </w:rPr>
            </w:pPr>
          </w:p>
        </w:tc>
        <w:tc>
          <w:tcPr>
            <w:tcW w:w="688" w:type="pct"/>
            <w:tcBorders>
              <w:top w:val="single" w:color="auto" w:sz="4" w:space="0"/>
              <w:left w:val="single" w:color="auto" w:sz="4" w:space="0"/>
              <w:bottom w:val="single" w:color="auto" w:sz="12" w:space="0"/>
              <w:right w:val="single" w:color="auto" w:sz="4" w:space="0"/>
            </w:tcBorders>
            <w:vAlign w:val="center"/>
          </w:tcPr>
          <w:p w14:paraId="3D5F00BE">
            <w:pPr>
              <w:jc w:val="center"/>
              <w:rPr>
                <w:b/>
                <w:bCs/>
                <w:color w:val="auto"/>
                <w:highlight w:val="none"/>
              </w:rPr>
            </w:pPr>
          </w:p>
        </w:tc>
        <w:tc>
          <w:tcPr>
            <w:tcW w:w="898" w:type="pct"/>
            <w:tcBorders>
              <w:top w:val="single" w:color="auto" w:sz="4" w:space="0"/>
              <w:left w:val="single" w:color="auto" w:sz="4" w:space="0"/>
              <w:bottom w:val="single" w:color="auto" w:sz="12" w:space="0"/>
              <w:right w:val="single" w:color="auto" w:sz="4" w:space="0"/>
            </w:tcBorders>
            <w:vAlign w:val="center"/>
          </w:tcPr>
          <w:p w14:paraId="13E28F6B">
            <w:pPr>
              <w:jc w:val="center"/>
              <w:rPr>
                <w:b/>
                <w:bCs/>
                <w:color w:val="auto"/>
                <w:highlight w:val="none"/>
              </w:rPr>
            </w:pPr>
          </w:p>
        </w:tc>
        <w:tc>
          <w:tcPr>
            <w:tcW w:w="700" w:type="pct"/>
            <w:tcBorders>
              <w:top w:val="single" w:color="auto" w:sz="4" w:space="0"/>
              <w:left w:val="single" w:color="auto" w:sz="4" w:space="0"/>
              <w:bottom w:val="single" w:color="auto" w:sz="12" w:space="0"/>
              <w:right w:val="single" w:color="auto" w:sz="4" w:space="0"/>
            </w:tcBorders>
            <w:vAlign w:val="center"/>
          </w:tcPr>
          <w:p w14:paraId="685DEEAE">
            <w:pPr>
              <w:jc w:val="center"/>
              <w:rPr>
                <w:b/>
                <w:bCs/>
                <w:color w:val="auto"/>
                <w:highlight w:val="none"/>
              </w:rPr>
            </w:pPr>
          </w:p>
        </w:tc>
        <w:tc>
          <w:tcPr>
            <w:tcW w:w="402" w:type="pct"/>
            <w:tcBorders>
              <w:top w:val="single" w:color="auto" w:sz="4" w:space="0"/>
              <w:left w:val="single" w:color="auto" w:sz="4" w:space="0"/>
              <w:bottom w:val="single" w:color="auto" w:sz="12" w:space="0"/>
              <w:right w:val="single" w:color="auto" w:sz="4" w:space="0"/>
            </w:tcBorders>
            <w:vAlign w:val="center"/>
          </w:tcPr>
          <w:p w14:paraId="72AADC9C">
            <w:pPr>
              <w:jc w:val="center"/>
              <w:rPr>
                <w:b/>
                <w:bCs/>
                <w:color w:val="auto"/>
                <w:highlight w:val="none"/>
              </w:rPr>
            </w:pPr>
          </w:p>
        </w:tc>
        <w:tc>
          <w:tcPr>
            <w:tcW w:w="415" w:type="pct"/>
            <w:tcBorders>
              <w:top w:val="single" w:color="auto" w:sz="4" w:space="0"/>
              <w:left w:val="single" w:color="auto" w:sz="4" w:space="0"/>
              <w:bottom w:val="single" w:color="auto" w:sz="12" w:space="0"/>
              <w:right w:val="single" w:color="auto" w:sz="4" w:space="0"/>
            </w:tcBorders>
            <w:vAlign w:val="center"/>
          </w:tcPr>
          <w:p w14:paraId="04E6A0AA">
            <w:pPr>
              <w:jc w:val="center"/>
              <w:rPr>
                <w:b/>
                <w:bCs/>
                <w:color w:val="auto"/>
                <w:highlight w:val="none"/>
              </w:rPr>
            </w:pPr>
          </w:p>
        </w:tc>
        <w:tc>
          <w:tcPr>
            <w:tcW w:w="594" w:type="pct"/>
            <w:tcBorders>
              <w:top w:val="single" w:color="auto" w:sz="4" w:space="0"/>
              <w:left w:val="single" w:color="auto" w:sz="4" w:space="0"/>
              <w:bottom w:val="single" w:color="auto" w:sz="12" w:space="0"/>
              <w:right w:val="single" w:color="auto" w:sz="12" w:space="0"/>
            </w:tcBorders>
            <w:vAlign w:val="center"/>
          </w:tcPr>
          <w:p w14:paraId="6B10E0E1">
            <w:pPr>
              <w:jc w:val="center"/>
              <w:rPr>
                <w:b/>
                <w:bCs/>
                <w:color w:val="auto"/>
                <w:highlight w:val="none"/>
              </w:rPr>
            </w:pPr>
          </w:p>
        </w:tc>
      </w:tr>
    </w:tbl>
    <w:p w14:paraId="0484E285">
      <w:pPr>
        <w:rPr>
          <w:rFonts w:hint="default" w:eastAsia="宋体"/>
          <w:color w:val="auto"/>
          <w:sz w:val="24"/>
          <w:highlight w:val="none"/>
          <w:lang w:val="en-US" w:eastAsia="zh-CN"/>
        </w:rPr>
      </w:pPr>
      <w:r>
        <w:rPr>
          <w:rFonts w:hint="eastAsia"/>
          <w:color w:val="auto"/>
          <w:sz w:val="24"/>
          <w:highlight w:val="none"/>
        </w:rPr>
        <w:t>注：</w:t>
      </w:r>
      <w:r>
        <w:rPr>
          <w:rFonts w:hint="eastAsia"/>
          <w:color w:val="auto"/>
          <w:sz w:val="24"/>
          <w:highlight w:val="none"/>
          <w:lang w:val="en-US" w:eastAsia="zh-CN"/>
        </w:rPr>
        <w:t>1.奖项未区分排名、等级的，相应栏目无须填写；</w:t>
      </w:r>
    </w:p>
    <w:p w14:paraId="58AFB030">
      <w:pPr>
        <w:ind w:firstLine="480" w:firstLineChars="200"/>
        <w:rPr>
          <w:rFonts w:hint="eastAsia" w:eastAsia="宋体"/>
          <w:color w:val="auto"/>
          <w:sz w:val="24"/>
          <w:highlight w:val="none"/>
          <w:lang w:eastAsia="zh-CN"/>
        </w:rPr>
      </w:pPr>
      <w:r>
        <w:rPr>
          <w:rFonts w:hint="eastAsia"/>
          <w:color w:val="auto"/>
          <w:sz w:val="24"/>
          <w:highlight w:val="none"/>
          <w:lang w:val="en-US" w:eastAsia="zh-CN"/>
        </w:rPr>
        <w:t>2.</w:t>
      </w:r>
      <w:r>
        <w:rPr>
          <w:color w:val="auto"/>
          <w:sz w:val="24"/>
          <w:highlight w:val="none"/>
        </w:rPr>
        <w:t>附奖项证明资料</w:t>
      </w:r>
      <w:r>
        <w:rPr>
          <w:rFonts w:hint="eastAsia"/>
          <w:color w:val="auto"/>
          <w:sz w:val="24"/>
          <w:highlight w:val="none"/>
        </w:rPr>
        <w:t>的复印件</w:t>
      </w:r>
      <w:r>
        <w:rPr>
          <w:color w:val="auto"/>
          <w:sz w:val="24"/>
          <w:highlight w:val="none"/>
        </w:rPr>
        <w:t>（具体要求见本招标文件第三章商务评审表规定）</w:t>
      </w:r>
      <w:r>
        <w:rPr>
          <w:rFonts w:hint="eastAsia"/>
          <w:color w:val="auto"/>
          <w:sz w:val="24"/>
          <w:highlight w:val="none"/>
          <w:lang w:eastAsia="zh-CN"/>
        </w:rPr>
        <w:t>。</w:t>
      </w:r>
    </w:p>
    <w:p w14:paraId="195BA1A3">
      <w:pPr>
        <w:rPr>
          <w:color w:val="auto"/>
          <w:highlight w:val="none"/>
        </w:rPr>
      </w:pPr>
    </w:p>
    <w:p w14:paraId="6D6761AE">
      <w:pPr>
        <w:rPr>
          <w:rFonts w:hint="eastAsia" w:ascii="宋体" w:hAnsi="宋体" w:cs="宋体"/>
          <w:color w:val="auto"/>
          <w:sz w:val="24"/>
          <w:highlight w:val="none"/>
        </w:rPr>
      </w:pPr>
      <w:r>
        <w:rPr>
          <w:rFonts w:hint="eastAsia" w:ascii="宋体" w:hAnsi="宋体" w:cs="宋体"/>
          <w:color w:val="auto"/>
          <w:sz w:val="24"/>
          <w:highlight w:val="none"/>
        </w:rPr>
        <w:t>（2）发明专利（不适用）</w:t>
      </w:r>
    </w:p>
    <w:tbl>
      <w:tblPr>
        <w:tblStyle w:val="42"/>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970"/>
        <w:gridCol w:w="1421"/>
        <w:gridCol w:w="1421"/>
        <w:gridCol w:w="1421"/>
        <w:gridCol w:w="1421"/>
        <w:gridCol w:w="1421"/>
      </w:tblGrid>
      <w:tr w14:paraId="08F7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6" w:type="pct"/>
            <w:vMerge w:val="restart"/>
            <w:tcBorders>
              <w:top w:val="single" w:color="auto" w:sz="12" w:space="0"/>
              <w:left w:val="single" w:color="auto" w:sz="12" w:space="0"/>
            </w:tcBorders>
            <w:vAlign w:val="center"/>
          </w:tcPr>
          <w:p w14:paraId="55A55EF5">
            <w:pPr>
              <w:spacing w:after="0" w:line="240" w:lineRule="auto"/>
              <w:jc w:val="center"/>
              <w:rPr>
                <w:b/>
                <w:bCs/>
                <w:color w:val="auto"/>
                <w:highlight w:val="none"/>
              </w:rPr>
            </w:pPr>
            <w:r>
              <w:rPr>
                <w:rFonts w:hint="eastAsia"/>
                <w:b/>
                <w:bCs/>
                <w:color w:val="auto"/>
                <w:highlight w:val="none"/>
              </w:rPr>
              <w:t>发明专利</w:t>
            </w:r>
          </w:p>
        </w:tc>
        <w:tc>
          <w:tcPr>
            <w:tcW w:w="523" w:type="pct"/>
            <w:tcBorders>
              <w:top w:val="single" w:color="auto" w:sz="12" w:space="0"/>
            </w:tcBorders>
            <w:vAlign w:val="center"/>
          </w:tcPr>
          <w:p w14:paraId="4C68B992">
            <w:pPr>
              <w:spacing w:after="0" w:line="240" w:lineRule="auto"/>
              <w:jc w:val="center"/>
              <w:rPr>
                <w:b/>
                <w:bCs/>
                <w:color w:val="auto"/>
                <w:highlight w:val="none"/>
              </w:rPr>
            </w:pPr>
            <w:r>
              <w:rPr>
                <w:rFonts w:hint="eastAsia"/>
                <w:b/>
                <w:bCs/>
                <w:color w:val="auto"/>
                <w:highlight w:val="none"/>
              </w:rPr>
              <w:t>序号</w:t>
            </w:r>
          </w:p>
        </w:tc>
        <w:tc>
          <w:tcPr>
            <w:tcW w:w="765" w:type="pct"/>
            <w:tcBorders>
              <w:top w:val="single" w:color="auto" w:sz="12" w:space="0"/>
            </w:tcBorders>
            <w:vAlign w:val="center"/>
          </w:tcPr>
          <w:p w14:paraId="37C9476F">
            <w:pPr>
              <w:spacing w:after="0" w:line="240" w:lineRule="auto"/>
              <w:jc w:val="center"/>
              <w:rPr>
                <w:b/>
                <w:bCs/>
                <w:color w:val="auto"/>
                <w:highlight w:val="none"/>
              </w:rPr>
            </w:pPr>
            <w:r>
              <w:rPr>
                <w:rFonts w:hint="eastAsia"/>
                <w:b/>
                <w:bCs/>
                <w:color w:val="auto"/>
                <w:highlight w:val="none"/>
              </w:rPr>
              <w:t>专利名称</w:t>
            </w:r>
          </w:p>
        </w:tc>
        <w:tc>
          <w:tcPr>
            <w:tcW w:w="765" w:type="pct"/>
            <w:tcBorders>
              <w:top w:val="single" w:color="auto" w:sz="12" w:space="0"/>
            </w:tcBorders>
            <w:vAlign w:val="center"/>
          </w:tcPr>
          <w:p w14:paraId="39DC093E">
            <w:pPr>
              <w:spacing w:after="0" w:line="240" w:lineRule="auto"/>
              <w:jc w:val="center"/>
              <w:rPr>
                <w:b/>
                <w:bCs/>
                <w:color w:val="auto"/>
                <w:highlight w:val="none"/>
              </w:rPr>
            </w:pPr>
            <w:r>
              <w:rPr>
                <w:rFonts w:hint="eastAsia"/>
                <w:b/>
                <w:bCs/>
                <w:color w:val="auto"/>
                <w:highlight w:val="none"/>
              </w:rPr>
              <w:t>工程类别</w:t>
            </w:r>
          </w:p>
        </w:tc>
        <w:tc>
          <w:tcPr>
            <w:tcW w:w="765" w:type="pct"/>
            <w:tcBorders>
              <w:top w:val="single" w:color="auto" w:sz="12" w:space="0"/>
            </w:tcBorders>
            <w:vAlign w:val="center"/>
          </w:tcPr>
          <w:p w14:paraId="099F4BFC">
            <w:pPr>
              <w:spacing w:after="0" w:line="240" w:lineRule="auto"/>
              <w:jc w:val="center"/>
              <w:rPr>
                <w:b/>
                <w:bCs/>
                <w:color w:val="auto"/>
                <w:highlight w:val="none"/>
              </w:rPr>
            </w:pPr>
            <w:r>
              <w:rPr>
                <w:rFonts w:hint="eastAsia"/>
                <w:b/>
                <w:bCs/>
                <w:color w:val="auto"/>
                <w:highlight w:val="none"/>
              </w:rPr>
              <w:t>所属工程内容</w:t>
            </w:r>
          </w:p>
        </w:tc>
        <w:tc>
          <w:tcPr>
            <w:tcW w:w="765" w:type="pct"/>
            <w:tcBorders>
              <w:top w:val="single" w:color="auto" w:sz="12" w:space="0"/>
            </w:tcBorders>
            <w:vAlign w:val="center"/>
          </w:tcPr>
          <w:p w14:paraId="7DE8AC8B">
            <w:pPr>
              <w:spacing w:after="0" w:line="240" w:lineRule="auto"/>
              <w:jc w:val="center"/>
              <w:rPr>
                <w:b/>
                <w:bCs/>
                <w:color w:val="auto"/>
                <w:highlight w:val="none"/>
              </w:rPr>
            </w:pPr>
            <w:r>
              <w:rPr>
                <w:rFonts w:hint="eastAsia"/>
                <w:b/>
                <w:bCs/>
                <w:color w:val="auto"/>
                <w:highlight w:val="none"/>
              </w:rPr>
              <w:t>申请人</w:t>
            </w:r>
          </w:p>
        </w:tc>
        <w:tc>
          <w:tcPr>
            <w:tcW w:w="765" w:type="pct"/>
            <w:tcBorders>
              <w:top w:val="single" w:color="auto" w:sz="12" w:space="0"/>
              <w:right w:val="single" w:color="auto" w:sz="12" w:space="0"/>
            </w:tcBorders>
            <w:vAlign w:val="center"/>
          </w:tcPr>
          <w:p w14:paraId="36E7F5B2">
            <w:pPr>
              <w:spacing w:after="0" w:line="240" w:lineRule="auto"/>
              <w:jc w:val="center"/>
              <w:rPr>
                <w:b/>
                <w:bCs/>
                <w:color w:val="auto"/>
                <w:highlight w:val="none"/>
              </w:rPr>
            </w:pPr>
            <w:r>
              <w:rPr>
                <w:rFonts w:hint="eastAsia"/>
                <w:b/>
                <w:bCs/>
                <w:color w:val="auto"/>
                <w:highlight w:val="none"/>
              </w:rPr>
              <w:t>申请公布日期</w:t>
            </w:r>
          </w:p>
        </w:tc>
      </w:tr>
      <w:tr w14:paraId="35CF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pct"/>
            <w:vMerge w:val="continue"/>
            <w:tcBorders>
              <w:left w:val="single" w:color="auto" w:sz="12" w:space="0"/>
            </w:tcBorders>
            <w:vAlign w:val="center"/>
          </w:tcPr>
          <w:p w14:paraId="0C67694C">
            <w:pPr>
              <w:spacing w:after="0" w:line="240" w:lineRule="auto"/>
              <w:jc w:val="center"/>
              <w:rPr>
                <w:b/>
                <w:bCs/>
                <w:color w:val="auto"/>
                <w:highlight w:val="none"/>
              </w:rPr>
            </w:pPr>
          </w:p>
        </w:tc>
        <w:tc>
          <w:tcPr>
            <w:tcW w:w="523" w:type="pct"/>
            <w:vAlign w:val="center"/>
          </w:tcPr>
          <w:p w14:paraId="1AF39B40">
            <w:pPr>
              <w:spacing w:after="0" w:line="240" w:lineRule="auto"/>
              <w:jc w:val="center"/>
              <w:rPr>
                <w:color w:val="auto"/>
                <w:highlight w:val="none"/>
              </w:rPr>
            </w:pPr>
            <w:r>
              <w:rPr>
                <w:rFonts w:hint="eastAsia"/>
                <w:color w:val="auto"/>
                <w:highlight w:val="none"/>
              </w:rPr>
              <w:t>第一项</w:t>
            </w:r>
          </w:p>
        </w:tc>
        <w:tc>
          <w:tcPr>
            <w:tcW w:w="765" w:type="pct"/>
            <w:vAlign w:val="center"/>
          </w:tcPr>
          <w:p w14:paraId="7F4522D2">
            <w:pPr>
              <w:spacing w:after="0" w:line="240" w:lineRule="auto"/>
              <w:jc w:val="center"/>
              <w:rPr>
                <w:color w:val="auto"/>
                <w:highlight w:val="none"/>
              </w:rPr>
            </w:pPr>
            <w:r>
              <w:rPr>
                <w:rFonts w:hint="eastAsia"/>
                <w:color w:val="auto"/>
                <w:highlight w:val="none"/>
              </w:rPr>
              <w:t>/</w:t>
            </w:r>
          </w:p>
        </w:tc>
        <w:tc>
          <w:tcPr>
            <w:tcW w:w="765" w:type="pct"/>
            <w:vAlign w:val="center"/>
          </w:tcPr>
          <w:p w14:paraId="019CA33D">
            <w:pPr>
              <w:spacing w:after="0" w:line="240" w:lineRule="auto"/>
              <w:jc w:val="center"/>
              <w:rPr>
                <w:color w:val="auto"/>
                <w:highlight w:val="none"/>
              </w:rPr>
            </w:pPr>
            <w:r>
              <w:rPr>
                <w:rFonts w:hint="eastAsia"/>
                <w:color w:val="auto"/>
                <w:highlight w:val="none"/>
              </w:rPr>
              <w:t>/</w:t>
            </w:r>
          </w:p>
        </w:tc>
        <w:tc>
          <w:tcPr>
            <w:tcW w:w="765" w:type="pct"/>
            <w:vAlign w:val="center"/>
          </w:tcPr>
          <w:p w14:paraId="6750509B">
            <w:pPr>
              <w:spacing w:after="0" w:line="240" w:lineRule="auto"/>
              <w:jc w:val="center"/>
              <w:rPr>
                <w:color w:val="auto"/>
                <w:highlight w:val="none"/>
              </w:rPr>
            </w:pPr>
            <w:r>
              <w:rPr>
                <w:rFonts w:hint="eastAsia"/>
                <w:color w:val="auto"/>
                <w:highlight w:val="none"/>
              </w:rPr>
              <w:t>/</w:t>
            </w:r>
          </w:p>
        </w:tc>
        <w:tc>
          <w:tcPr>
            <w:tcW w:w="765" w:type="pct"/>
            <w:vAlign w:val="center"/>
          </w:tcPr>
          <w:p w14:paraId="7EEA380A">
            <w:pPr>
              <w:spacing w:after="0" w:line="240" w:lineRule="auto"/>
              <w:jc w:val="center"/>
              <w:rPr>
                <w:color w:val="auto"/>
                <w:highlight w:val="none"/>
              </w:rPr>
            </w:pPr>
            <w:r>
              <w:rPr>
                <w:rFonts w:hint="eastAsia"/>
                <w:color w:val="auto"/>
                <w:highlight w:val="none"/>
              </w:rPr>
              <w:t>/</w:t>
            </w:r>
          </w:p>
        </w:tc>
        <w:tc>
          <w:tcPr>
            <w:tcW w:w="765" w:type="pct"/>
            <w:tcBorders>
              <w:right w:val="single" w:color="auto" w:sz="12" w:space="0"/>
            </w:tcBorders>
            <w:vAlign w:val="center"/>
          </w:tcPr>
          <w:p w14:paraId="76729510">
            <w:pPr>
              <w:spacing w:after="0" w:line="240" w:lineRule="auto"/>
              <w:jc w:val="center"/>
              <w:rPr>
                <w:color w:val="auto"/>
                <w:highlight w:val="none"/>
              </w:rPr>
            </w:pPr>
            <w:r>
              <w:rPr>
                <w:rFonts w:hint="eastAsia"/>
                <w:color w:val="auto"/>
                <w:highlight w:val="none"/>
              </w:rPr>
              <w:t>/</w:t>
            </w:r>
          </w:p>
        </w:tc>
      </w:tr>
      <w:tr w14:paraId="738B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pct"/>
            <w:vMerge w:val="continue"/>
            <w:tcBorders>
              <w:left w:val="single" w:color="auto" w:sz="12" w:space="0"/>
            </w:tcBorders>
            <w:vAlign w:val="center"/>
          </w:tcPr>
          <w:p w14:paraId="48BF8835">
            <w:pPr>
              <w:spacing w:after="0" w:line="240" w:lineRule="auto"/>
              <w:jc w:val="center"/>
              <w:rPr>
                <w:b/>
                <w:bCs/>
                <w:color w:val="auto"/>
                <w:highlight w:val="none"/>
              </w:rPr>
            </w:pPr>
          </w:p>
        </w:tc>
        <w:tc>
          <w:tcPr>
            <w:tcW w:w="523" w:type="pct"/>
            <w:vAlign w:val="center"/>
          </w:tcPr>
          <w:p w14:paraId="5F235676">
            <w:pPr>
              <w:spacing w:after="0" w:line="240" w:lineRule="auto"/>
              <w:jc w:val="center"/>
              <w:rPr>
                <w:color w:val="auto"/>
                <w:highlight w:val="none"/>
              </w:rPr>
            </w:pPr>
            <w:r>
              <w:rPr>
                <w:rFonts w:hint="eastAsia"/>
                <w:color w:val="auto"/>
                <w:highlight w:val="none"/>
              </w:rPr>
              <w:t>第二项</w:t>
            </w:r>
          </w:p>
        </w:tc>
        <w:tc>
          <w:tcPr>
            <w:tcW w:w="765" w:type="pct"/>
            <w:vAlign w:val="center"/>
          </w:tcPr>
          <w:p w14:paraId="1C221FFE">
            <w:pPr>
              <w:spacing w:after="0" w:line="240" w:lineRule="auto"/>
              <w:jc w:val="center"/>
              <w:rPr>
                <w:color w:val="auto"/>
                <w:highlight w:val="none"/>
              </w:rPr>
            </w:pPr>
            <w:r>
              <w:rPr>
                <w:rFonts w:hint="eastAsia"/>
                <w:color w:val="auto"/>
                <w:highlight w:val="none"/>
              </w:rPr>
              <w:t>/</w:t>
            </w:r>
          </w:p>
        </w:tc>
        <w:tc>
          <w:tcPr>
            <w:tcW w:w="765" w:type="pct"/>
            <w:vAlign w:val="center"/>
          </w:tcPr>
          <w:p w14:paraId="3AC8DCA2">
            <w:pPr>
              <w:spacing w:after="0" w:line="240" w:lineRule="auto"/>
              <w:jc w:val="center"/>
              <w:rPr>
                <w:color w:val="auto"/>
                <w:highlight w:val="none"/>
              </w:rPr>
            </w:pPr>
            <w:r>
              <w:rPr>
                <w:rFonts w:hint="eastAsia"/>
                <w:color w:val="auto"/>
                <w:highlight w:val="none"/>
              </w:rPr>
              <w:t>/</w:t>
            </w:r>
          </w:p>
        </w:tc>
        <w:tc>
          <w:tcPr>
            <w:tcW w:w="765" w:type="pct"/>
            <w:vAlign w:val="center"/>
          </w:tcPr>
          <w:p w14:paraId="2FCC66E9">
            <w:pPr>
              <w:spacing w:after="0" w:line="240" w:lineRule="auto"/>
              <w:jc w:val="center"/>
              <w:rPr>
                <w:color w:val="auto"/>
                <w:highlight w:val="none"/>
              </w:rPr>
            </w:pPr>
            <w:r>
              <w:rPr>
                <w:rFonts w:hint="eastAsia"/>
                <w:color w:val="auto"/>
                <w:highlight w:val="none"/>
              </w:rPr>
              <w:t>/</w:t>
            </w:r>
          </w:p>
        </w:tc>
        <w:tc>
          <w:tcPr>
            <w:tcW w:w="765" w:type="pct"/>
            <w:vAlign w:val="center"/>
          </w:tcPr>
          <w:p w14:paraId="01F77775">
            <w:pPr>
              <w:spacing w:after="0" w:line="240" w:lineRule="auto"/>
              <w:jc w:val="center"/>
              <w:rPr>
                <w:color w:val="auto"/>
                <w:highlight w:val="none"/>
              </w:rPr>
            </w:pPr>
            <w:r>
              <w:rPr>
                <w:rFonts w:hint="eastAsia"/>
                <w:color w:val="auto"/>
                <w:highlight w:val="none"/>
              </w:rPr>
              <w:t>/</w:t>
            </w:r>
          </w:p>
        </w:tc>
        <w:tc>
          <w:tcPr>
            <w:tcW w:w="765" w:type="pct"/>
            <w:tcBorders>
              <w:right w:val="single" w:color="auto" w:sz="12" w:space="0"/>
            </w:tcBorders>
            <w:vAlign w:val="center"/>
          </w:tcPr>
          <w:p w14:paraId="23F98EDB">
            <w:pPr>
              <w:spacing w:after="0" w:line="240" w:lineRule="auto"/>
              <w:jc w:val="center"/>
              <w:rPr>
                <w:color w:val="auto"/>
                <w:highlight w:val="none"/>
              </w:rPr>
            </w:pPr>
            <w:r>
              <w:rPr>
                <w:rFonts w:hint="eastAsia"/>
                <w:color w:val="auto"/>
                <w:highlight w:val="none"/>
              </w:rPr>
              <w:t>/</w:t>
            </w:r>
          </w:p>
        </w:tc>
      </w:tr>
      <w:tr w14:paraId="7706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pct"/>
            <w:vMerge w:val="continue"/>
            <w:tcBorders>
              <w:left w:val="single" w:color="auto" w:sz="12" w:space="0"/>
            </w:tcBorders>
            <w:vAlign w:val="center"/>
          </w:tcPr>
          <w:p w14:paraId="6E2D7F9F">
            <w:pPr>
              <w:spacing w:after="0" w:line="240" w:lineRule="auto"/>
              <w:jc w:val="center"/>
              <w:rPr>
                <w:b/>
                <w:bCs/>
                <w:color w:val="auto"/>
                <w:highlight w:val="none"/>
              </w:rPr>
            </w:pPr>
          </w:p>
        </w:tc>
        <w:tc>
          <w:tcPr>
            <w:tcW w:w="523" w:type="pct"/>
            <w:vAlign w:val="center"/>
          </w:tcPr>
          <w:p w14:paraId="348E3FFF">
            <w:pPr>
              <w:spacing w:after="0" w:line="240" w:lineRule="auto"/>
              <w:jc w:val="center"/>
              <w:rPr>
                <w:color w:val="auto"/>
                <w:highlight w:val="none"/>
              </w:rPr>
            </w:pPr>
            <w:r>
              <w:rPr>
                <w:rFonts w:hint="eastAsia"/>
                <w:color w:val="auto"/>
                <w:highlight w:val="none"/>
              </w:rPr>
              <w:t>第三项</w:t>
            </w:r>
          </w:p>
        </w:tc>
        <w:tc>
          <w:tcPr>
            <w:tcW w:w="765" w:type="pct"/>
            <w:vAlign w:val="center"/>
          </w:tcPr>
          <w:p w14:paraId="507B46D1">
            <w:pPr>
              <w:spacing w:after="0" w:line="240" w:lineRule="auto"/>
              <w:jc w:val="center"/>
              <w:rPr>
                <w:color w:val="auto"/>
                <w:highlight w:val="none"/>
              </w:rPr>
            </w:pPr>
            <w:r>
              <w:rPr>
                <w:rFonts w:hint="eastAsia"/>
                <w:color w:val="auto"/>
                <w:highlight w:val="none"/>
              </w:rPr>
              <w:t>/</w:t>
            </w:r>
          </w:p>
        </w:tc>
        <w:tc>
          <w:tcPr>
            <w:tcW w:w="765" w:type="pct"/>
            <w:vAlign w:val="center"/>
          </w:tcPr>
          <w:p w14:paraId="1CFC1573">
            <w:pPr>
              <w:spacing w:after="0" w:line="240" w:lineRule="auto"/>
              <w:jc w:val="center"/>
              <w:rPr>
                <w:color w:val="auto"/>
                <w:highlight w:val="none"/>
              </w:rPr>
            </w:pPr>
            <w:r>
              <w:rPr>
                <w:rFonts w:hint="eastAsia"/>
                <w:color w:val="auto"/>
                <w:highlight w:val="none"/>
              </w:rPr>
              <w:t>/</w:t>
            </w:r>
          </w:p>
        </w:tc>
        <w:tc>
          <w:tcPr>
            <w:tcW w:w="765" w:type="pct"/>
            <w:vAlign w:val="center"/>
          </w:tcPr>
          <w:p w14:paraId="2ABF642C">
            <w:pPr>
              <w:spacing w:after="0" w:line="240" w:lineRule="auto"/>
              <w:jc w:val="center"/>
              <w:rPr>
                <w:color w:val="auto"/>
                <w:highlight w:val="none"/>
              </w:rPr>
            </w:pPr>
            <w:r>
              <w:rPr>
                <w:rFonts w:hint="eastAsia"/>
                <w:color w:val="auto"/>
                <w:highlight w:val="none"/>
              </w:rPr>
              <w:t>/</w:t>
            </w:r>
          </w:p>
        </w:tc>
        <w:tc>
          <w:tcPr>
            <w:tcW w:w="765" w:type="pct"/>
            <w:vAlign w:val="center"/>
          </w:tcPr>
          <w:p w14:paraId="25A78495">
            <w:pPr>
              <w:spacing w:after="0" w:line="240" w:lineRule="auto"/>
              <w:jc w:val="center"/>
              <w:rPr>
                <w:color w:val="auto"/>
                <w:highlight w:val="none"/>
              </w:rPr>
            </w:pPr>
            <w:r>
              <w:rPr>
                <w:rFonts w:hint="eastAsia"/>
                <w:color w:val="auto"/>
                <w:highlight w:val="none"/>
              </w:rPr>
              <w:t>/</w:t>
            </w:r>
          </w:p>
        </w:tc>
        <w:tc>
          <w:tcPr>
            <w:tcW w:w="765" w:type="pct"/>
            <w:tcBorders>
              <w:right w:val="single" w:color="auto" w:sz="12" w:space="0"/>
            </w:tcBorders>
            <w:vAlign w:val="center"/>
          </w:tcPr>
          <w:p w14:paraId="3552F9F8">
            <w:pPr>
              <w:spacing w:after="0" w:line="240" w:lineRule="auto"/>
              <w:jc w:val="center"/>
              <w:rPr>
                <w:color w:val="auto"/>
                <w:highlight w:val="none"/>
              </w:rPr>
            </w:pPr>
            <w:r>
              <w:rPr>
                <w:rFonts w:hint="eastAsia"/>
                <w:color w:val="auto"/>
                <w:highlight w:val="none"/>
              </w:rPr>
              <w:t>/</w:t>
            </w:r>
          </w:p>
        </w:tc>
      </w:tr>
      <w:tr w14:paraId="7C54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6" w:type="pct"/>
            <w:vMerge w:val="continue"/>
            <w:tcBorders>
              <w:left w:val="single" w:color="auto" w:sz="12" w:space="0"/>
              <w:bottom w:val="single" w:color="auto" w:sz="12" w:space="0"/>
            </w:tcBorders>
            <w:vAlign w:val="center"/>
          </w:tcPr>
          <w:p w14:paraId="12FC2226">
            <w:pPr>
              <w:spacing w:after="0" w:line="240" w:lineRule="auto"/>
              <w:jc w:val="center"/>
              <w:rPr>
                <w:b/>
                <w:bCs/>
                <w:color w:val="auto"/>
                <w:highlight w:val="none"/>
              </w:rPr>
            </w:pPr>
          </w:p>
        </w:tc>
        <w:tc>
          <w:tcPr>
            <w:tcW w:w="523" w:type="pct"/>
            <w:tcBorders>
              <w:bottom w:val="single" w:color="auto" w:sz="12" w:space="0"/>
            </w:tcBorders>
            <w:vAlign w:val="center"/>
          </w:tcPr>
          <w:p w14:paraId="191943EE">
            <w:pPr>
              <w:spacing w:after="0" w:line="240" w:lineRule="auto"/>
              <w:jc w:val="center"/>
              <w:rPr>
                <w:color w:val="auto"/>
                <w:highlight w:val="none"/>
              </w:rPr>
            </w:pPr>
            <w:r>
              <w:rPr>
                <w:rFonts w:hint="eastAsia"/>
                <w:color w:val="auto"/>
                <w:highlight w:val="none"/>
              </w:rPr>
              <w:t>...</w:t>
            </w:r>
          </w:p>
        </w:tc>
        <w:tc>
          <w:tcPr>
            <w:tcW w:w="765" w:type="pct"/>
            <w:tcBorders>
              <w:bottom w:val="single" w:color="auto" w:sz="12" w:space="0"/>
            </w:tcBorders>
            <w:vAlign w:val="center"/>
          </w:tcPr>
          <w:p w14:paraId="266F8629">
            <w:pPr>
              <w:spacing w:after="0" w:line="240" w:lineRule="auto"/>
              <w:jc w:val="center"/>
              <w:rPr>
                <w:color w:val="auto"/>
                <w:highlight w:val="none"/>
              </w:rPr>
            </w:pPr>
            <w:r>
              <w:rPr>
                <w:rFonts w:hint="eastAsia"/>
                <w:color w:val="auto"/>
                <w:highlight w:val="none"/>
              </w:rPr>
              <w:t>/</w:t>
            </w:r>
          </w:p>
        </w:tc>
        <w:tc>
          <w:tcPr>
            <w:tcW w:w="765" w:type="pct"/>
            <w:tcBorders>
              <w:bottom w:val="single" w:color="auto" w:sz="12" w:space="0"/>
            </w:tcBorders>
            <w:vAlign w:val="center"/>
          </w:tcPr>
          <w:p w14:paraId="5B57575C">
            <w:pPr>
              <w:spacing w:after="0" w:line="240" w:lineRule="auto"/>
              <w:jc w:val="center"/>
              <w:rPr>
                <w:color w:val="auto"/>
                <w:highlight w:val="none"/>
              </w:rPr>
            </w:pPr>
            <w:r>
              <w:rPr>
                <w:rFonts w:hint="eastAsia"/>
                <w:color w:val="auto"/>
                <w:highlight w:val="none"/>
              </w:rPr>
              <w:t>/</w:t>
            </w:r>
          </w:p>
        </w:tc>
        <w:tc>
          <w:tcPr>
            <w:tcW w:w="765" w:type="pct"/>
            <w:tcBorders>
              <w:bottom w:val="single" w:color="auto" w:sz="12" w:space="0"/>
            </w:tcBorders>
            <w:vAlign w:val="center"/>
          </w:tcPr>
          <w:p w14:paraId="5E5D3F9F">
            <w:pPr>
              <w:spacing w:after="0" w:line="240" w:lineRule="auto"/>
              <w:jc w:val="center"/>
              <w:rPr>
                <w:color w:val="auto"/>
                <w:highlight w:val="none"/>
              </w:rPr>
            </w:pPr>
            <w:r>
              <w:rPr>
                <w:rFonts w:hint="eastAsia"/>
                <w:color w:val="auto"/>
                <w:highlight w:val="none"/>
              </w:rPr>
              <w:t>/</w:t>
            </w:r>
          </w:p>
        </w:tc>
        <w:tc>
          <w:tcPr>
            <w:tcW w:w="765" w:type="pct"/>
            <w:tcBorders>
              <w:bottom w:val="single" w:color="auto" w:sz="12" w:space="0"/>
            </w:tcBorders>
            <w:vAlign w:val="center"/>
          </w:tcPr>
          <w:p w14:paraId="2C4CD84C">
            <w:pPr>
              <w:spacing w:after="0" w:line="240" w:lineRule="auto"/>
              <w:jc w:val="center"/>
              <w:rPr>
                <w:color w:val="auto"/>
                <w:highlight w:val="none"/>
              </w:rPr>
            </w:pPr>
            <w:r>
              <w:rPr>
                <w:rFonts w:hint="eastAsia"/>
                <w:color w:val="auto"/>
                <w:highlight w:val="none"/>
              </w:rPr>
              <w:t>/</w:t>
            </w:r>
          </w:p>
        </w:tc>
        <w:tc>
          <w:tcPr>
            <w:tcW w:w="765" w:type="pct"/>
            <w:tcBorders>
              <w:bottom w:val="single" w:color="auto" w:sz="12" w:space="0"/>
              <w:right w:val="single" w:color="auto" w:sz="12" w:space="0"/>
            </w:tcBorders>
            <w:vAlign w:val="center"/>
          </w:tcPr>
          <w:p w14:paraId="668FFA84">
            <w:pPr>
              <w:spacing w:after="0" w:line="240" w:lineRule="auto"/>
              <w:jc w:val="center"/>
              <w:rPr>
                <w:color w:val="auto"/>
                <w:highlight w:val="none"/>
              </w:rPr>
            </w:pPr>
            <w:r>
              <w:rPr>
                <w:rFonts w:hint="eastAsia"/>
                <w:color w:val="auto"/>
                <w:highlight w:val="none"/>
              </w:rPr>
              <w:t>/</w:t>
            </w:r>
          </w:p>
        </w:tc>
      </w:tr>
    </w:tbl>
    <w:p w14:paraId="493C6396">
      <w:pPr>
        <w:rPr>
          <w:color w:val="auto"/>
          <w:sz w:val="24"/>
          <w:highlight w:val="none"/>
        </w:rPr>
      </w:pPr>
    </w:p>
    <w:p w14:paraId="4D4A7F48">
      <w:pPr>
        <w:rPr>
          <w:color w:val="auto"/>
          <w:highlight w:val="none"/>
        </w:rPr>
      </w:pPr>
    </w:p>
    <w:p w14:paraId="6EB50A38">
      <w:pPr>
        <w:rPr>
          <w:rFonts w:hint="eastAsia" w:ascii="宋体" w:hAnsi="宋体" w:cs="宋体"/>
          <w:snapToGrid w:val="0"/>
          <w:color w:val="auto"/>
          <w:kern w:val="0"/>
          <w:szCs w:val="21"/>
          <w:highlight w:val="none"/>
        </w:rPr>
      </w:pPr>
    </w:p>
    <w:p w14:paraId="09C11D04">
      <w:pPr>
        <w:rPr>
          <w:rFonts w:hint="eastAsia" w:ascii="宋体" w:hAnsi="宋体" w:cs="宋体"/>
          <w:snapToGrid w:val="0"/>
          <w:color w:val="auto"/>
          <w:kern w:val="0"/>
          <w:szCs w:val="21"/>
          <w:highlight w:val="none"/>
        </w:rPr>
      </w:pPr>
    </w:p>
    <w:p w14:paraId="65E652F2">
      <w:pPr>
        <w:pStyle w:val="3"/>
        <w:jc w:val="center"/>
        <w:rPr>
          <w:rFonts w:ascii="Times New Roman" w:hAnsi="Times New Roman" w:eastAsia="黑体"/>
          <w:color w:val="auto"/>
          <w:sz w:val="30"/>
          <w:szCs w:val="30"/>
          <w:highlight w:val="none"/>
        </w:rPr>
      </w:pPr>
      <w:bookmarkStart w:id="1213" w:name="_Toc211498768"/>
      <w:r>
        <w:rPr>
          <w:rFonts w:hint="eastAsia" w:ascii="Times New Roman" w:hAnsi="Times New Roman" w:eastAsia="黑体"/>
          <w:color w:val="auto"/>
          <w:sz w:val="30"/>
          <w:szCs w:val="30"/>
          <w:highlight w:val="none"/>
        </w:rPr>
        <w:t>7.</w:t>
      </w:r>
      <w:r>
        <w:rPr>
          <w:rFonts w:ascii="Times New Roman" w:hAnsi="Times New Roman" w:eastAsia="黑体"/>
          <w:color w:val="auto"/>
          <w:sz w:val="30"/>
          <w:szCs w:val="30"/>
          <w:highlight w:val="none"/>
        </w:rPr>
        <w:t>拟分包计划表</w:t>
      </w:r>
      <w:bookmarkEnd w:id="1213"/>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14:paraId="4E9C8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Borders>
              <w:tl2br w:val="nil"/>
              <w:tr2bl w:val="nil"/>
            </w:tcBorders>
            <w:tcMar>
              <w:left w:w="108" w:type="dxa"/>
              <w:right w:w="108" w:type="dxa"/>
            </w:tcMar>
            <w:vAlign w:val="center"/>
          </w:tcPr>
          <w:p w14:paraId="03BD515C">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915" w:type="dxa"/>
            <w:vMerge w:val="restart"/>
            <w:tcBorders>
              <w:tl2br w:val="nil"/>
              <w:tr2bl w:val="nil"/>
            </w:tcBorders>
            <w:vAlign w:val="center"/>
          </w:tcPr>
          <w:p w14:paraId="761DDAA5">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拟分包项目名称、范围及理由</w:t>
            </w:r>
          </w:p>
        </w:tc>
        <w:tc>
          <w:tcPr>
            <w:tcW w:w="4901" w:type="dxa"/>
            <w:gridSpan w:val="5"/>
            <w:tcBorders>
              <w:tl2br w:val="nil"/>
              <w:tr2bl w:val="nil"/>
            </w:tcBorders>
            <w:vAlign w:val="center"/>
          </w:tcPr>
          <w:p w14:paraId="2BFE7696">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拟选分包人</w:t>
            </w:r>
          </w:p>
        </w:tc>
        <w:tc>
          <w:tcPr>
            <w:tcW w:w="639" w:type="dxa"/>
            <w:vMerge w:val="restart"/>
            <w:tcBorders>
              <w:tl2br w:val="nil"/>
              <w:tr2bl w:val="nil"/>
            </w:tcBorders>
            <w:vAlign w:val="center"/>
          </w:tcPr>
          <w:p w14:paraId="26658D5E">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148F2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Borders>
              <w:tl2br w:val="nil"/>
              <w:tr2bl w:val="nil"/>
            </w:tcBorders>
            <w:tcMar>
              <w:left w:w="108" w:type="dxa"/>
              <w:right w:w="108" w:type="dxa"/>
            </w:tcMar>
            <w:vAlign w:val="center"/>
          </w:tcPr>
          <w:p w14:paraId="0C42D0C3">
            <w:pPr>
              <w:spacing w:after="0" w:line="240" w:lineRule="auto"/>
              <w:jc w:val="center"/>
              <w:rPr>
                <w:rFonts w:hint="eastAsia" w:ascii="宋体" w:hAnsi="宋体" w:cs="宋体"/>
                <w:b/>
                <w:bCs/>
                <w:color w:val="auto"/>
                <w:szCs w:val="21"/>
                <w:highlight w:val="none"/>
              </w:rPr>
            </w:pPr>
          </w:p>
        </w:tc>
        <w:tc>
          <w:tcPr>
            <w:tcW w:w="1915" w:type="dxa"/>
            <w:vMerge w:val="continue"/>
            <w:tcBorders>
              <w:tl2br w:val="nil"/>
              <w:tr2bl w:val="nil"/>
            </w:tcBorders>
            <w:vAlign w:val="center"/>
          </w:tcPr>
          <w:p w14:paraId="76750E53">
            <w:pPr>
              <w:spacing w:after="0" w:line="240" w:lineRule="auto"/>
              <w:jc w:val="center"/>
              <w:rPr>
                <w:rFonts w:hint="eastAsia" w:ascii="宋体" w:hAnsi="宋体" w:cs="宋体"/>
                <w:b/>
                <w:bCs/>
                <w:color w:val="auto"/>
                <w:szCs w:val="21"/>
                <w:highlight w:val="none"/>
              </w:rPr>
            </w:pPr>
          </w:p>
        </w:tc>
        <w:tc>
          <w:tcPr>
            <w:tcW w:w="1701" w:type="dxa"/>
            <w:gridSpan w:val="2"/>
            <w:tcBorders>
              <w:tl2br w:val="nil"/>
              <w:tr2bl w:val="nil"/>
            </w:tcBorders>
            <w:vAlign w:val="center"/>
          </w:tcPr>
          <w:p w14:paraId="5B4851C1">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拟选分包人名称</w:t>
            </w:r>
          </w:p>
        </w:tc>
        <w:tc>
          <w:tcPr>
            <w:tcW w:w="1070" w:type="dxa"/>
            <w:tcBorders>
              <w:tl2br w:val="nil"/>
              <w:tr2bl w:val="nil"/>
            </w:tcBorders>
            <w:vAlign w:val="center"/>
          </w:tcPr>
          <w:p w14:paraId="1BD87DBB">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注册地点</w:t>
            </w:r>
          </w:p>
        </w:tc>
        <w:tc>
          <w:tcPr>
            <w:tcW w:w="1065" w:type="dxa"/>
            <w:tcBorders>
              <w:tl2br w:val="nil"/>
              <w:tr2bl w:val="nil"/>
            </w:tcBorders>
            <w:vAlign w:val="center"/>
          </w:tcPr>
          <w:p w14:paraId="29AF480E">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企业资质</w:t>
            </w:r>
          </w:p>
        </w:tc>
        <w:tc>
          <w:tcPr>
            <w:tcW w:w="1065" w:type="dxa"/>
            <w:tcBorders>
              <w:tl2br w:val="nil"/>
              <w:tr2bl w:val="nil"/>
            </w:tcBorders>
            <w:vAlign w:val="center"/>
          </w:tcPr>
          <w:p w14:paraId="0A333599">
            <w:pPr>
              <w:spacing w:after="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有关业绩</w:t>
            </w:r>
          </w:p>
        </w:tc>
        <w:tc>
          <w:tcPr>
            <w:tcW w:w="639" w:type="dxa"/>
            <w:vMerge w:val="continue"/>
            <w:tcBorders>
              <w:tl2br w:val="nil"/>
              <w:tr2bl w:val="nil"/>
            </w:tcBorders>
            <w:vAlign w:val="center"/>
          </w:tcPr>
          <w:p w14:paraId="34DE35FE">
            <w:pPr>
              <w:spacing w:after="0" w:line="240" w:lineRule="auto"/>
              <w:jc w:val="center"/>
              <w:rPr>
                <w:rFonts w:hint="eastAsia" w:ascii="宋体" w:hAnsi="宋体" w:cs="宋体"/>
                <w:b/>
                <w:bCs/>
                <w:color w:val="auto"/>
                <w:szCs w:val="21"/>
                <w:highlight w:val="none"/>
              </w:rPr>
            </w:pPr>
          </w:p>
        </w:tc>
      </w:tr>
      <w:tr w14:paraId="353B5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Borders>
              <w:tl2br w:val="nil"/>
              <w:tr2bl w:val="nil"/>
            </w:tcBorders>
            <w:tcMar>
              <w:left w:w="108" w:type="dxa"/>
              <w:right w:w="108" w:type="dxa"/>
            </w:tcMar>
            <w:vAlign w:val="center"/>
          </w:tcPr>
          <w:p w14:paraId="392915A7">
            <w:pPr>
              <w:spacing w:after="0" w:line="240" w:lineRule="auto"/>
              <w:jc w:val="center"/>
              <w:rPr>
                <w:rFonts w:hint="eastAsia" w:ascii="宋体" w:hAnsi="宋体" w:cs="宋体"/>
                <w:b/>
                <w:bCs/>
                <w:color w:val="auto"/>
                <w:szCs w:val="21"/>
                <w:highlight w:val="none"/>
              </w:rPr>
            </w:pPr>
          </w:p>
        </w:tc>
        <w:tc>
          <w:tcPr>
            <w:tcW w:w="1915" w:type="dxa"/>
            <w:vMerge w:val="restart"/>
            <w:tcBorders>
              <w:tl2br w:val="nil"/>
              <w:tr2bl w:val="nil"/>
            </w:tcBorders>
            <w:vAlign w:val="center"/>
          </w:tcPr>
          <w:p w14:paraId="7CA01DFF">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1596757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tcBorders>
              <w:tl2br w:val="nil"/>
              <w:tr2bl w:val="nil"/>
            </w:tcBorders>
            <w:vAlign w:val="center"/>
          </w:tcPr>
          <w:p w14:paraId="44ECE478">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308DD8F6">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3BA03C85">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7D07C438">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4D5BBE76">
            <w:pPr>
              <w:spacing w:after="0" w:line="240" w:lineRule="auto"/>
              <w:jc w:val="center"/>
              <w:rPr>
                <w:rFonts w:hint="eastAsia" w:ascii="宋体" w:hAnsi="宋体" w:cs="宋体"/>
                <w:b/>
                <w:bCs/>
                <w:color w:val="auto"/>
                <w:szCs w:val="21"/>
                <w:highlight w:val="none"/>
              </w:rPr>
            </w:pPr>
          </w:p>
        </w:tc>
      </w:tr>
      <w:tr w14:paraId="3A297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Borders>
              <w:tl2br w:val="nil"/>
              <w:tr2bl w:val="nil"/>
            </w:tcBorders>
            <w:tcMar>
              <w:left w:w="108" w:type="dxa"/>
              <w:right w:w="108" w:type="dxa"/>
            </w:tcMar>
            <w:vAlign w:val="center"/>
          </w:tcPr>
          <w:p w14:paraId="0F78A0EE">
            <w:pPr>
              <w:spacing w:after="0" w:line="240" w:lineRule="auto"/>
              <w:jc w:val="center"/>
              <w:rPr>
                <w:rFonts w:hint="eastAsia" w:ascii="宋体" w:hAnsi="宋体" w:cs="宋体"/>
                <w:b/>
                <w:bCs/>
                <w:color w:val="auto"/>
                <w:szCs w:val="21"/>
                <w:highlight w:val="none"/>
              </w:rPr>
            </w:pPr>
          </w:p>
        </w:tc>
        <w:tc>
          <w:tcPr>
            <w:tcW w:w="1915" w:type="dxa"/>
            <w:vMerge w:val="continue"/>
            <w:tcBorders>
              <w:tl2br w:val="nil"/>
              <w:tr2bl w:val="nil"/>
            </w:tcBorders>
            <w:vAlign w:val="center"/>
          </w:tcPr>
          <w:p w14:paraId="56D604D7">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182C935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tcBorders>
              <w:tl2br w:val="nil"/>
              <w:tr2bl w:val="nil"/>
            </w:tcBorders>
            <w:vAlign w:val="center"/>
          </w:tcPr>
          <w:p w14:paraId="583611B5">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22E2F75A">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73D82879">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052ED527">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729E79F5">
            <w:pPr>
              <w:spacing w:after="0" w:line="240" w:lineRule="auto"/>
              <w:jc w:val="center"/>
              <w:rPr>
                <w:rFonts w:hint="eastAsia" w:ascii="宋体" w:hAnsi="宋体" w:cs="宋体"/>
                <w:b/>
                <w:bCs/>
                <w:color w:val="auto"/>
                <w:szCs w:val="21"/>
                <w:highlight w:val="none"/>
              </w:rPr>
            </w:pPr>
          </w:p>
        </w:tc>
      </w:tr>
      <w:tr w14:paraId="15484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Borders>
              <w:tl2br w:val="nil"/>
              <w:tr2bl w:val="nil"/>
            </w:tcBorders>
            <w:tcMar>
              <w:left w:w="108" w:type="dxa"/>
              <w:right w:w="108" w:type="dxa"/>
            </w:tcMar>
            <w:vAlign w:val="center"/>
          </w:tcPr>
          <w:p w14:paraId="3DAA5F6F">
            <w:pPr>
              <w:spacing w:after="0" w:line="240" w:lineRule="auto"/>
              <w:jc w:val="center"/>
              <w:rPr>
                <w:rFonts w:hint="eastAsia" w:ascii="宋体" w:hAnsi="宋体" w:cs="宋体"/>
                <w:b/>
                <w:bCs/>
                <w:color w:val="auto"/>
                <w:szCs w:val="21"/>
                <w:highlight w:val="none"/>
              </w:rPr>
            </w:pPr>
          </w:p>
        </w:tc>
        <w:tc>
          <w:tcPr>
            <w:tcW w:w="1915" w:type="dxa"/>
            <w:vMerge w:val="continue"/>
            <w:tcBorders>
              <w:tl2br w:val="nil"/>
              <w:tr2bl w:val="nil"/>
            </w:tcBorders>
            <w:vAlign w:val="center"/>
          </w:tcPr>
          <w:p w14:paraId="20739F3E">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5B36626F">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tcBorders>
              <w:tl2br w:val="nil"/>
              <w:tr2bl w:val="nil"/>
            </w:tcBorders>
            <w:vAlign w:val="center"/>
          </w:tcPr>
          <w:p w14:paraId="3AA4AB2B">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759B91CC">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6A3AA805">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68094B4A">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7BDE83A9">
            <w:pPr>
              <w:spacing w:after="0" w:line="240" w:lineRule="auto"/>
              <w:jc w:val="center"/>
              <w:rPr>
                <w:rFonts w:hint="eastAsia" w:ascii="宋体" w:hAnsi="宋体" w:cs="宋体"/>
                <w:b/>
                <w:bCs/>
                <w:color w:val="auto"/>
                <w:szCs w:val="21"/>
                <w:highlight w:val="none"/>
              </w:rPr>
            </w:pPr>
          </w:p>
        </w:tc>
      </w:tr>
      <w:tr w14:paraId="404C6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Borders>
              <w:tl2br w:val="nil"/>
              <w:tr2bl w:val="nil"/>
            </w:tcBorders>
            <w:tcMar>
              <w:left w:w="108" w:type="dxa"/>
              <w:right w:w="108" w:type="dxa"/>
            </w:tcMar>
            <w:vAlign w:val="center"/>
          </w:tcPr>
          <w:p w14:paraId="3DC86112">
            <w:pPr>
              <w:spacing w:after="0" w:line="240" w:lineRule="auto"/>
              <w:jc w:val="center"/>
              <w:rPr>
                <w:rFonts w:hint="eastAsia" w:ascii="宋体" w:hAnsi="宋体" w:cs="宋体"/>
                <w:b/>
                <w:bCs/>
                <w:color w:val="auto"/>
                <w:szCs w:val="21"/>
                <w:highlight w:val="none"/>
              </w:rPr>
            </w:pPr>
          </w:p>
        </w:tc>
        <w:tc>
          <w:tcPr>
            <w:tcW w:w="1915" w:type="dxa"/>
            <w:vMerge w:val="restart"/>
            <w:tcBorders>
              <w:tl2br w:val="nil"/>
              <w:tr2bl w:val="nil"/>
            </w:tcBorders>
            <w:vAlign w:val="center"/>
          </w:tcPr>
          <w:p w14:paraId="53024AE5">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45288CE1">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tcBorders>
              <w:tl2br w:val="nil"/>
              <w:tr2bl w:val="nil"/>
            </w:tcBorders>
            <w:vAlign w:val="center"/>
          </w:tcPr>
          <w:p w14:paraId="01821A5F">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72779679">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414F355F">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43870879">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7C41DBE4">
            <w:pPr>
              <w:spacing w:after="0" w:line="240" w:lineRule="auto"/>
              <w:jc w:val="center"/>
              <w:rPr>
                <w:rFonts w:hint="eastAsia" w:ascii="宋体" w:hAnsi="宋体" w:cs="宋体"/>
                <w:b/>
                <w:bCs/>
                <w:color w:val="auto"/>
                <w:szCs w:val="21"/>
                <w:highlight w:val="none"/>
              </w:rPr>
            </w:pPr>
          </w:p>
        </w:tc>
      </w:tr>
      <w:tr w14:paraId="317D7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Borders>
              <w:tl2br w:val="nil"/>
              <w:tr2bl w:val="nil"/>
            </w:tcBorders>
            <w:tcMar>
              <w:left w:w="108" w:type="dxa"/>
              <w:right w:w="108" w:type="dxa"/>
            </w:tcMar>
            <w:vAlign w:val="center"/>
          </w:tcPr>
          <w:p w14:paraId="0176CA65">
            <w:pPr>
              <w:spacing w:after="0" w:line="240" w:lineRule="auto"/>
              <w:jc w:val="center"/>
              <w:rPr>
                <w:rFonts w:hint="eastAsia" w:ascii="宋体" w:hAnsi="宋体" w:cs="宋体"/>
                <w:b/>
                <w:bCs/>
                <w:color w:val="auto"/>
                <w:szCs w:val="21"/>
                <w:highlight w:val="none"/>
              </w:rPr>
            </w:pPr>
          </w:p>
        </w:tc>
        <w:tc>
          <w:tcPr>
            <w:tcW w:w="1915" w:type="dxa"/>
            <w:vMerge w:val="continue"/>
            <w:tcBorders>
              <w:tl2br w:val="nil"/>
              <w:tr2bl w:val="nil"/>
            </w:tcBorders>
            <w:vAlign w:val="center"/>
          </w:tcPr>
          <w:p w14:paraId="49AA28F2">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4343E84F">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tcBorders>
              <w:tl2br w:val="nil"/>
              <w:tr2bl w:val="nil"/>
            </w:tcBorders>
            <w:vAlign w:val="center"/>
          </w:tcPr>
          <w:p w14:paraId="66E86081">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36680CA4">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38D143CE">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691DDB90">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640E1B26">
            <w:pPr>
              <w:spacing w:after="0" w:line="240" w:lineRule="auto"/>
              <w:jc w:val="center"/>
              <w:rPr>
                <w:rFonts w:hint="eastAsia" w:ascii="宋体" w:hAnsi="宋体" w:cs="宋体"/>
                <w:b/>
                <w:bCs/>
                <w:color w:val="auto"/>
                <w:szCs w:val="21"/>
                <w:highlight w:val="none"/>
              </w:rPr>
            </w:pPr>
          </w:p>
        </w:tc>
      </w:tr>
      <w:tr w14:paraId="38AA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Borders>
              <w:tl2br w:val="nil"/>
              <w:tr2bl w:val="nil"/>
            </w:tcBorders>
            <w:tcMar>
              <w:left w:w="108" w:type="dxa"/>
              <w:right w:w="108" w:type="dxa"/>
            </w:tcMar>
            <w:vAlign w:val="center"/>
          </w:tcPr>
          <w:p w14:paraId="3F5E419A">
            <w:pPr>
              <w:spacing w:after="0" w:line="240" w:lineRule="auto"/>
              <w:jc w:val="center"/>
              <w:rPr>
                <w:rFonts w:hint="eastAsia" w:ascii="宋体" w:hAnsi="宋体" w:cs="宋体"/>
                <w:b/>
                <w:bCs/>
                <w:color w:val="auto"/>
                <w:szCs w:val="21"/>
                <w:highlight w:val="none"/>
              </w:rPr>
            </w:pPr>
          </w:p>
        </w:tc>
        <w:tc>
          <w:tcPr>
            <w:tcW w:w="1915" w:type="dxa"/>
            <w:vMerge w:val="continue"/>
            <w:tcBorders>
              <w:tl2br w:val="nil"/>
              <w:tr2bl w:val="nil"/>
            </w:tcBorders>
            <w:vAlign w:val="center"/>
          </w:tcPr>
          <w:p w14:paraId="031D8DED">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548D886F">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tcBorders>
              <w:tl2br w:val="nil"/>
              <w:tr2bl w:val="nil"/>
            </w:tcBorders>
            <w:vAlign w:val="center"/>
          </w:tcPr>
          <w:p w14:paraId="562DE5E3">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30C09B11">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71CC4B52">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63B50CBC">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3037A53F">
            <w:pPr>
              <w:spacing w:after="0" w:line="240" w:lineRule="auto"/>
              <w:jc w:val="center"/>
              <w:rPr>
                <w:rFonts w:hint="eastAsia" w:ascii="宋体" w:hAnsi="宋体" w:cs="宋体"/>
                <w:b/>
                <w:bCs/>
                <w:color w:val="auto"/>
                <w:szCs w:val="21"/>
                <w:highlight w:val="none"/>
              </w:rPr>
            </w:pPr>
          </w:p>
        </w:tc>
      </w:tr>
      <w:tr w14:paraId="19208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Borders>
              <w:tl2br w:val="nil"/>
              <w:tr2bl w:val="nil"/>
            </w:tcBorders>
            <w:tcMar>
              <w:left w:w="108" w:type="dxa"/>
              <w:right w:w="108" w:type="dxa"/>
            </w:tcMar>
            <w:vAlign w:val="center"/>
          </w:tcPr>
          <w:p w14:paraId="66318D7E">
            <w:pPr>
              <w:spacing w:after="0" w:line="240" w:lineRule="auto"/>
              <w:jc w:val="center"/>
              <w:rPr>
                <w:rFonts w:hint="eastAsia" w:ascii="宋体" w:hAnsi="宋体" w:cs="宋体"/>
                <w:b/>
                <w:bCs/>
                <w:color w:val="auto"/>
                <w:szCs w:val="21"/>
                <w:highlight w:val="none"/>
              </w:rPr>
            </w:pPr>
          </w:p>
        </w:tc>
        <w:tc>
          <w:tcPr>
            <w:tcW w:w="1915" w:type="dxa"/>
            <w:vMerge w:val="restart"/>
            <w:tcBorders>
              <w:tl2br w:val="nil"/>
              <w:tr2bl w:val="nil"/>
            </w:tcBorders>
            <w:vAlign w:val="center"/>
          </w:tcPr>
          <w:p w14:paraId="7B67CA96">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5182CA90">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tcBorders>
              <w:tl2br w:val="nil"/>
              <w:tr2bl w:val="nil"/>
            </w:tcBorders>
            <w:vAlign w:val="center"/>
          </w:tcPr>
          <w:p w14:paraId="216F20E0">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3DDD04E9">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3D7778E0">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3279D19E">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690B2C56">
            <w:pPr>
              <w:spacing w:after="0" w:line="240" w:lineRule="auto"/>
              <w:jc w:val="center"/>
              <w:rPr>
                <w:rFonts w:hint="eastAsia" w:ascii="宋体" w:hAnsi="宋体" w:cs="宋体"/>
                <w:b/>
                <w:bCs/>
                <w:color w:val="auto"/>
                <w:szCs w:val="21"/>
                <w:highlight w:val="none"/>
              </w:rPr>
            </w:pPr>
          </w:p>
        </w:tc>
      </w:tr>
      <w:tr w14:paraId="69CC5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Borders>
              <w:tl2br w:val="nil"/>
              <w:tr2bl w:val="nil"/>
            </w:tcBorders>
            <w:tcMar>
              <w:left w:w="108" w:type="dxa"/>
              <w:right w:w="108" w:type="dxa"/>
            </w:tcMar>
            <w:vAlign w:val="center"/>
          </w:tcPr>
          <w:p w14:paraId="298B3409">
            <w:pPr>
              <w:spacing w:after="0" w:line="240" w:lineRule="auto"/>
              <w:jc w:val="center"/>
              <w:rPr>
                <w:rFonts w:hint="eastAsia" w:ascii="宋体" w:hAnsi="宋体" w:cs="宋体"/>
                <w:b/>
                <w:bCs/>
                <w:color w:val="auto"/>
                <w:szCs w:val="21"/>
                <w:highlight w:val="none"/>
              </w:rPr>
            </w:pPr>
          </w:p>
        </w:tc>
        <w:tc>
          <w:tcPr>
            <w:tcW w:w="1915" w:type="dxa"/>
            <w:vMerge w:val="continue"/>
            <w:tcBorders>
              <w:tl2br w:val="nil"/>
              <w:tr2bl w:val="nil"/>
            </w:tcBorders>
            <w:vAlign w:val="center"/>
          </w:tcPr>
          <w:p w14:paraId="0E3D7D36">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4233965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tcBorders>
              <w:tl2br w:val="nil"/>
              <w:tr2bl w:val="nil"/>
            </w:tcBorders>
            <w:vAlign w:val="center"/>
          </w:tcPr>
          <w:p w14:paraId="15CC61E0">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51C06390">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58AB32DB">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1829FCAA">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4EC75DB6">
            <w:pPr>
              <w:spacing w:after="0" w:line="240" w:lineRule="auto"/>
              <w:jc w:val="center"/>
              <w:rPr>
                <w:rFonts w:hint="eastAsia" w:ascii="宋体" w:hAnsi="宋体" w:cs="宋体"/>
                <w:b/>
                <w:bCs/>
                <w:color w:val="auto"/>
                <w:szCs w:val="21"/>
                <w:highlight w:val="none"/>
              </w:rPr>
            </w:pPr>
          </w:p>
        </w:tc>
      </w:tr>
      <w:tr w14:paraId="202E4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Borders>
              <w:tl2br w:val="nil"/>
              <w:tr2bl w:val="nil"/>
            </w:tcBorders>
            <w:tcMar>
              <w:left w:w="108" w:type="dxa"/>
              <w:right w:w="108" w:type="dxa"/>
            </w:tcMar>
            <w:vAlign w:val="center"/>
          </w:tcPr>
          <w:p w14:paraId="3DB52782">
            <w:pPr>
              <w:spacing w:after="0" w:line="240" w:lineRule="auto"/>
              <w:jc w:val="center"/>
              <w:rPr>
                <w:rFonts w:hint="eastAsia" w:ascii="宋体" w:hAnsi="宋体" w:cs="宋体"/>
                <w:b/>
                <w:bCs/>
                <w:color w:val="auto"/>
                <w:szCs w:val="21"/>
                <w:highlight w:val="none"/>
              </w:rPr>
            </w:pPr>
          </w:p>
        </w:tc>
        <w:tc>
          <w:tcPr>
            <w:tcW w:w="1915" w:type="dxa"/>
            <w:vMerge w:val="continue"/>
            <w:tcBorders>
              <w:tl2br w:val="nil"/>
              <w:tr2bl w:val="nil"/>
            </w:tcBorders>
            <w:vAlign w:val="center"/>
          </w:tcPr>
          <w:p w14:paraId="334FF7C6">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1F60E850">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tcBorders>
              <w:tl2br w:val="nil"/>
              <w:tr2bl w:val="nil"/>
            </w:tcBorders>
            <w:vAlign w:val="center"/>
          </w:tcPr>
          <w:p w14:paraId="5EDD8645">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66582E36">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549DDDFC">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5624DF22">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3DFB9D0D">
            <w:pPr>
              <w:spacing w:after="0" w:line="240" w:lineRule="auto"/>
              <w:jc w:val="center"/>
              <w:rPr>
                <w:rFonts w:hint="eastAsia" w:ascii="宋体" w:hAnsi="宋体" w:cs="宋体"/>
                <w:b/>
                <w:bCs/>
                <w:color w:val="auto"/>
                <w:szCs w:val="21"/>
                <w:highlight w:val="none"/>
              </w:rPr>
            </w:pPr>
          </w:p>
        </w:tc>
      </w:tr>
      <w:tr w14:paraId="1B9E5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Borders>
              <w:tl2br w:val="nil"/>
              <w:tr2bl w:val="nil"/>
            </w:tcBorders>
            <w:tcMar>
              <w:left w:w="108" w:type="dxa"/>
              <w:right w:w="108" w:type="dxa"/>
            </w:tcMar>
            <w:vAlign w:val="center"/>
          </w:tcPr>
          <w:p w14:paraId="0BCCF79A">
            <w:pPr>
              <w:spacing w:after="0" w:line="240" w:lineRule="auto"/>
              <w:jc w:val="center"/>
              <w:rPr>
                <w:rFonts w:hint="eastAsia" w:ascii="宋体" w:hAnsi="宋体" w:cs="宋体"/>
                <w:b/>
                <w:bCs/>
                <w:color w:val="auto"/>
                <w:szCs w:val="21"/>
                <w:highlight w:val="none"/>
              </w:rPr>
            </w:pPr>
          </w:p>
        </w:tc>
        <w:tc>
          <w:tcPr>
            <w:tcW w:w="1915" w:type="dxa"/>
            <w:vMerge w:val="restart"/>
            <w:tcBorders>
              <w:tl2br w:val="nil"/>
              <w:tr2bl w:val="nil"/>
            </w:tcBorders>
            <w:vAlign w:val="center"/>
          </w:tcPr>
          <w:p w14:paraId="761A789C">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38AAC8C8">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tcBorders>
              <w:tl2br w:val="nil"/>
              <w:tr2bl w:val="nil"/>
            </w:tcBorders>
            <w:vAlign w:val="center"/>
          </w:tcPr>
          <w:p w14:paraId="1E5169C3">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7B8A5B0D">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0279B2F4">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0069DF05">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5A8F9BDA">
            <w:pPr>
              <w:spacing w:after="0" w:line="240" w:lineRule="auto"/>
              <w:jc w:val="center"/>
              <w:rPr>
                <w:rFonts w:hint="eastAsia" w:ascii="宋体" w:hAnsi="宋体" w:cs="宋体"/>
                <w:b/>
                <w:bCs/>
                <w:color w:val="auto"/>
                <w:szCs w:val="21"/>
                <w:highlight w:val="none"/>
              </w:rPr>
            </w:pPr>
          </w:p>
        </w:tc>
      </w:tr>
      <w:tr w14:paraId="7F1BF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Borders>
              <w:tl2br w:val="nil"/>
              <w:tr2bl w:val="nil"/>
            </w:tcBorders>
            <w:tcMar>
              <w:left w:w="108" w:type="dxa"/>
              <w:right w:w="108" w:type="dxa"/>
            </w:tcMar>
            <w:vAlign w:val="center"/>
          </w:tcPr>
          <w:p w14:paraId="5FDE8031">
            <w:pPr>
              <w:spacing w:after="0" w:line="240" w:lineRule="auto"/>
              <w:jc w:val="center"/>
              <w:rPr>
                <w:rFonts w:hint="eastAsia" w:ascii="宋体" w:hAnsi="宋体" w:cs="宋体"/>
                <w:b/>
                <w:bCs/>
                <w:color w:val="auto"/>
                <w:szCs w:val="21"/>
                <w:highlight w:val="none"/>
              </w:rPr>
            </w:pPr>
          </w:p>
        </w:tc>
        <w:tc>
          <w:tcPr>
            <w:tcW w:w="1915" w:type="dxa"/>
            <w:vMerge w:val="continue"/>
            <w:tcBorders>
              <w:tl2br w:val="nil"/>
              <w:tr2bl w:val="nil"/>
            </w:tcBorders>
            <w:vAlign w:val="center"/>
          </w:tcPr>
          <w:p w14:paraId="6AD2DD6E">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547F6B2B">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tcBorders>
              <w:tl2br w:val="nil"/>
              <w:tr2bl w:val="nil"/>
            </w:tcBorders>
            <w:vAlign w:val="center"/>
          </w:tcPr>
          <w:p w14:paraId="62077395">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3B557514">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511CCC62">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6E8D530C">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2389D4FB">
            <w:pPr>
              <w:spacing w:after="0" w:line="240" w:lineRule="auto"/>
              <w:jc w:val="center"/>
              <w:rPr>
                <w:rFonts w:hint="eastAsia" w:ascii="宋体" w:hAnsi="宋体" w:cs="宋体"/>
                <w:b/>
                <w:bCs/>
                <w:color w:val="auto"/>
                <w:szCs w:val="21"/>
                <w:highlight w:val="none"/>
              </w:rPr>
            </w:pPr>
          </w:p>
        </w:tc>
      </w:tr>
      <w:tr w14:paraId="4F7F7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Borders>
              <w:tl2br w:val="nil"/>
              <w:tr2bl w:val="nil"/>
            </w:tcBorders>
            <w:tcMar>
              <w:left w:w="108" w:type="dxa"/>
              <w:right w:w="108" w:type="dxa"/>
            </w:tcMar>
            <w:vAlign w:val="center"/>
          </w:tcPr>
          <w:p w14:paraId="3E66E571">
            <w:pPr>
              <w:spacing w:after="0" w:line="240" w:lineRule="auto"/>
              <w:jc w:val="center"/>
              <w:rPr>
                <w:rFonts w:hint="eastAsia" w:ascii="宋体" w:hAnsi="宋体" w:cs="宋体"/>
                <w:b/>
                <w:bCs/>
                <w:color w:val="auto"/>
                <w:szCs w:val="21"/>
                <w:highlight w:val="none"/>
              </w:rPr>
            </w:pPr>
          </w:p>
        </w:tc>
        <w:tc>
          <w:tcPr>
            <w:tcW w:w="1915" w:type="dxa"/>
            <w:vMerge w:val="continue"/>
            <w:tcBorders>
              <w:tl2br w:val="nil"/>
              <w:tr2bl w:val="nil"/>
            </w:tcBorders>
            <w:vAlign w:val="center"/>
          </w:tcPr>
          <w:p w14:paraId="2024E878">
            <w:pPr>
              <w:spacing w:after="0" w:line="240" w:lineRule="auto"/>
              <w:jc w:val="center"/>
              <w:rPr>
                <w:rFonts w:hint="eastAsia" w:ascii="宋体" w:hAnsi="宋体" w:cs="宋体"/>
                <w:b/>
                <w:bCs/>
                <w:color w:val="auto"/>
                <w:szCs w:val="21"/>
                <w:highlight w:val="none"/>
              </w:rPr>
            </w:pPr>
          </w:p>
        </w:tc>
        <w:tc>
          <w:tcPr>
            <w:tcW w:w="751" w:type="dxa"/>
            <w:tcBorders>
              <w:tl2br w:val="nil"/>
              <w:tr2bl w:val="nil"/>
            </w:tcBorders>
            <w:vAlign w:val="center"/>
          </w:tcPr>
          <w:p w14:paraId="02D26E49">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tcBorders>
              <w:tl2br w:val="nil"/>
              <w:tr2bl w:val="nil"/>
            </w:tcBorders>
            <w:vAlign w:val="center"/>
          </w:tcPr>
          <w:p w14:paraId="65A92F50">
            <w:pPr>
              <w:spacing w:after="0" w:line="240" w:lineRule="auto"/>
              <w:jc w:val="center"/>
              <w:rPr>
                <w:rFonts w:hint="eastAsia" w:ascii="宋体" w:hAnsi="宋体" w:cs="宋体"/>
                <w:b/>
                <w:bCs/>
                <w:color w:val="auto"/>
                <w:szCs w:val="21"/>
                <w:highlight w:val="none"/>
              </w:rPr>
            </w:pPr>
          </w:p>
        </w:tc>
        <w:tc>
          <w:tcPr>
            <w:tcW w:w="1070" w:type="dxa"/>
            <w:tcBorders>
              <w:tl2br w:val="nil"/>
              <w:tr2bl w:val="nil"/>
            </w:tcBorders>
            <w:vAlign w:val="center"/>
          </w:tcPr>
          <w:p w14:paraId="3A87C834">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3A87F0F1">
            <w:pPr>
              <w:spacing w:after="0" w:line="240" w:lineRule="auto"/>
              <w:jc w:val="center"/>
              <w:rPr>
                <w:rFonts w:hint="eastAsia" w:ascii="宋体" w:hAnsi="宋体" w:cs="宋体"/>
                <w:b/>
                <w:bCs/>
                <w:color w:val="auto"/>
                <w:szCs w:val="21"/>
                <w:highlight w:val="none"/>
              </w:rPr>
            </w:pPr>
          </w:p>
        </w:tc>
        <w:tc>
          <w:tcPr>
            <w:tcW w:w="1065" w:type="dxa"/>
            <w:tcBorders>
              <w:tl2br w:val="nil"/>
              <w:tr2bl w:val="nil"/>
            </w:tcBorders>
            <w:vAlign w:val="center"/>
          </w:tcPr>
          <w:p w14:paraId="145F7F69">
            <w:pPr>
              <w:spacing w:after="0" w:line="240" w:lineRule="auto"/>
              <w:jc w:val="center"/>
              <w:rPr>
                <w:rFonts w:hint="eastAsia" w:ascii="宋体" w:hAnsi="宋体" w:cs="宋体"/>
                <w:b/>
                <w:bCs/>
                <w:color w:val="auto"/>
                <w:szCs w:val="21"/>
                <w:highlight w:val="none"/>
              </w:rPr>
            </w:pPr>
          </w:p>
        </w:tc>
        <w:tc>
          <w:tcPr>
            <w:tcW w:w="639" w:type="dxa"/>
            <w:tcBorders>
              <w:tl2br w:val="nil"/>
              <w:tr2bl w:val="nil"/>
            </w:tcBorders>
            <w:vAlign w:val="center"/>
          </w:tcPr>
          <w:p w14:paraId="189A8B55">
            <w:pPr>
              <w:spacing w:after="0" w:line="240" w:lineRule="auto"/>
              <w:jc w:val="center"/>
              <w:rPr>
                <w:rFonts w:hint="eastAsia" w:ascii="宋体" w:hAnsi="宋体" w:cs="宋体"/>
                <w:b/>
                <w:bCs/>
                <w:color w:val="auto"/>
                <w:szCs w:val="21"/>
                <w:highlight w:val="none"/>
              </w:rPr>
            </w:pPr>
          </w:p>
        </w:tc>
      </w:tr>
    </w:tbl>
    <w:p w14:paraId="3B6BA2E5">
      <w:pPr>
        <w:spacing w:line="360" w:lineRule="auto"/>
        <w:ind w:right="420"/>
        <w:rPr>
          <w:color w:val="auto"/>
          <w:sz w:val="24"/>
          <w:highlight w:val="none"/>
        </w:rPr>
      </w:pPr>
      <w:r>
        <w:rPr>
          <w:color w:val="auto"/>
          <w:sz w:val="18"/>
          <w:szCs w:val="18"/>
          <w:highlight w:val="none"/>
        </w:rPr>
        <w:t xml:space="preserve">    </w:t>
      </w:r>
      <w:r>
        <w:rPr>
          <w:rFonts w:hint="eastAsia"/>
          <w:color w:val="auto"/>
          <w:sz w:val="24"/>
          <w:highlight w:val="none"/>
        </w:rPr>
        <w:t>说明</w:t>
      </w:r>
      <w:r>
        <w:rPr>
          <w:color w:val="auto"/>
          <w:sz w:val="24"/>
          <w:highlight w:val="none"/>
        </w:rPr>
        <w:t>：本表所列分包仅限于承包人自行施工范围内的非主体、非关键工程。</w:t>
      </w:r>
    </w:p>
    <w:p w14:paraId="7199694E">
      <w:pPr>
        <w:rPr>
          <w:color w:val="auto"/>
          <w:sz w:val="18"/>
          <w:szCs w:val="18"/>
          <w:highlight w:val="none"/>
        </w:rPr>
      </w:pPr>
    </w:p>
    <w:p w14:paraId="114137F3">
      <w:pPr>
        <w:rPr>
          <w:color w:val="auto"/>
          <w:sz w:val="18"/>
          <w:szCs w:val="18"/>
          <w:highlight w:val="none"/>
        </w:rPr>
      </w:pPr>
      <w:r>
        <w:rPr>
          <w:color w:val="auto"/>
          <w:sz w:val="18"/>
          <w:szCs w:val="18"/>
          <w:highlight w:val="none"/>
        </w:rPr>
        <w:br w:type="page"/>
      </w:r>
    </w:p>
    <w:p w14:paraId="702AA158">
      <w:pPr>
        <w:pStyle w:val="3"/>
        <w:jc w:val="center"/>
        <w:rPr>
          <w:rFonts w:ascii="Times New Roman" w:hAnsi="Times New Roman" w:eastAsia="黑体"/>
          <w:color w:val="auto"/>
          <w:sz w:val="30"/>
          <w:szCs w:val="30"/>
          <w:highlight w:val="none"/>
        </w:rPr>
      </w:pPr>
      <w:bookmarkStart w:id="1214" w:name="_Toc211498769"/>
      <w:r>
        <w:rPr>
          <w:rFonts w:hint="eastAsia" w:ascii="Times New Roman" w:hAnsi="Times New Roman" w:eastAsia="黑体"/>
          <w:color w:val="auto"/>
          <w:sz w:val="30"/>
          <w:szCs w:val="30"/>
          <w:highlight w:val="none"/>
        </w:rPr>
        <w:t>8.投标人基本情况表</w:t>
      </w:r>
      <w:bookmarkEnd w:id="1214"/>
    </w:p>
    <w:tbl>
      <w:tblPr>
        <w:tblStyle w:val="4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11039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12" w:space="0"/>
              <w:left w:val="single" w:color="auto" w:sz="12" w:space="0"/>
              <w:bottom w:val="single" w:color="auto" w:sz="4" w:space="0"/>
              <w:right w:val="single" w:color="auto" w:sz="4" w:space="0"/>
            </w:tcBorders>
            <w:vAlign w:val="center"/>
          </w:tcPr>
          <w:p w14:paraId="29BAA479">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投标人名称</w:t>
            </w:r>
          </w:p>
        </w:tc>
        <w:tc>
          <w:tcPr>
            <w:tcW w:w="6840" w:type="dxa"/>
            <w:gridSpan w:val="9"/>
            <w:tcBorders>
              <w:top w:val="single" w:color="auto" w:sz="12" w:space="0"/>
              <w:left w:val="single" w:color="auto" w:sz="4" w:space="0"/>
              <w:bottom w:val="single" w:color="auto" w:sz="4" w:space="0"/>
              <w:right w:val="single" w:color="auto" w:sz="12" w:space="0"/>
            </w:tcBorders>
            <w:vAlign w:val="center"/>
          </w:tcPr>
          <w:p w14:paraId="07C56816">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688B5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35226900">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5BA6A3C4">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1078" w:type="dxa"/>
            <w:tcBorders>
              <w:top w:val="single" w:color="auto" w:sz="4" w:space="0"/>
              <w:left w:val="single" w:color="auto" w:sz="4" w:space="0"/>
              <w:bottom w:val="single" w:color="auto" w:sz="4" w:space="0"/>
              <w:right w:val="single" w:color="auto" w:sz="4" w:space="0"/>
            </w:tcBorders>
            <w:vAlign w:val="center"/>
          </w:tcPr>
          <w:p w14:paraId="61922586">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邮政编码</w:t>
            </w:r>
          </w:p>
        </w:tc>
        <w:tc>
          <w:tcPr>
            <w:tcW w:w="2342" w:type="dxa"/>
            <w:gridSpan w:val="3"/>
            <w:tcBorders>
              <w:top w:val="single" w:color="auto" w:sz="4" w:space="0"/>
              <w:left w:val="single" w:color="auto" w:sz="4" w:space="0"/>
              <w:bottom w:val="single" w:color="auto" w:sz="4" w:space="0"/>
              <w:right w:val="single" w:color="auto" w:sz="12" w:space="0"/>
            </w:tcBorders>
            <w:vAlign w:val="center"/>
          </w:tcPr>
          <w:p w14:paraId="6B859EF1">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36C3D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728" w:type="dxa"/>
            <w:vMerge w:val="restart"/>
            <w:tcBorders>
              <w:top w:val="single" w:color="auto" w:sz="4" w:space="0"/>
              <w:left w:val="single" w:color="auto" w:sz="12" w:space="0"/>
              <w:bottom w:val="single" w:color="auto" w:sz="4" w:space="0"/>
              <w:right w:val="single" w:color="auto" w:sz="4" w:space="0"/>
            </w:tcBorders>
            <w:vAlign w:val="center"/>
          </w:tcPr>
          <w:p w14:paraId="4115E512">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F59D08C">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14B2551">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1078" w:type="dxa"/>
            <w:tcBorders>
              <w:top w:val="single" w:color="auto" w:sz="4" w:space="0"/>
              <w:left w:val="single" w:color="auto" w:sz="4" w:space="0"/>
              <w:bottom w:val="single" w:color="auto" w:sz="4" w:space="0"/>
              <w:right w:val="single" w:color="auto" w:sz="4" w:space="0"/>
            </w:tcBorders>
            <w:vAlign w:val="center"/>
          </w:tcPr>
          <w:p w14:paraId="564C4334">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电 话</w:t>
            </w:r>
          </w:p>
        </w:tc>
        <w:tc>
          <w:tcPr>
            <w:tcW w:w="2342" w:type="dxa"/>
            <w:gridSpan w:val="3"/>
            <w:tcBorders>
              <w:top w:val="single" w:color="auto" w:sz="4" w:space="0"/>
              <w:left w:val="single" w:color="auto" w:sz="4" w:space="0"/>
              <w:bottom w:val="single" w:color="auto" w:sz="4" w:space="0"/>
              <w:right w:val="single" w:color="auto" w:sz="12" w:space="0"/>
            </w:tcBorders>
            <w:vAlign w:val="center"/>
          </w:tcPr>
          <w:p w14:paraId="6924B07E">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44B814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28" w:type="dxa"/>
            <w:vMerge w:val="continue"/>
            <w:tcBorders>
              <w:top w:val="single" w:color="auto" w:sz="4" w:space="0"/>
              <w:left w:val="single" w:color="auto" w:sz="12" w:space="0"/>
              <w:bottom w:val="single" w:color="auto" w:sz="4" w:space="0"/>
              <w:right w:val="single" w:color="auto" w:sz="4" w:space="0"/>
            </w:tcBorders>
            <w:vAlign w:val="center"/>
          </w:tcPr>
          <w:p w14:paraId="3BF5F60C">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898" w:type="dxa"/>
            <w:tcBorders>
              <w:top w:val="single" w:color="auto" w:sz="4" w:space="0"/>
              <w:left w:val="single" w:color="auto" w:sz="4" w:space="0"/>
              <w:bottom w:val="single" w:color="auto" w:sz="4" w:space="0"/>
              <w:right w:val="single" w:color="auto" w:sz="4" w:space="0"/>
            </w:tcBorders>
            <w:vAlign w:val="center"/>
          </w:tcPr>
          <w:p w14:paraId="49D36AAE">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B7EEB16">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1078" w:type="dxa"/>
            <w:tcBorders>
              <w:top w:val="single" w:color="auto" w:sz="4" w:space="0"/>
              <w:left w:val="single" w:color="auto" w:sz="4" w:space="0"/>
              <w:bottom w:val="single" w:color="auto" w:sz="4" w:space="0"/>
              <w:right w:val="single" w:color="auto" w:sz="4" w:space="0"/>
            </w:tcBorders>
            <w:vAlign w:val="center"/>
          </w:tcPr>
          <w:p w14:paraId="72214418">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网 址</w:t>
            </w:r>
          </w:p>
        </w:tc>
        <w:tc>
          <w:tcPr>
            <w:tcW w:w="2342" w:type="dxa"/>
            <w:gridSpan w:val="3"/>
            <w:tcBorders>
              <w:top w:val="single" w:color="auto" w:sz="4" w:space="0"/>
              <w:left w:val="single" w:color="auto" w:sz="4" w:space="0"/>
              <w:bottom w:val="single" w:color="auto" w:sz="4" w:space="0"/>
              <w:right w:val="single" w:color="auto" w:sz="12" w:space="0"/>
            </w:tcBorders>
            <w:vAlign w:val="center"/>
          </w:tcPr>
          <w:p w14:paraId="35D613A3">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6A9C16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52DBC308">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组织结构</w:t>
            </w:r>
          </w:p>
        </w:tc>
        <w:tc>
          <w:tcPr>
            <w:tcW w:w="6840" w:type="dxa"/>
            <w:gridSpan w:val="9"/>
            <w:tcBorders>
              <w:top w:val="single" w:color="auto" w:sz="4" w:space="0"/>
              <w:left w:val="single" w:color="auto" w:sz="4" w:space="0"/>
              <w:bottom w:val="single" w:color="auto" w:sz="4" w:space="0"/>
              <w:right w:val="single" w:color="auto" w:sz="12" w:space="0"/>
            </w:tcBorders>
            <w:vAlign w:val="center"/>
          </w:tcPr>
          <w:p w14:paraId="4A4A0EAD">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1B707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485407A6">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6403ED5">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053756D3">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C3AB74B">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FAEABC6">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860" w:type="dxa"/>
            <w:tcBorders>
              <w:top w:val="single" w:color="auto" w:sz="4" w:space="0"/>
              <w:left w:val="single" w:color="auto" w:sz="4" w:space="0"/>
              <w:bottom w:val="single" w:color="auto" w:sz="4" w:space="0"/>
              <w:right w:val="single" w:color="auto" w:sz="4" w:space="0"/>
            </w:tcBorders>
            <w:vAlign w:val="center"/>
          </w:tcPr>
          <w:p w14:paraId="6D3EBAD3">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电话</w:t>
            </w:r>
          </w:p>
        </w:tc>
        <w:tc>
          <w:tcPr>
            <w:tcW w:w="992" w:type="dxa"/>
            <w:tcBorders>
              <w:top w:val="single" w:color="auto" w:sz="4" w:space="0"/>
              <w:left w:val="single" w:color="auto" w:sz="4" w:space="0"/>
              <w:bottom w:val="single" w:color="auto" w:sz="4" w:space="0"/>
              <w:right w:val="single" w:color="auto" w:sz="12" w:space="0"/>
            </w:tcBorders>
            <w:vAlign w:val="center"/>
          </w:tcPr>
          <w:p w14:paraId="73CEB284">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6AE28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0DC941B5">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0081440F">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9006B89">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E2A7339">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DF4CF78">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860" w:type="dxa"/>
            <w:tcBorders>
              <w:top w:val="single" w:color="auto" w:sz="4" w:space="0"/>
              <w:left w:val="single" w:color="auto" w:sz="4" w:space="0"/>
              <w:bottom w:val="single" w:color="auto" w:sz="4" w:space="0"/>
              <w:right w:val="single" w:color="auto" w:sz="4" w:space="0"/>
            </w:tcBorders>
            <w:vAlign w:val="center"/>
          </w:tcPr>
          <w:p w14:paraId="1C67E984">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电话</w:t>
            </w:r>
          </w:p>
        </w:tc>
        <w:tc>
          <w:tcPr>
            <w:tcW w:w="992" w:type="dxa"/>
            <w:tcBorders>
              <w:top w:val="single" w:color="auto" w:sz="4" w:space="0"/>
              <w:left w:val="single" w:color="auto" w:sz="4" w:space="0"/>
              <w:bottom w:val="single" w:color="auto" w:sz="4" w:space="0"/>
              <w:right w:val="single" w:color="auto" w:sz="12" w:space="0"/>
            </w:tcBorders>
            <w:vAlign w:val="center"/>
          </w:tcPr>
          <w:p w14:paraId="242F6B68">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1BCBE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580F19C1">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732FA4E">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4991" w:type="dxa"/>
            <w:gridSpan w:val="7"/>
            <w:tcBorders>
              <w:top w:val="single" w:color="auto" w:sz="4" w:space="0"/>
              <w:left w:val="single" w:color="auto" w:sz="4" w:space="0"/>
              <w:bottom w:val="single" w:color="auto" w:sz="4" w:space="0"/>
              <w:right w:val="single" w:color="auto" w:sz="12" w:space="0"/>
            </w:tcBorders>
            <w:vAlign w:val="center"/>
          </w:tcPr>
          <w:p w14:paraId="0485FFAE">
            <w:pPr>
              <w:widowControl/>
              <w:kinsoku w:val="0"/>
              <w:topLinePunct/>
              <w:autoSpaceDE w:val="0"/>
              <w:autoSpaceDN w:val="0"/>
              <w:spacing w:after="0" w:line="240" w:lineRule="auto"/>
              <w:ind w:firstLine="105" w:firstLineChars="5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员工总人数：</w:t>
            </w:r>
          </w:p>
        </w:tc>
      </w:tr>
      <w:tr w14:paraId="2C7DC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0846E2F4">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EDF04B6">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6470A30">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9FBA316">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项目经理</w:t>
            </w:r>
          </w:p>
        </w:tc>
        <w:tc>
          <w:tcPr>
            <w:tcW w:w="1852" w:type="dxa"/>
            <w:gridSpan w:val="2"/>
            <w:tcBorders>
              <w:top w:val="single" w:color="auto" w:sz="4" w:space="0"/>
              <w:left w:val="single" w:color="auto" w:sz="4" w:space="0"/>
              <w:bottom w:val="single" w:color="auto" w:sz="4" w:space="0"/>
              <w:right w:val="single" w:color="auto" w:sz="12" w:space="0"/>
            </w:tcBorders>
            <w:vAlign w:val="center"/>
          </w:tcPr>
          <w:p w14:paraId="2A5CAD55">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445B5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6B855632">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统一社会信用代码</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10E1F7E">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E25E3E6">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678F5FF">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高级职称人员</w:t>
            </w:r>
          </w:p>
        </w:tc>
        <w:tc>
          <w:tcPr>
            <w:tcW w:w="1852" w:type="dxa"/>
            <w:gridSpan w:val="2"/>
            <w:tcBorders>
              <w:top w:val="single" w:color="auto" w:sz="4" w:space="0"/>
              <w:left w:val="single" w:color="auto" w:sz="4" w:space="0"/>
              <w:bottom w:val="single" w:color="auto" w:sz="4" w:space="0"/>
              <w:right w:val="single" w:color="auto" w:sz="12" w:space="0"/>
            </w:tcBorders>
            <w:vAlign w:val="center"/>
          </w:tcPr>
          <w:p w14:paraId="62AD4FB0">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37044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6B8D6E62">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0E60211">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351431F">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09B61F7">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中级职称人员</w:t>
            </w:r>
          </w:p>
        </w:tc>
        <w:tc>
          <w:tcPr>
            <w:tcW w:w="1852" w:type="dxa"/>
            <w:gridSpan w:val="2"/>
            <w:tcBorders>
              <w:top w:val="single" w:color="auto" w:sz="4" w:space="0"/>
              <w:left w:val="single" w:color="auto" w:sz="4" w:space="0"/>
              <w:bottom w:val="single" w:color="auto" w:sz="4" w:space="0"/>
              <w:right w:val="single" w:color="auto" w:sz="12" w:space="0"/>
            </w:tcBorders>
            <w:vAlign w:val="center"/>
          </w:tcPr>
          <w:p w14:paraId="4C4EAF03">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0982F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5B6BAA45">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4FBD45A">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F1CBF63">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5B77B9C">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初级职称人员</w:t>
            </w:r>
          </w:p>
        </w:tc>
        <w:tc>
          <w:tcPr>
            <w:tcW w:w="1852" w:type="dxa"/>
            <w:gridSpan w:val="2"/>
            <w:tcBorders>
              <w:top w:val="single" w:color="auto" w:sz="4" w:space="0"/>
              <w:left w:val="single" w:color="auto" w:sz="4" w:space="0"/>
              <w:bottom w:val="single" w:color="auto" w:sz="4" w:space="0"/>
              <w:right w:val="single" w:color="auto" w:sz="12" w:space="0"/>
            </w:tcBorders>
            <w:vAlign w:val="center"/>
          </w:tcPr>
          <w:p w14:paraId="498C72D4">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49F05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36735BEB">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613935C">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8D2D169">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805F127">
            <w:pPr>
              <w:widowControl/>
              <w:kinsoku w:val="0"/>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技  工</w:t>
            </w:r>
          </w:p>
        </w:tc>
        <w:tc>
          <w:tcPr>
            <w:tcW w:w="1852" w:type="dxa"/>
            <w:gridSpan w:val="2"/>
            <w:tcBorders>
              <w:top w:val="single" w:color="auto" w:sz="4" w:space="0"/>
              <w:left w:val="single" w:color="auto" w:sz="4" w:space="0"/>
              <w:bottom w:val="single" w:color="auto" w:sz="4" w:space="0"/>
              <w:right w:val="single" w:color="auto" w:sz="12" w:space="0"/>
            </w:tcBorders>
            <w:vAlign w:val="center"/>
          </w:tcPr>
          <w:p w14:paraId="20A32B4B">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r w14:paraId="5198E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12" w:space="0"/>
              <w:bottom w:val="single" w:color="auto" w:sz="4" w:space="0"/>
              <w:right w:val="single" w:color="auto" w:sz="4" w:space="0"/>
            </w:tcBorders>
            <w:vAlign w:val="center"/>
          </w:tcPr>
          <w:p w14:paraId="50911598">
            <w:pPr>
              <w:widowControl/>
              <w:kinsoku w:val="0"/>
              <w:topLinePunct/>
              <w:autoSpaceDE w:val="0"/>
              <w:autoSpaceDN w:val="0"/>
              <w:spacing w:after="0" w:line="240" w:lineRule="auto"/>
              <w:ind w:firstLine="210" w:firstLineChars="10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经营范围</w:t>
            </w:r>
          </w:p>
        </w:tc>
        <w:tc>
          <w:tcPr>
            <w:tcW w:w="6840" w:type="dxa"/>
            <w:gridSpan w:val="9"/>
            <w:tcBorders>
              <w:top w:val="single" w:color="auto" w:sz="4" w:space="0"/>
              <w:left w:val="single" w:color="auto" w:sz="4" w:space="0"/>
              <w:bottom w:val="single" w:color="auto" w:sz="4" w:space="0"/>
              <w:right w:val="single" w:color="auto" w:sz="12" w:space="0"/>
            </w:tcBorders>
            <w:vAlign w:val="center"/>
          </w:tcPr>
          <w:p w14:paraId="40988875">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p w14:paraId="4556D64A">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p w14:paraId="1A77F154">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p w14:paraId="159C97A8">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p w14:paraId="45A2DA22">
            <w:pPr>
              <w:widowControl/>
              <w:kinsoku w:val="0"/>
              <w:topLinePunct/>
              <w:autoSpaceDE w:val="0"/>
              <w:autoSpaceDN w:val="0"/>
              <w:spacing w:after="0" w:line="240" w:lineRule="auto"/>
              <w:jc w:val="left"/>
              <w:textAlignment w:val="baseline"/>
              <w:rPr>
                <w:rFonts w:hint="eastAsia" w:ascii="宋体" w:hAnsi="宋体" w:cs="宋体"/>
                <w:snapToGrid w:val="0"/>
                <w:color w:val="auto"/>
                <w:kern w:val="0"/>
                <w:szCs w:val="21"/>
                <w:highlight w:val="none"/>
                <w:lang w:eastAsia="en-US"/>
              </w:rPr>
            </w:pPr>
          </w:p>
        </w:tc>
      </w:tr>
      <w:tr w14:paraId="46611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12" w:space="0"/>
              <w:bottom w:val="single" w:color="auto" w:sz="12" w:space="0"/>
              <w:right w:val="single" w:color="auto" w:sz="4" w:space="0"/>
            </w:tcBorders>
            <w:vAlign w:val="center"/>
          </w:tcPr>
          <w:p w14:paraId="3796F3C8">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备注</w:t>
            </w:r>
          </w:p>
        </w:tc>
        <w:tc>
          <w:tcPr>
            <w:tcW w:w="6840" w:type="dxa"/>
            <w:gridSpan w:val="9"/>
            <w:tcBorders>
              <w:top w:val="single" w:color="auto" w:sz="4" w:space="0"/>
              <w:left w:val="single" w:color="auto" w:sz="4" w:space="0"/>
              <w:bottom w:val="single" w:color="auto" w:sz="12" w:space="0"/>
              <w:right w:val="single" w:color="auto" w:sz="12" w:space="0"/>
            </w:tcBorders>
            <w:vAlign w:val="center"/>
          </w:tcPr>
          <w:p w14:paraId="66C68571">
            <w:pPr>
              <w:widowControl/>
              <w:kinsoku w:val="0"/>
              <w:topLinePunct/>
              <w:autoSpaceDE w:val="0"/>
              <w:autoSpaceDN w:val="0"/>
              <w:spacing w:after="0" w:line="240" w:lineRule="auto"/>
              <w:jc w:val="center"/>
              <w:textAlignment w:val="baseline"/>
              <w:rPr>
                <w:rFonts w:hint="eastAsia" w:ascii="宋体" w:hAnsi="宋体" w:cs="宋体"/>
                <w:snapToGrid w:val="0"/>
                <w:color w:val="auto"/>
                <w:kern w:val="0"/>
                <w:szCs w:val="21"/>
                <w:highlight w:val="none"/>
                <w:lang w:eastAsia="en-US"/>
              </w:rPr>
            </w:pPr>
          </w:p>
        </w:tc>
      </w:tr>
    </w:tbl>
    <w:p w14:paraId="7D0ABB27">
      <w:pPr>
        <w:widowControl/>
        <w:kinsoku w:val="0"/>
        <w:autoSpaceDE w:val="0"/>
        <w:autoSpaceDN w:val="0"/>
        <w:spacing w:line="360" w:lineRule="auto"/>
        <w:jc w:val="left"/>
        <w:textAlignment w:val="baseline"/>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w:t>
      </w:r>
      <w:bookmarkStart w:id="1215" w:name="_Hlk210329078"/>
      <w:r>
        <w:rPr>
          <w:rFonts w:hint="eastAsia" w:ascii="宋体" w:hAnsi="宋体" w:cs="宋体"/>
          <w:snapToGrid w:val="0"/>
          <w:color w:val="auto"/>
          <w:kern w:val="0"/>
          <w:sz w:val="24"/>
          <w:highlight w:val="none"/>
        </w:rPr>
        <w:t>注：1. 投标人应根据投标人须知第3.5项的要求在本表后附相关证明材料的复印件（在“6.商务部分评审表”已经提供的相关证明材料，本表后不再重复提供）。</w:t>
      </w:r>
    </w:p>
    <w:bookmarkEnd w:id="1215"/>
    <w:p w14:paraId="42BB91CE">
      <w:pPr>
        <w:pStyle w:val="3"/>
        <w:spacing w:before="0" w:after="0" w:line="360" w:lineRule="auto"/>
        <w:jc w:val="center"/>
        <w:rPr>
          <w:rFonts w:ascii="Times New Roman" w:hAnsi="Times New Roman" w:eastAsia="黑体"/>
          <w:color w:val="auto"/>
          <w:sz w:val="30"/>
          <w:szCs w:val="30"/>
          <w:highlight w:val="none"/>
        </w:rPr>
      </w:pPr>
      <w:r>
        <w:rPr>
          <w:rFonts w:hint="eastAsia" w:ascii="宋体" w:hAnsi="宋体" w:cs="宋体"/>
          <w:color w:val="auto"/>
          <w:highlight w:val="none"/>
        </w:rPr>
        <w:br w:type="page"/>
      </w:r>
      <w:bookmarkStart w:id="1216" w:name="_Toc211498770"/>
      <w:r>
        <w:rPr>
          <w:rFonts w:hint="eastAsia" w:ascii="Times New Roman" w:hAnsi="Times New Roman" w:eastAsia="黑体"/>
          <w:color w:val="auto"/>
          <w:sz w:val="30"/>
          <w:szCs w:val="30"/>
          <w:highlight w:val="none"/>
        </w:rPr>
        <w:t>9.</w:t>
      </w:r>
      <w:r>
        <w:rPr>
          <w:rFonts w:ascii="Times New Roman" w:hAnsi="Times New Roman" w:eastAsia="黑体"/>
          <w:color w:val="auto"/>
          <w:sz w:val="30"/>
          <w:szCs w:val="30"/>
          <w:highlight w:val="none"/>
        </w:rPr>
        <w:t>承 诺 书</w:t>
      </w:r>
      <w:bookmarkEnd w:id="1216"/>
    </w:p>
    <w:p w14:paraId="18F94F84">
      <w:pPr>
        <w:snapToGrid w:val="0"/>
        <w:spacing w:line="360" w:lineRule="auto"/>
        <w:rPr>
          <w:color w:val="auto"/>
          <w:highlight w:val="none"/>
        </w:rPr>
      </w:pPr>
    </w:p>
    <w:p w14:paraId="391960CA">
      <w:pPr>
        <w:snapToGrid w:val="0"/>
        <w:spacing w:after="0"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14:paraId="780CDC15">
      <w:pPr>
        <w:snapToGrid w:val="0"/>
        <w:spacing w:after="0"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我方在此声明：</w:t>
      </w:r>
    </w:p>
    <w:p w14:paraId="30F22A93">
      <w:pPr>
        <w:snapToGrid w:val="0"/>
        <w:spacing w:after="0"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1.我方拟派往</w:t>
      </w:r>
      <w:r>
        <w:rPr>
          <w:rFonts w:hint="eastAsia" w:ascii="宋体" w:hAnsi="宋体" w:cs="宋体"/>
          <w:color w:val="auto"/>
          <w:sz w:val="24"/>
          <w:highlight w:val="none"/>
          <w:u w:val="single"/>
        </w:rPr>
        <w:t xml:space="preserve">   招标项目及标段       </w:t>
      </w:r>
      <w:r>
        <w:rPr>
          <w:rFonts w:hint="eastAsia" w:ascii="宋体" w:hAnsi="宋体" w:cs="宋体"/>
          <w:color w:val="auto"/>
          <w:sz w:val="24"/>
          <w:highlight w:val="none"/>
        </w:rPr>
        <w:t xml:space="preserve"> 的项目经理能够到位履行职责，如不能到位，我方自愿接受处罚。</w:t>
      </w:r>
    </w:p>
    <w:p w14:paraId="2A7D5F86">
      <w:pPr>
        <w:snapToGrid w:val="0"/>
        <w:spacing w:after="0"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2.我方不存在第二章“投标人须知”第1.4.3项规定的任何一种情形。</w:t>
      </w:r>
    </w:p>
    <w:p w14:paraId="7E20ED8E">
      <w:pPr>
        <w:snapToGrid w:val="0"/>
        <w:spacing w:after="0" w:line="480" w:lineRule="exact"/>
        <w:ind w:firstLine="480" w:firstLineChars="200"/>
        <w:rPr>
          <w:rFonts w:hint="eastAsia" w:ascii="宋体" w:hAnsi="宋体" w:cs="宋体"/>
          <w:color w:val="auto"/>
          <w:sz w:val="24"/>
          <w:highlight w:val="none"/>
          <w:lang w:val="sq-AL"/>
        </w:rPr>
      </w:pPr>
      <w:r>
        <w:rPr>
          <w:rFonts w:hint="eastAsia" w:ascii="宋体" w:hAnsi="宋体" w:cs="宋体"/>
          <w:color w:val="auto"/>
          <w:sz w:val="24"/>
          <w:highlight w:val="none"/>
          <w:lang w:val="sq-AL"/>
        </w:rPr>
        <w:t>3.我方严格遵守相关法律法规规定，没有串通投标、资质挂靠等违法、违规行为，投标文件所投入的管理、技术人员均为我公司正式在职人员。</w:t>
      </w:r>
    </w:p>
    <w:p w14:paraId="44F870A0">
      <w:pPr>
        <w:snapToGrid w:val="0"/>
        <w:spacing w:after="0" w:line="480" w:lineRule="exact"/>
        <w:ind w:firstLine="480" w:firstLineChars="200"/>
        <w:rPr>
          <w:rFonts w:hint="eastAsia" w:ascii="宋体" w:hAnsi="宋体" w:cs="宋体"/>
          <w:color w:val="auto"/>
          <w:sz w:val="24"/>
          <w:highlight w:val="none"/>
          <w:lang w:val="sq-AL"/>
        </w:rPr>
      </w:pPr>
      <w:r>
        <w:rPr>
          <w:rFonts w:hint="eastAsia" w:ascii="宋体" w:hAnsi="宋体" w:cs="宋体"/>
          <w:color w:val="auto"/>
          <w:sz w:val="24"/>
          <w:highlight w:val="none"/>
          <w:lang w:val="sq-AL"/>
        </w:rPr>
        <w:t>4.我方保证提供的资质、业绩等证明材料真实、合法、有效，</w:t>
      </w:r>
      <w:r>
        <w:rPr>
          <w:rFonts w:hint="eastAsia" w:ascii="宋体" w:hAnsi="宋体" w:cs="宋体"/>
          <w:color w:val="auto"/>
          <w:sz w:val="24"/>
          <w:highlight w:val="none"/>
        </w:rPr>
        <w:t>并愿意承担因我方就此弄虚作假所引起的一切后果。</w:t>
      </w:r>
    </w:p>
    <w:p w14:paraId="693F293C">
      <w:pPr>
        <w:snapToGrid w:val="0"/>
        <w:spacing w:after="0" w:line="480" w:lineRule="exact"/>
        <w:ind w:firstLine="480" w:firstLineChars="200"/>
        <w:rPr>
          <w:rFonts w:hint="eastAsia" w:ascii="宋体" w:hAnsi="宋体" w:cs="宋体"/>
          <w:color w:val="auto"/>
          <w:sz w:val="24"/>
          <w:highlight w:val="none"/>
          <w:lang w:val="sq-AL"/>
        </w:rPr>
      </w:pPr>
      <w:r>
        <w:rPr>
          <w:rFonts w:hint="eastAsia" w:ascii="宋体" w:hAnsi="宋体" w:cs="宋体"/>
          <w:color w:val="auto"/>
          <w:sz w:val="24"/>
          <w:highlight w:val="none"/>
          <w:lang w:val="sq-AL"/>
        </w:rPr>
        <w:t>5.我方不参与不正当竞争，不向招标人、招标代理机构、交易中心、评标专家以及行业监督部门行贿以谋取不正当利益。</w:t>
      </w:r>
    </w:p>
    <w:p w14:paraId="711CA01D">
      <w:pPr>
        <w:snapToGrid w:val="0"/>
        <w:spacing w:after="0" w:line="480" w:lineRule="exact"/>
        <w:ind w:firstLine="480" w:firstLineChars="200"/>
        <w:rPr>
          <w:rFonts w:hint="eastAsia" w:ascii="宋体" w:hAnsi="宋体" w:cs="宋体"/>
          <w:color w:val="auto"/>
          <w:sz w:val="24"/>
          <w:highlight w:val="none"/>
          <w:lang w:val="sq-AL"/>
        </w:rPr>
      </w:pPr>
      <w:r>
        <w:rPr>
          <w:rFonts w:hint="eastAsia" w:ascii="宋体" w:hAnsi="宋体" w:cs="宋体"/>
          <w:color w:val="auto"/>
          <w:sz w:val="24"/>
          <w:highlight w:val="none"/>
          <w:lang w:val="sq-AL"/>
        </w:rPr>
        <w:t>6.我方严格按照招、投标文件约定签订合同，不将中标项目转包或违法分包。</w:t>
      </w:r>
    </w:p>
    <w:p w14:paraId="2EF5EC64">
      <w:pPr>
        <w:snapToGrid w:val="0"/>
        <w:spacing w:after="0"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sq-AL"/>
        </w:rPr>
        <w:t>7.</w:t>
      </w:r>
      <w:r>
        <w:rPr>
          <w:rFonts w:hint="eastAsia" w:ascii="宋体" w:hAnsi="宋体" w:cs="宋体"/>
          <w:color w:val="auto"/>
          <w:sz w:val="24"/>
          <w:highlight w:val="none"/>
        </w:rPr>
        <w:t>一旦我方中标，坚决维护农民工的合法权益，按时足额支付农民工工资，绝不拖欠。</w:t>
      </w:r>
    </w:p>
    <w:p w14:paraId="45F1C250">
      <w:pPr>
        <w:snapToGrid w:val="0"/>
        <w:spacing w:after="0"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8.我方严格按照《省建筑工程施工监理关键岗位人员管理办法》（湘建建〔2020 〕208）关于关键岗位人员配备的要求保证人员按规定到岗履职，承诺不违规或擅自变更、无正当理由长期脱岗如不能到位，我方自愿接受处罚和被予不良行为记录。</w:t>
      </w:r>
    </w:p>
    <w:p w14:paraId="48E7E617">
      <w:pPr>
        <w:snapToGrid w:val="0"/>
        <w:spacing w:after="0"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9.我方保证由我方负责采购的建筑材料、建筑构配件和设备符合设计文件和合同要求。</w:t>
      </w:r>
    </w:p>
    <w:p w14:paraId="1D86F939">
      <w:pPr>
        <w:snapToGrid w:val="0"/>
        <w:spacing w:after="0"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一旦我方中标，我方保证建立健全质量安全保证体系，对承建项目进行定期和专项安全检查，建立重大危险源识别和控制措施，落实危大工程、工程质量等有关强制性标准要求，开展安全培训教育和应急演练，按要求组织分部分项和隐蔽工程验收，工程实体质量和安全生产管控到位。</w:t>
      </w:r>
    </w:p>
    <w:p w14:paraId="012B9E1B">
      <w:pPr>
        <w:snapToGrid w:val="0"/>
        <w:spacing w:after="0"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14:paraId="2F708DCB">
      <w:pPr>
        <w:pStyle w:val="224"/>
        <w:spacing w:line="480" w:lineRule="exact"/>
        <w:ind w:firstLine="482" w:firstLineChars="200"/>
        <w:rPr>
          <w:rFonts w:ascii="Arial" w:hAnsi="Arial" w:eastAsia="新宋体" w:cs="Arial"/>
          <w:b/>
          <w:color w:val="auto"/>
          <w:highlight w:val="none"/>
        </w:rPr>
      </w:pPr>
    </w:p>
    <w:p w14:paraId="3B96205A">
      <w:pPr>
        <w:pStyle w:val="224"/>
        <w:rPr>
          <w:rFonts w:eastAsia="黑体"/>
          <w:bCs/>
          <w:color w:val="auto"/>
          <w:sz w:val="32"/>
          <w:szCs w:val="32"/>
          <w:highlight w:val="none"/>
        </w:rPr>
      </w:pPr>
      <w:r>
        <w:rPr>
          <w:rFonts w:eastAsia="黑体"/>
          <w:bCs/>
          <w:color w:val="auto"/>
          <w:sz w:val="32"/>
          <w:szCs w:val="32"/>
          <w:highlight w:val="none"/>
        </w:rPr>
        <w:br w:type="page"/>
      </w:r>
    </w:p>
    <w:p w14:paraId="14B29BF2">
      <w:pPr>
        <w:pStyle w:val="3"/>
        <w:spacing w:before="0" w:after="0" w:line="360" w:lineRule="auto"/>
        <w:jc w:val="center"/>
        <w:rPr>
          <w:rFonts w:ascii="Times New Roman" w:hAnsi="Times New Roman" w:eastAsia="黑体"/>
          <w:color w:val="auto"/>
          <w:sz w:val="30"/>
          <w:szCs w:val="30"/>
          <w:highlight w:val="none"/>
        </w:rPr>
      </w:pPr>
      <w:bookmarkStart w:id="1217" w:name="_Toc211498771"/>
      <w:r>
        <w:rPr>
          <w:rFonts w:hint="eastAsia" w:ascii="Times New Roman" w:hAnsi="Times New Roman" w:eastAsia="黑体"/>
          <w:color w:val="auto"/>
          <w:sz w:val="30"/>
          <w:szCs w:val="30"/>
          <w:highlight w:val="none"/>
        </w:rPr>
        <w:t>10.</w:t>
      </w:r>
      <w:r>
        <w:rPr>
          <w:rFonts w:ascii="Times New Roman" w:hAnsi="Times New Roman" w:eastAsia="黑体"/>
          <w:color w:val="auto"/>
          <w:sz w:val="30"/>
          <w:szCs w:val="30"/>
          <w:highlight w:val="none"/>
        </w:rPr>
        <w:t>其他</w:t>
      </w:r>
      <w:bookmarkEnd w:id="1217"/>
    </w:p>
    <w:p w14:paraId="3C46ED75">
      <w:pPr>
        <w:spacing w:after="0"/>
        <w:jc w:val="center"/>
        <w:rPr>
          <w:rFonts w:eastAsia="黑体"/>
          <w:color w:val="auto"/>
          <w:sz w:val="30"/>
          <w:szCs w:val="30"/>
          <w:highlight w:val="none"/>
        </w:rPr>
      </w:pPr>
      <w:r>
        <w:rPr>
          <w:rFonts w:eastAsia="黑体"/>
          <w:color w:val="auto"/>
          <w:sz w:val="30"/>
          <w:szCs w:val="30"/>
          <w:highlight w:val="none"/>
        </w:rPr>
        <w:br w:type="page"/>
      </w:r>
    </w:p>
    <w:p w14:paraId="2E48E22D">
      <w:pPr>
        <w:pStyle w:val="3"/>
        <w:jc w:val="center"/>
        <w:rPr>
          <w:rFonts w:ascii="Times New Roman" w:hAnsi="Times New Roman" w:eastAsia="黑体" w:cstheme="minorBidi"/>
          <w:color w:val="auto"/>
          <w:sz w:val="30"/>
          <w:highlight w:val="none"/>
        </w:rPr>
      </w:pPr>
      <w:bookmarkStart w:id="1218" w:name="_Toc211498772"/>
      <w:bookmarkStart w:id="1219" w:name="_Toc12302"/>
      <w:bookmarkStart w:id="1220" w:name="_Hlk210329853"/>
      <w:r>
        <w:rPr>
          <w:rFonts w:hint="eastAsia" w:ascii="Times New Roman" w:hAnsi="Times New Roman" w:eastAsia="黑体" w:cstheme="minorBidi"/>
          <w:color w:val="auto"/>
          <w:sz w:val="30"/>
          <w:highlight w:val="none"/>
        </w:rPr>
        <w:t>10-1党建工作要求</w:t>
      </w:r>
      <w:bookmarkEnd w:id="1218"/>
      <w:bookmarkEnd w:id="1219"/>
    </w:p>
    <w:p w14:paraId="2975B4B1">
      <w:pPr>
        <w:jc w:val="center"/>
        <w:rPr>
          <w:rFonts w:eastAsia="黑体"/>
          <w:color w:val="auto"/>
          <w:sz w:val="24"/>
          <w:highlight w:val="none"/>
        </w:rPr>
      </w:pPr>
    </w:p>
    <w:p w14:paraId="179C36B0">
      <w:pPr>
        <w:spacing w:line="240" w:lineRule="auto"/>
        <w:jc w:val="center"/>
        <w:rPr>
          <w:rFonts w:hint="eastAsia" w:ascii="宋体" w:hAnsi="宋体" w:cs="宋体"/>
          <w:b/>
          <w:color w:val="auto"/>
          <w:sz w:val="28"/>
          <w:szCs w:val="28"/>
          <w:highlight w:val="none"/>
        </w:rPr>
      </w:pPr>
      <w:r>
        <w:rPr>
          <w:rFonts w:ascii="宋体" w:hAnsi="宋体" w:cs="宋体"/>
          <w:b/>
          <w:color w:val="auto"/>
          <w:sz w:val="28"/>
          <w:szCs w:val="28"/>
          <w:highlight w:val="none"/>
        </w:rPr>
        <w:sym w:font="Wingdings 2" w:char="00A3"/>
      </w:r>
      <w:r>
        <w:rPr>
          <w:rFonts w:ascii="宋体" w:hAnsi="宋体" w:cs="宋体"/>
          <w:b/>
          <w:color w:val="auto"/>
          <w:sz w:val="28"/>
          <w:szCs w:val="28"/>
          <w:highlight w:val="none"/>
          <w:u w:val="single"/>
        </w:rPr>
        <w:t xml:space="preserve">          </w:t>
      </w:r>
      <w:r>
        <w:rPr>
          <w:rFonts w:ascii="宋体" w:hAnsi="宋体" w:cs="宋体"/>
          <w:b/>
          <w:color w:val="auto"/>
          <w:sz w:val="28"/>
          <w:szCs w:val="28"/>
          <w:highlight w:val="none"/>
        </w:rPr>
        <w:t>公司(投标人）</w:t>
      </w:r>
      <w:r>
        <w:rPr>
          <w:rFonts w:ascii="宋体" w:hAnsi="宋体" w:cs="宋体"/>
          <w:b/>
          <w:color w:val="auto"/>
          <w:sz w:val="28"/>
          <w:szCs w:val="28"/>
          <w:highlight w:val="none"/>
          <w:u w:val="single"/>
        </w:rPr>
        <w:t xml:space="preserve">            </w:t>
      </w:r>
      <w:r>
        <w:rPr>
          <w:rFonts w:ascii="宋体" w:hAnsi="宋体" w:cs="宋体"/>
          <w:b/>
          <w:color w:val="auto"/>
          <w:sz w:val="28"/>
          <w:szCs w:val="28"/>
          <w:highlight w:val="none"/>
        </w:rPr>
        <w:t>项目</w:t>
      </w:r>
    </w:p>
    <w:p w14:paraId="5698EF75">
      <w:pPr>
        <w:spacing w:line="240" w:lineRule="auto"/>
        <w:jc w:val="center"/>
        <w:rPr>
          <w:rFonts w:hint="eastAsia" w:ascii="宋体" w:hAnsi="宋体" w:cs="宋体"/>
          <w:b/>
          <w:color w:val="auto"/>
          <w:sz w:val="28"/>
          <w:szCs w:val="28"/>
          <w:highlight w:val="none"/>
        </w:rPr>
      </w:pPr>
      <w:r>
        <w:rPr>
          <w:rFonts w:ascii="宋体" w:hAnsi="宋体" w:cs="宋体"/>
          <w:b/>
          <w:color w:val="auto"/>
          <w:sz w:val="28"/>
          <w:szCs w:val="28"/>
          <w:highlight w:val="none"/>
        </w:rPr>
        <w:t>关于党建工作的预案</w:t>
      </w:r>
    </w:p>
    <w:p w14:paraId="240925C8">
      <w:pPr>
        <w:spacing w:line="240" w:lineRule="auto"/>
        <w:jc w:val="center"/>
        <w:rPr>
          <w:rFonts w:hint="eastAsia" w:ascii="宋体" w:hAnsi="宋体" w:cs="宋体"/>
          <w:b/>
          <w:color w:val="auto"/>
          <w:sz w:val="22"/>
          <w:szCs w:val="22"/>
          <w:highlight w:val="none"/>
        </w:rPr>
      </w:pPr>
      <w:r>
        <w:rPr>
          <w:rFonts w:ascii="宋体" w:hAnsi="宋体" w:cs="宋体"/>
          <w:b/>
          <w:color w:val="auto"/>
          <w:sz w:val="22"/>
          <w:szCs w:val="22"/>
          <w:highlight w:val="none"/>
        </w:rPr>
        <w:t>(已成立党组织的企业提供)</w:t>
      </w:r>
    </w:p>
    <w:p w14:paraId="67911C9B">
      <w:pPr>
        <w:spacing w:line="240" w:lineRule="auto"/>
        <w:jc w:val="center"/>
        <w:rPr>
          <w:rFonts w:hint="eastAsia" w:ascii="宋体" w:hAnsi="宋体" w:cs="宋体"/>
          <w:bCs/>
          <w:color w:val="auto"/>
          <w:sz w:val="22"/>
          <w:szCs w:val="22"/>
          <w:highlight w:val="none"/>
        </w:rPr>
      </w:pPr>
      <w:r>
        <w:rPr>
          <w:rFonts w:ascii="宋体" w:hAnsi="宋体" w:cs="宋体"/>
          <w:bCs/>
          <w:color w:val="auto"/>
          <w:sz w:val="22"/>
          <w:szCs w:val="22"/>
          <w:highlight w:val="none"/>
        </w:rPr>
        <w:t>（工期≥6个月的项目提供）</w:t>
      </w:r>
    </w:p>
    <w:p w14:paraId="466EEC2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致:(招标人)               ：</w:t>
      </w:r>
      <w:r>
        <w:rPr>
          <w:rFonts w:hint="eastAsia" w:asciiTheme="minorEastAsia" w:hAnsiTheme="minorEastAsia" w:eastAsiaTheme="minorEastAsia" w:cstheme="minorEastAsia"/>
          <w:color w:val="auto"/>
          <w:szCs w:val="21"/>
          <w:highlight w:val="none"/>
        </w:rPr>
        <w:t xml:space="preserve">  </w:t>
      </w:r>
    </w:p>
    <w:p w14:paraId="4FE0931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为落实中央、省、市加强党的基层组织建设、实现党的组织和工作覆盖，现提供基本情况并编制预案如下:</w:t>
      </w:r>
    </w:p>
    <w:p w14:paraId="4BF16F19">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一、XX公司党组织基本情况</w:t>
      </w:r>
    </w:p>
    <w:p w14:paraId="5E1CD21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党组织机构设置、隶属关系情况</w:t>
      </w:r>
    </w:p>
    <w:p w14:paraId="04DFC04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党组织负责人及党务工作人员配备情况</w:t>
      </w:r>
    </w:p>
    <w:p w14:paraId="20D121E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在以往项目管理中同步开展党务工作的有关做法(如有)</w:t>
      </w:r>
    </w:p>
    <w:p w14:paraId="0CBDC3AD">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二、拟在该项目开展党建工作预案</w:t>
      </w:r>
    </w:p>
    <w:p w14:paraId="37E8569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公司拟派xxx同志负责指导该项目的党建工作该同志基本情况如下:(包括姓名、性别、出生年月、入党时间、党内职务等有关情况，该同志须为中共正式党员，不要求常驻工地)。</w:t>
      </w:r>
    </w:p>
    <w:p w14:paraId="1366E3A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拟配备的临时党组织(临时党支部或党小组)负责人情况(包括姓名、性别、出生年月、入党时间、党内职务等有关情况，该同志须为中共正式党员，要求常驻工地，可为兼职)。</w:t>
      </w:r>
    </w:p>
    <w:p w14:paraId="7D1EDC8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拟在该项目开展党建工作初步计划</w:t>
      </w:r>
    </w:p>
    <w:p w14:paraId="557405B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项目参建人员中，有3名及以上正式党员的，成立临时党组织。</w:t>
      </w:r>
    </w:p>
    <w:p w14:paraId="5E9A1F5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项目参建人员中，党员人数不足3人、不具备单独建立党组织的，负责联系就近社区或参建单位党组织。</w:t>
      </w:r>
    </w:p>
    <w:p w14:paraId="0151E0A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同时承诺:没有资质挂靠等违法违规行为;投标文件所投入的管理、技术人员和党建工作人员均为本公司正式在职人员。</w:t>
      </w:r>
    </w:p>
    <w:p w14:paraId="68C29D43">
      <w:pPr>
        <w:spacing w:line="360" w:lineRule="auto"/>
        <w:ind w:firstLine="420" w:firstLineChars="200"/>
        <w:rPr>
          <w:rFonts w:hint="eastAsia" w:asciiTheme="minorEastAsia" w:hAnsiTheme="minorEastAsia" w:eastAsiaTheme="minorEastAsia" w:cstheme="minorEastAsia"/>
          <w:color w:val="auto"/>
          <w:szCs w:val="21"/>
          <w:highlight w:val="none"/>
        </w:rPr>
      </w:pPr>
    </w:p>
    <w:p w14:paraId="1D809B6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投标人：</w:t>
      </w:r>
    </w:p>
    <w:p w14:paraId="33390640">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6BB1C1B5">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3A267A08">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中标人成立了党组织的，应对照《党章》第三十二条、第三十三条之规定，落实相对应的党建工作任务;落实“三会一课”等组织生活制度有关要求;落实阵地建设有关要求;落实以党的基层组织建设促进项目建设;参与项目管理和决策等。相关党建工作的落实情况纳入招标人及相关职能部门对中标人实施该项目的考核和评价。</w:t>
      </w:r>
    </w:p>
    <w:p w14:paraId="5882870F">
      <w:pPr>
        <w:spacing w:line="360" w:lineRule="auto"/>
        <w:ind w:firstLine="420"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Cs w:val="21"/>
          <w:highlight w:val="none"/>
        </w:rPr>
        <w:t>2、各投标人应将党建工作的预案或支持党建工作的承诺书一并与投标文件提交，否则评标委员会作不合格投标人处理。</w:t>
      </w: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color w:val="auto"/>
          <w:sz w:val="28"/>
          <w:szCs w:val="28"/>
          <w:highlight w:val="none"/>
        </w:rPr>
        <w:sym w:font="Wingdings 2" w:char="00A3"/>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公司(投标人)</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项目</w:t>
      </w:r>
    </w:p>
    <w:p w14:paraId="40DF54C1">
      <w:pPr>
        <w:spacing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关于支持开展党建工作的承诺书</w:t>
      </w:r>
    </w:p>
    <w:p w14:paraId="78D6EE63">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(没有成立党组织的企业提供)</w:t>
      </w:r>
    </w:p>
    <w:p w14:paraId="2710A314">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（工期≥6个月的项目提供）</w:t>
      </w:r>
    </w:p>
    <w:p w14:paraId="6B26376C">
      <w:pPr>
        <w:spacing w:line="360" w:lineRule="auto"/>
        <w:jc w:val="center"/>
        <w:rPr>
          <w:rFonts w:hint="eastAsia" w:asciiTheme="minorEastAsia" w:hAnsiTheme="minorEastAsia" w:eastAsiaTheme="minorEastAsia" w:cstheme="minorEastAsia"/>
          <w:b/>
          <w:bCs/>
          <w:color w:val="auto"/>
          <w:szCs w:val="21"/>
          <w:highlight w:val="none"/>
        </w:rPr>
      </w:pPr>
    </w:p>
    <w:p w14:paraId="64DD9954">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致:(招标人)                ：</w:t>
      </w:r>
    </w:p>
    <w:p w14:paraId="34C5671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我公司拟配备的项目关键岗位人员中，中共党员有</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人。</w:t>
      </w:r>
    </w:p>
    <w:p w14:paraId="0AA49E00">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我公司承诺:</w:t>
      </w:r>
    </w:p>
    <w:p w14:paraId="6527E46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该项目的人员配备中，有3名及以上正式党员、条件成熟的，支持建立党组织，提供必要的场地和经费并支持党员参加“三会一课”等组织生活;对党员人数不足3人、不具备单独建立党组织的，支持成立功能型党组织或支持党员参加联合党组织的“三会一课”等组织生活。</w:t>
      </w:r>
    </w:p>
    <w:p w14:paraId="30DDCBE7">
      <w:pPr>
        <w:spacing w:line="360" w:lineRule="auto"/>
        <w:ind w:firstLine="420" w:firstLineChars="200"/>
        <w:rPr>
          <w:rFonts w:hint="eastAsia" w:asciiTheme="minorEastAsia" w:hAnsiTheme="minorEastAsia" w:eastAsiaTheme="minorEastAsia" w:cstheme="minorEastAsia"/>
          <w:color w:val="auto"/>
          <w:szCs w:val="21"/>
          <w:highlight w:val="none"/>
        </w:rPr>
      </w:pPr>
    </w:p>
    <w:p w14:paraId="4B1A4170">
      <w:pPr>
        <w:spacing w:line="360" w:lineRule="auto"/>
        <w:ind w:firstLine="420" w:firstLineChars="200"/>
        <w:rPr>
          <w:rFonts w:hint="eastAsia" w:asciiTheme="minorEastAsia" w:hAnsiTheme="minorEastAsia" w:eastAsiaTheme="minorEastAsia" w:cstheme="minorEastAsia"/>
          <w:color w:val="auto"/>
          <w:szCs w:val="21"/>
          <w:highlight w:val="none"/>
        </w:rPr>
      </w:pPr>
    </w:p>
    <w:p w14:paraId="67F61D80">
      <w:pPr>
        <w:spacing w:line="360" w:lineRule="auto"/>
        <w:ind w:firstLine="420" w:firstLineChars="200"/>
        <w:rPr>
          <w:rFonts w:hint="eastAsia" w:asciiTheme="minorEastAsia" w:hAnsiTheme="minorEastAsia" w:eastAsiaTheme="minorEastAsia" w:cstheme="minorEastAsia"/>
          <w:color w:val="auto"/>
          <w:szCs w:val="21"/>
          <w:highlight w:val="none"/>
        </w:rPr>
      </w:pPr>
    </w:p>
    <w:p w14:paraId="557411E2">
      <w:pPr>
        <w:spacing w:line="360" w:lineRule="auto"/>
        <w:ind w:firstLine="6930" w:firstLineChars="3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w:t>
      </w:r>
    </w:p>
    <w:p w14:paraId="5A199E02">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3536E62F">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073C9059">
      <w:pPr>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140BF4F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 各投标人应将党建工作的预案或支持党建工作的承诺书一并与投标文件提交，否则评标委员会作不合格投标人处理。</w:t>
      </w:r>
    </w:p>
    <w:p w14:paraId="67481D73">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1A6A0808">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廉洁建设和作风建设承诺书</w:t>
      </w:r>
    </w:p>
    <w:p w14:paraId="0BC7D145">
      <w:pPr>
        <w:spacing w:line="360" w:lineRule="auto"/>
        <w:ind w:firstLine="420" w:firstLineChars="20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（所有投标人提供）</w:t>
      </w:r>
    </w:p>
    <w:p w14:paraId="641F6CB9">
      <w:pPr>
        <w:spacing w:line="360" w:lineRule="auto"/>
        <w:ind w:firstLine="420" w:firstLineChars="200"/>
        <w:jc w:val="center"/>
        <w:rPr>
          <w:rFonts w:hint="eastAsia" w:asciiTheme="minorEastAsia" w:hAnsiTheme="minorEastAsia" w:eastAsiaTheme="minorEastAsia" w:cstheme="minorEastAsia"/>
          <w:color w:val="auto"/>
          <w:szCs w:val="21"/>
          <w:highlight w:val="none"/>
        </w:rPr>
      </w:pPr>
    </w:p>
    <w:p w14:paraId="2FA403C6">
      <w:pPr>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致：（招标人）             ：</w:t>
      </w:r>
    </w:p>
    <w:p w14:paraId="1C17324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贯彻中央、省、市关于廉洁建设和作风建设的有关规定和要求，我单位特作如下廉洁承诺:与项目单位保持正常的业务交往，按照有关法律法规和程序开展业务工作，严格执行工程建设的有关方针、政策，并承诺遵守以下但不限于以下作风建设规定:</w:t>
      </w:r>
    </w:p>
    <w:p w14:paraId="2D09FE9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1、不以任何理由向项目单位工作人员及其配偶、子女及其配偶等亲属和其他特定关系人赠送礼金、有价证券、支付凭证、电子货币、贵重物品和回扣、好处费、感谢费等、</w:t>
      </w:r>
    </w:p>
    <w:p w14:paraId="5F389D8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2、不以任何理由为项目单位工作人员及其配偶、子女及其配偶等亲属和其他特定关系人报销和代为报销应由其个人支付的费用。</w:t>
      </w:r>
    </w:p>
    <w:p w14:paraId="239B267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3、不以任何理由为项目单位工作人员装修住房、婚丧嫁娶事宜或为其家人的工作安排等提供资助。</w:t>
      </w:r>
    </w:p>
    <w:p w14:paraId="481FE1F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4、不以任何理由邀请项目单位工作人员及其配偶、子女及其配偶等亲属和其他特定关系人参加违规宴请、国内旅游、健身、娱乐以及出国(境)旅游等活动。</w:t>
      </w:r>
    </w:p>
    <w:p w14:paraId="31AFEE6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5、不以任何理由为项目单位工作人员及其配偶、子女及其配偶等亲属和其他特定关系人参与工程项目有关设备、材料、工程分包、劳务等经济活动提供便利</w:t>
      </w:r>
    </w:p>
    <w:p w14:paraId="7960B7D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6、主动监督项目单位工作人员的履职行为，对违规违纪违法行为及时向有关部门举报和反映。</w:t>
      </w:r>
    </w:p>
    <w:p w14:paraId="1B6FF75B">
      <w:pPr>
        <w:spacing w:line="360" w:lineRule="auto"/>
        <w:ind w:firstLine="420" w:firstLineChars="200"/>
        <w:rPr>
          <w:rFonts w:hint="eastAsia" w:asciiTheme="minorEastAsia" w:hAnsiTheme="minorEastAsia" w:eastAsiaTheme="minorEastAsia" w:cstheme="minorEastAsia"/>
          <w:color w:val="auto"/>
          <w:szCs w:val="21"/>
          <w:highlight w:val="none"/>
        </w:rPr>
      </w:pPr>
    </w:p>
    <w:p w14:paraId="2F68E798">
      <w:pPr>
        <w:spacing w:line="360" w:lineRule="auto"/>
        <w:ind w:firstLine="420" w:firstLineChars="200"/>
        <w:rPr>
          <w:rFonts w:hint="eastAsia" w:asciiTheme="minorEastAsia" w:hAnsiTheme="minorEastAsia" w:eastAsiaTheme="minorEastAsia" w:cstheme="minorEastAsia"/>
          <w:color w:val="auto"/>
          <w:szCs w:val="21"/>
          <w:highlight w:val="none"/>
        </w:rPr>
      </w:pPr>
    </w:p>
    <w:p w14:paraId="078C5A7B">
      <w:pPr>
        <w:spacing w:line="360" w:lineRule="auto"/>
        <w:ind w:firstLine="420" w:firstLineChars="200"/>
        <w:rPr>
          <w:rFonts w:hint="eastAsia" w:asciiTheme="minorEastAsia" w:hAnsiTheme="minorEastAsia" w:eastAsiaTheme="minorEastAsia" w:cstheme="minorEastAsia"/>
          <w:color w:val="auto"/>
          <w:szCs w:val="21"/>
          <w:highlight w:val="none"/>
        </w:rPr>
      </w:pPr>
    </w:p>
    <w:p w14:paraId="231DC485">
      <w:pPr>
        <w:spacing w:line="360" w:lineRule="auto"/>
        <w:ind w:firstLine="6720" w:firstLineChars="3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w:t>
      </w:r>
    </w:p>
    <w:p w14:paraId="26C502FD">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6A05E77C">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7F0A65BF">
      <w:pPr>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1A8D7AD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注：各投标人应将廉洁建设和作风建设承诺书一并与投标文件提交，否则评标委员会作不合格投标人处理。</w:t>
      </w:r>
    </w:p>
    <w:p w14:paraId="0B51B8F9">
      <w:pPr>
        <w:pStyle w:val="3"/>
        <w:jc w:val="center"/>
        <w:rPr>
          <w:rFonts w:ascii="Times New Roman" w:hAnsi="Times New Roman" w:eastAsia="黑体" w:cstheme="minorBidi"/>
          <w:color w:val="auto"/>
          <w:sz w:val="30"/>
          <w:highlight w:val="none"/>
        </w:rPr>
      </w:pPr>
      <w:bookmarkStart w:id="1221" w:name="_Toc211498773"/>
      <w:r>
        <w:rPr>
          <w:rFonts w:hint="eastAsia" w:ascii="Times New Roman" w:hAnsi="Times New Roman" w:eastAsia="黑体" w:cstheme="minorBidi"/>
          <w:color w:val="auto"/>
          <w:sz w:val="30"/>
          <w:highlight w:val="none"/>
        </w:rPr>
        <w:t>10-2其他</w:t>
      </w:r>
      <w:bookmarkEnd w:id="1221"/>
    </w:p>
    <w:p w14:paraId="05C3F847">
      <w:pPr>
        <w:widowControl/>
        <w:rPr>
          <w:color w:val="auto"/>
          <w:highlight w:val="none"/>
        </w:rPr>
      </w:pPr>
    </w:p>
    <w:bookmarkEnd w:id="1220"/>
    <w:p w14:paraId="0C225DF7">
      <w:pPr>
        <w:widowControl/>
        <w:rPr>
          <w:color w:val="auto"/>
          <w:highlight w:val="none"/>
        </w:rPr>
      </w:pPr>
    </w:p>
    <w:p w14:paraId="73108D9F">
      <w:pPr>
        <w:widowControl/>
        <w:rPr>
          <w:color w:val="auto"/>
          <w:highlight w:val="none"/>
        </w:rPr>
      </w:pPr>
    </w:p>
    <w:p w14:paraId="5BC461D1">
      <w:pPr>
        <w:widowControl/>
        <w:rPr>
          <w:color w:val="auto"/>
          <w:highlight w:val="none"/>
        </w:rPr>
      </w:pPr>
    </w:p>
    <w:p w14:paraId="17D353BE">
      <w:pPr>
        <w:widowControl/>
        <w:rPr>
          <w:color w:val="auto"/>
          <w:highlight w:val="none"/>
        </w:rPr>
      </w:pPr>
    </w:p>
    <w:p w14:paraId="68AD3C5C">
      <w:pPr>
        <w:widowControl/>
        <w:rPr>
          <w:color w:val="auto"/>
          <w:highlight w:val="none"/>
        </w:rPr>
      </w:pPr>
    </w:p>
    <w:p w14:paraId="03A87D68">
      <w:pPr>
        <w:widowControl/>
        <w:rPr>
          <w:color w:val="auto"/>
          <w:highlight w:val="none"/>
        </w:rPr>
      </w:pPr>
    </w:p>
    <w:p w14:paraId="1C4A845E">
      <w:pPr>
        <w:widowControl/>
        <w:rPr>
          <w:color w:val="auto"/>
          <w:highlight w:val="none"/>
        </w:rPr>
      </w:pPr>
    </w:p>
    <w:p w14:paraId="02CEC976">
      <w:pPr>
        <w:widowControl/>
        <w:rPr>
          <w:color w:val="auto"/>
          <w:highlight w:val="none"/>
        </w:rPr>
      </w:pPr>
    </w:p>
    <w:p w14:paraId="7F1BA2C3">
      <w:pPr>
        <w:widowControl/>
        <w:rPr>
          <w:color w:val="auto"/>
          <w:highlight w:val="none"/>
        </w:rPr>
      </w:pPr>
    </w:p>
    <w:p w14:paraId="39501936">
      <w:pPr>
        <w:widowControl/>
        <w:rPr>
          <w:color w:val="auto"/>
          <w:highlight w:val="none"/>
        </w:rPr>
      </w:pPr>
    </w:p>
    <w:p w14:paraId="3388FCBE">
      <w:pPr>
        <w:widowControl/>
        <w:rPr>
          <w:color w:val="auto"/>
          <w:highlight w:val="none"/>
        </w:rPr>
      </w:pPr>
    </w:p>
    <w:p w14:paraId="7D6E8ABF">
      <w:pPr>
        <w:widowControl/>
        <w:rPr>
          <w:color w:val="auto"/>
          <w:highlight w:val="none"/>
        </w:rPr>
      </w:pPr>
    </w:p>
    <w:p w14:paraId="4CE5456F">
      <w:pPr>
        <w:widowControl/>
        <w:rPr>
          <w:color w:val="auto"/>
          <w:highlight w:val="none"/>
        </w:rPr>
      </w:pPr>
    </w:p>
    <w:p w14:paraId="008C8046">
      <w:pPr>
        <w:widowControl/>
        <w:rPr>
          <w:color w:val="auto"/>
          <w:highlight w:val="none"/>
        </w:rPr>
      </w:pPr>
    </w:p>
    <w:p w14:paraId="636EF663">
      <w:pPr>
        <w:widowControl/>
        <w:rPr>
          <w:color w:val="auto"/>
          <w:highlight w:val="none"/>
        </w:rPr>
      </w:pPr>
    </w:p>
    <w:p w14:paraId="063CF5AF">
      <w:pPr>
        <w:widowControl/>
        <w:rPr>
          <w:color w:val="auto"/>
          <w:highlight w:val="none"/>
        </w:rPr>
      </w:pPr>
    </w:p>
    <w:p w14:paraId="2750F131">
      <w:pPr>
        <w:widowControl/>
        <w:rPr>
          <w:color w:val="auto"/>
          <w:highlight w:val="none"/>
        </w:rPr>
      </w:pPr>
    </w:p>
    <w:p w14:paraId="6292798B">
      <w:pPr>
        <w:widowControl/>
        <w:rPr>
          <w:color w:val="auto"/>
          <w:highlight w:val="none"/>
        </w:rPr>
      </w:pPr>
    </w:p>
    <w:p w14:paraId="06DFDFA4">
      <w:pPr>
        <w:widowControl/>
        <w:rPr>
          <w:color w:val="auto"/>
          <w:highlight w:val="none"/>
        </w:rPr>
      </w:pPr>
    </w:p>
    <w:p w14:paraId="26DA7B6A">
      <w:pPr>
        <w:widowControl/>
        <w:rPr>
          <w:color w:val="auto"/>
          <w:highlight w:val="none"/>
        </w:rPr>
      </w:pPr>
    </w:p>
    <w:p w14:paraId="34AA9FD3">
      <w:pPr>
        <w:widowControl/>
        <w:rPr>
          <w:color w:val="auto"/>
          <w:highlight w:val="none"/>
        </w:rPr>
      </w:pPr>
    </w:p>
    <w:p w14:paraId="536C276F">
      <w:pPr>
        <w:widowControl/>
        <w:rPr>
          <w:color w:val="auto"/>
          <w:highlight w:val="none"/>
        </w:rPr>
      </w:pPr>
    </w:p>
    <w:p w14:paraId="4CFC3DDF">
      <w:pPr>
        <w:widowControl/>
        <w:rPr>
          <w:color w:val="auto"/>
          <w:highlight w:val="none"/>
        </w:rPr>
      </w:pPr>
    </w:p>
    <w:p w14:paraId="3B9246CB">
      <w:pPr>
        <w:widowControl/>
        <w:rPr>
          <w:color w:val="auto"/>
          <w:highlight w:val="none"/>
        </w:rPr>
      </w:pPr>
    </w:p>
    <w:p w14:paraId="7E08AFFC">
      <w:pPr>
        <w:widowControl/>
        <w:rPr>
          <w:color w:val="auto"/>
          <w:highlight w:val="none"/>
        </w:rPr>
      </w:pPr>
    </w:p>
    <w:p w14:paraId="028572DF">
      <w:pPr>
        <w:widowControl/>
        <w:rPr>
          <w:color w:val="auto"/>
          <w:highlight w:val="none"/>
        </w:rPr>
      </w:pPr>
    </w:p>
    <w:p w14:paraId="782C42DB">
      <w:pPr>
        <w:widowControl/>
        <w:rPr>
          <w:color w:val="auto"/>
          <w:highlight w:val="none"/>
        </w:rPr>
      </w:pPr>
    </w:p>
    <w:p w14:paraId="43CF93E8">
      <w:pPr>
        <w:widowControl/>
        <w:rPr>
          <w:color w:val="auto"/>
          <w:highlight w:val="none"/>
        </w:rPr>
      </w:pPr>
    </w:p>
    <w:p w14:paraId="31AC6E35">
      <w:pPr>
        <w:widowControl/>
        <w:rPr>
          <w:color w:val="auto"/>
          <w:highlight w:val="none"/>
        </w:rPr>
      </w:pPr>
    </w:p>
    <w:p w14:paraId="74236F79">
      <w:pPr>
        <w:widowControl/>
        <w:rPr>
          <w:color w:val="auto"/>
          <w:highlight w:val="none"/>
        </w:rPr>
      </w:pPr>
    </w:p>
    <w:p w14:paraId="6B2F706A">
      <w:pPr>
        <w:widowControl/>
        <w:rPr>
          <w:color w:val="auto"/>
          <w:highlight w:val="none"/>
        </w:rPr>
      </w:pPr>
    </w:p>
    <w:p w14:paraId="4F063DEA">
      <w:pPr>
        <w:widowControl/>
        <w:rPr>
          <w:color w:val="auto"/>
          <w:highlight w:val="none"/>
        </w:rPr>
      </w:pPr>
    </w:p>
    <w:p w14:paraId="10EBB67E">
      <w:pPr>
        <w:widowControl/>
        <w:rPr>
          <w:color w:val="auto"/>
          <w:highlight w:val="none"/>
        </w:rPr>
      </w:pPr>
    </w:p>
    <w:p w14:paraId="5FC7C498">
      <w:pPr>
        <w:widowControl/>
        <w:rPr>
          <w:color w:val="auto"/>
          <w:highlight w:val="none"/>
        </w:rPr>
      </w:pPr>
    </w:p>
    <w:p w14:paraId="247FF371">
      <w:pPr>
        <w:widowControl/>
        <w:rPr>
          <w:color w:val="auto"/>
          <w:highlight w:val="none"/>
        </w:rPr>
      </w:pPr>
    </w:p>
    <w:p w14:paraId="06CD3444">
      <w:pPr>
        <w:widowControl/>
        <w:rPr>
          <w:color w:val="auto"/>
          <w:highlight w:val="none"/>
        </w:rPr>
      </w:pPr>
    </w:p>
    <w:p w14:paraId="65397C97">
      <w:pPr>
        <w:pStyle w:val="2"/>
        <w:jc w:val="center"/>
        <w:rPr>
          <w:rFonts w:ascii="Times New Roman" w:hAnsi="Times New Roman" w:eastAsia="黑体"/>
          <w:b w:val="0"/>
          <w:color w:val="auto"/>
          <w:highlight w:val="none"/>
        </w:rPr>
      </w:pPr>
      <w:bookmarkStart w:id="1222" w:name="_Toc300678593"/>
      <w:bookmarkStart w:id="1223" w:name="_Toc211498774"/>
      <w:bookmarkStart w:id="1224" w:name="_Toc80006165"/>
      <w:r>
        <w:rPr>
          <w:rFonts w:hint="eastAsia"/>
          <w:color w:val="auto"/>
          <w:highlight w:val="none"/>
        </w:rPr>
        <w:t>□</w:t>
      </w:r>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1222"/>
      <w:r>
        <w:rPr>
          <w:rFonts w:ascii="Times New Roman" w:hAnsi="Times New Roman" w:eastAsia="黑体"/>
          <w:b w:val="0"/>
          <w:color w:val="auto"/>
          <w:highlight w:val="none"/>
        </w:rPr>
        <w:t>格式</w:t>
      </w:r>
      <w:bookmarkEnd w:id="1223"/>
      <w:bookmarkEnd w:id="1224"/>
    </w:p>
    <w:p w14:paraId="2CC1B14D">
      <w:pPr>
        <w:pStyle w:val="2"/>
        <w:jc w:val="center"/>
        <w:rPr>
          <w:rFonts w:ascii="Times New Roman" w:hAnsi="Times New Roman" w:eastAsia="黑体"/>
          <w:b w:val="0"/>
          <w:bCs w:val="0"/>
          <w:color w:val="auto"/>
          <w:highlight w:val="none"/>
        </w:rPr>
      </w:pPr>
      <w:bookmarkStart w:id="1225" w:name="_Toc211498775"/>
      <w:r>
        <w:rPr>
          <w:rFonts w:hint="eastAsia" w:ascii="黑体" w:hAnsi="黑体" w:eastAsia="黑体" w:cs="黑体"/>
          <w:b w:val="0"/>
          <w:bCs w:val="0"/>
          <w:color w:val="auto"/>
          <w:sz w:val="24"/>
          <w:szCs w:val="24"/>
          <w:highlight w:val="none"/>
        </w:rPr>
        <w:t>（适用于采用“24清单标准”的项目）</w:t>
      </w:r>
      <w:bookmarkEnd w:id="1225"/>
    </w:p>
    <w:p w14:paraId="18F4AA7C">
      <w:pPr>
        <w:widowControl/>
        <w:rPr>
          <w:color w:val="auto"/>
          <w:highlight w:val="none"/>
        </w:rPr>
      </w:pPr>
    </w:p>
    <w:p w14:paraId="7728AF70">
      <w:pPr>
        <w:widowControl/>
        <w:rPr>
          <w:color w:val="auto"/>
          <w:highlight w:val="none"/>
        </w:rPr>
      </w:pPr>
    </w:p>
    <w:p w14:paraId="44A2AB48">
      <w:pPr>
        <w:widowControl/>
        <w:rPr>
          <w:color w:val="auto"/>
          <w:highlight w:val="none"/>
        </w:rPr>
      </w:pPr>
    </w:p>
    <w:p w14:paraId="2B62CAA1">
      <w:pPr>
        <w:widowControl/>
        <w:rPr>
          <w:color w:val="auto"/>
          <w:highlight w:val="none"/>
        </w:rPr>
      </w:pPr>
    </w:p>
    <w:p w14:paraId="6FFCD199">
      <w:pPr>
        <w:widowControl/>
        <w:rPr>
          <w:color w:val="auto"/>
          <w:highlight w:val="none"/>
        </w:rPr>
      </w:pPr>
    </w:p>
    <w:p w14:paraId="7D6AD4D3">
      <w:pPr>
        <w:widowControl/>
        <w:rPr>
          <w:color w:val="auto"/>
          <w:highlight w:val="none"/>
        </w:rPr>
      </w:pPr>
    </w:p>
    <w:p w14:paraId="71F1E08C">
      <w:pPr>
        <w:widowControl/>
        <w:rPr>
          <w:color w:val="auto"/>
          <w:highlight w:val="none"/>
        </w:rPr>
      </w:pPr>
    </w:p>
    <w:p w14:paraId="2BEA3480">
      <w:pPr>
        <w:widowControl/>
        <w:rPr>
          <w:color w:val="auto"/>
          <w:highlight w:val="none"/>
        </w:rPr>
      </w:pPr>
    </w:p>
    <w:p w14:paraId="52267461">
      <w:pPr>
        <w:widowControl/>
        <w:rPr>
          <w:color w:val="auto"/>
          <w:highlight w:val="none"/>
        </w:rPr>
      </w:pPr>
    </w:p>
    <w:p w14:paraId="39BC1C83">
      <w:pPr>
        <w:widowControl/>
        <w:rPr>
          <w:color w:val="auto"/>
          <w:highlight w:val="none"/>
        </w:rPr>
      </w:pPr>
    </w:p>
    <w:p w14:paraId="7E7C64EB">
      <w:pPr>
        <w:widowControl/>
        <w:rPr>
          <w:color w:val="auto"/>
          <w:highlight w:val="none"/>
        </w:rPr>
      </w:pPr>
    </w:p>
    <w:p w14:paraId="200563FA">
      <w:pPr>
        <w:widowControl/>
        <w:rPr>
          <w:color w:val="auto"/>
          <w:highlight w:val="none"/>
        </w:rPr>
      </w:pPr>
      <w:r>
        <w:rPr>
          <w:color w:val="auto"/>
          <w:highlight w:val="none"/>
        </w:rPr>
        <w:br w:type="page"/>
      </w:r>
    </w:p>
    <w:p w14:paraId="493D5A18">
      <w:pPr>
        <w:widowControl/>
        <w:rPr>
          <w:color w:val="auto"/>
          <w:highlight w:val="none"/>
        </w:rPr>
      </w:pPr>
    </w:p>
    <w:p w14:paraId="695F3DE0">
      <w:pPr>
        <w:pStyle w:val="3"/>
        <w:spacing w:before="0" w:after="0" w:line="240" w:lineRule="auto"/>
        <w:jc w:val="center"/>
        <w:rPr>
          <w:rFonts w:ascii="Times New Roman" w:hAnsi="Times New Roman" w:eastAsia="黑体"/>
          <w:b w:val="0"/>
          <w:color w:val="auto"/>
          <w:kern w:val="32"/>
          <w:highlight w:val="none"/>
        </w:rPr>
      </w:pPr>
      <w:bookmarkStart w:id="1226" w:name="_Toc300678594"/>
      <w:bookmarkStart w:id="1227" w:name="_Toc9178591"/>
      <w:bookmarkStart w:id="1228" w:name="_Toc211498776"/>
      <w:bookmarkStart w:id="1229" w:name="_Toc80006166"/>
      <w:r>
        <w:rPr>
          <w:rFonts w:ascii="Times New Roman" w:hAnsi="Times New Roman" w:eastAsia="黑体"/>
          <w:b w:val="0"/>
          <w:color w:val="auto"/>
          <w:kern w:val="32"/>
          <w:highlight w:val="none"/>
        </w:rPr>
        <w:t>目    录</w:t>
      </w:r>
      <w:bookmarkEnd w:id="1226"/>
      <w:bookmarkEnd w:id="1227"/>
      <w:bookmarkEnd w:id="1228"/>
      <w:bookmarkEnd w:id="1229"/>
    </w:p>
    <w:p w14:paraId="3C75EA0E">
      <w:pPr>
        <w:spacing w:line="360" w:lineRule="auto"/>
        <w:rPr>
          <w:color w:val="auto"/>
          <w:highlight w:val="none"/>
        </w:rPr>
      </w:pPr>
    </w:p>
    <w:p w14:paraId="08B7E57C">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"_Toc300678595" </w:instrText>
      </w:r>
      <w:r>
        <w:rPr>
          <w:color w:val="auto"/>
          <w:highlight w:val="none"/>
        </w:rPr>
        <w:fldChar w:fldCharType="separate"/>
      </w:r>
      <w:r>
        <w:rPr>
          <w:rFonts w:hint="eastAsia"/>
          <w:color w:val="auto"/>
          <w:highlight w:val="none"/>
        </w:rPr>
        <w:t>1.</w:t>
      </w:r>
      <w:r>
        <w:rPr>
          <w:rStyle w:val="48"/>
          <w:color w:val="auto"/>
          <w:highlight w:val="none"/>
          <w:u w:val="none"/>
        </w:rPr>
        <w:t>已标价工程量清单内容</w:t>
      </w:r>
      <w:r>
        <w:rPr>
          <w:color w:val="auto"/>
          <w:highlight w:val="none"/>
        </w:rPr>
        <w:tab/>
      </w:r>
      <w:r>
        <w:rPr>
          <w:color w:val="auto"/>
          <w:highlight w:val="none"/>
        </w:rPr>
        <w:fldChar w:fldCharType="end"/>
      </w:r>
    </w:p>
    <w:p w14:paraId="5C323A24">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"_Toc300678596" </w:instrText>
      </w:r>
      <w:r>
        <w:rPr>
          <w:color w:val="auto"/>
          <w:highlight w:val="none"/>
        </w:rPr>
        <w:fldChar w:fldCharType="separate"/>
      </w:r>
      <w:r>
        <w:rPr>
          <w:rFonts w:hint="eastAsia"/>
          <w:color w:val="auto"/>
          <w:highlight w:val="none"/>
        </w:rPr>
        <w:t>2.</w:t>
      </w:r>
      <w:r>
        <w:rPr>
          <w:rStyle w:val="48"/>
          <w:rFonts w:hint="eastAsia"/>
          <w:color w:val="auto"/>
          <w:highlight w:val="none"/>
          <w:u w:val="none"/>
        </w:rPr>
        <w:t>已</w:t>
      </w:r>
      <w:r>
        <w:rPr>
          <w:rStyle w:val="48"/>
          <w:color w:val="auto"/>
          <w:highlight w:val="none"/>
          <w:u w:val="none"/>
        </w:rPr>
        <w:t>标价工程量清单格式</w:t>
      </w:r>
      <w:r>
        <w:rPr>
          <w:color w:val="auto"/>
          <w:highlight w:val="none"/>
        </w:rPr>
        <w:tab/>
      </w:r>
      <w:r>
        <w:rPr>
          <w:color w:val="auto"/>
          <w:highlight w:val="none"/>
        </w:rPr>
        <w:fldChar w:fldCharType="end"/>
      </w:r>
    </w:p>
    <w:p w14:paraId="4E8FA1DE">
      <w:pPr>
        <w:autoSpaceDE w:val="0"/>
        <w:autoSpaceDN w:val="0"/>
        <w:adjustRightInd w:val="0"/>
        <w:spacing w:before="64" w:line="360" w:lineRule="auto"/>
        <w:ind w:right="-23" w:firstLine="420" w:firstLineChars="200"/>
        <w:jc w:val="left"/>
        <w:rPr>
          <w:color w:val="auto"/>
          <w:kern w:val="0"/>
          <w:szCs w:val="21"/>
          <w:highlight w:val="none"/>
        </w:rPr>
      </w:pPr>
      <w:r>
        <w:rPr>
          <w:color w:val="auto"/>
          <w:highlight w:val="none"/>
        </w:rPr>
        <w:t xml:space="preserve">   </w:t>
      </w:r>
    </w:p>
    <w:p w14:paraId="05239213">
      <w:pPr>
        <w:autoSpaceDE w:val="0"/>
        <w:autoSpaceDN w:val="0"/>
        <w:adjustRightInd w:val="0"/>
        <w:spacing w:before="64"/>
        <w:ind w:right="-23" w:firstLine="420" w:firstLineChars="200"/>
        <w:jc w:val="left"/>
        <w:rPr>
          <w:color w:val="auto"/>
          <w:kern w:val="0"/>
          <w:szCs w:val="21"/>
          <w:highlight w:val="none"/>
        </w:rPr>
      </w:pPr>
    </w:p>
    <w:p w14:paraId="5211D2C3">
      <w:pPr>
        <w:autoSpaceDE w:val="0"/>
        <w:autoSpaceDN w:val="0"/>
        <w:adjustRightInd w:val="0"/>
        <w:spacing w:before="64"/>
        <w:ind w:right="-23" w:firstLine="420" w:firstLineChars="200"/>
        <w:jc w:val="left"/>
        <w:rPr>
          <w:color w:val="auto"/>
          <w:kern w:val="0"/>
          <w:szCs w:val="21"/>
          <w:highlight w:val="none"/>
        </w:rPr>
      </w:pPr>
    </w:p>
    <w:p w14:paraId="74E00BE3">
      <w:pPr>
        <w:autoSpaceDE w:val="0"/>
        <w:autoSpaceDN w:val="0"/>
        <w:adjustRightInd w:val="0"/>
        <w:spacing w:before="64"/>
        <w:ind w:right="-23" w:firstLine="420" w:firstLineChars="200"/>
        <w:jc w:val="left"/>
        <w:rPr>
          <w:color w:val="auto"/>
          <w:kern w:val="0"/>
          <w:szCs w:val="21"/>
          <w:highlight w:val="none"/>
        </w:rPr>
      </w:pPr>
    </w:p>
    <w:p w14:paraId="7CC66AD9">
      <w:pPr>
        <w:autoSpaceDE w:val="0"/>
        <w:autoSpaceDN w:val="0"/>
        <w:adjustRightInd w:val="0"/>
        <w:spacing w:before="64"/>
        <w:ind w:right="-23" w:firstLine="420" w:firstLineChars="200"/>
        <w:jc w:val="left"/>
        <w:rPr>
          <w:color w:val="auto"/>
          <w:kern w:val="0"/>
          <w:szCs w:val="21"/>
          <w:highlight w:val="none"/>
        </w:rPr>
      </w:pPr>
    </w:p>
    <w:p w14:paraId="4524F3CC">
      <w:pPr>
        <w:autoSpaceDE w:val="0"/>
        <w:autoSpaceDN w:val="0"/>
        <w:adjustRightInd w:val="0"/>
        <w:spacing w:before="64"/>
        <w:ind w:right="-23" w:firstLine="420" w:firstLineChars="200"/>
        <w:jc w:val="left"/>
        <w:rPr>
          <w:color w:val="auto"/>
          <w:kern w:val="0"/>
          <w:szCs w:val="21"/>
          <w:highlight w:val="none"/>
        </w:rPr>
      </w:pPr>
    </w:p>
    <w:p w14:paraId="20F18E64">
      <w:pPr>
        <w:autoSpaceDE w:val="0"/>
        <w:autoSpaceDN w:val="0"/>
        <w:adjustRightInd w:val="0"/>
        <w:spacing w:before="64"/>
        <w:ind w:right="-23" w:firstLine="420" w:firstLineChars="200"/>
        <w:jc w:val="left"/>
        <w:rPr>
          <w:color w:val="auto"/>
          <w:kern w:val="0"/>
          <w:szCs w:val="21"/>
          <w:highlight w:val="none"/>
        </w:rPr>
      </w:pPr>
    </w:p>
    <w:p w14:paraId="0A41C97F">
      <w:pPr>
        <w:widowControl/>
        <w:jc w:val="left"/>
        <w:rPr>
          <w:color w:val="auto"/>
          <w:kern w:val="0"/>
          <w:szCs w:val="21"/>
          <w:highlight w:val="none"/>
        </w:rPr>
      </w:pPr>
      <w:r>
        <w:rPr>
          <w:color w:val="auto"/>
          <w:kern w:val="0"/>
          <w:szCs w:val="21"/>
          <w:highlight w:val="none"/>
        </w:rPr>
        <w:br w:type="page"/>
      </w:r>
    </w:p>
    <w:p w14:paraId="470EE183">
      <w:pPr>
        <w:pStyle w:val="31"/>
        <w:tabs>
          <w:tab w:val="right" w:leader="dot" w:pos="8720"/>
        </w:tabs>
        <w:ind w:left="0" w:leftChars="0"/>
        <w:jc w:val="left"/>
        <w:rPr>
          <w:color w:val="auto"/>
          <w:highlight w:val="none"/>
        </w:rPr>
      </w:pPr>
    </w:p>
    <w:p w14:paraId="74C68C2D">
      <w:pPr>
        <w:pStyle w:val="4"/>
        <w:keepNext/>
        <w:keepLines/>
        <w:widowControl w:val="0"/>
        <w:jc w:val="left"/>
        <w:rPr>
          <w:rFonts w:eastAsia="黑体"/>
          <w:b w:val="0"/>
          <w:color w:val="auto"/>
          <w:sz w:val="28"/>
          <w:szCs w:val="28"/>
          <w:highlight w:val="none"/>
        </w:rPr>
      </w:pPr>
      <w:bookmarkStart w:id="1230" w:name="_Toc300678595"/>
      <w:bookmarkStart w:id="1231" w:name="_Toc9178592"/>
      <w:bookmarkStart w:id="1232" w:name="_Toc80006167"/>
      <w:bookmarkStart w:id="1233" w:name="_Toc211498777"/>
      <w:r>
        <w:rPr>
          <w:rFonts w:hint="eastAsia" w:eastAsia="黑体"/>
          <w:b w:val="0"/>
          <w:color w:val="auto"/>
          <w:sz w:val="28"/>
          <w:szCs w:val="28"/>
          <w:highlight w:val="none"/>
        </w:rPr>
        <w:t>1.</w:t>
      </w:r>
      <w:r>
        <w:rPr>
          <w:rFonts w:eastAsia="黑体"/>
          <w:b w:val="0"/>
          <w:color w:val="auto"/>
          <w:sz w:val="28"/>
          <w:szCs w:val="28"/>
          <w:highlight w:val="none"/>
        </w:rPr>
        <w:t>已标价工程量清单内容</w:t>
      </w:r>
      <w:bookmarkEnd w:id="1230"/>
      <w:bookmarkEnd w:id="1231"/>
      <w:bookmarkEnd w:id="1232"/>
      <w:bookmarkEnd w:id="1233"/>
    </w:p>
    <w:p w14:paraId="1DFAA737">
      <w:pPr>
        <w:pStyle w:val="212"/>
        <w:autoSpaceDE w:val="0"/>
        <w:autoSpaceDN w:val="0"/>
        <w:adjustRightInd w:val="0"/>
        <w:spacing w:before="64" w:line="360" w:lineRule="auto"/>
        <w:ind w:right="-23"/>
        <w:jc w:val="left"/>
        <w:rPr>
          <w:color w:val="auto"/>
          <w:highlight w:val="none"/>
        </w:rPr>
      </w:pPr>
      <w:r>
        <w:rPr>
          <w:rFonts w:hint="eastAsia"/>
          <w:color w:val="auto"/>
          <w:highlight w:val="none"/>
        </w:rPr>
        <w:t>(1)投标总价封面</w:t>
      </w:r>
    </w:p>
    <w:p w14:paraId="4DC11A48">
      <w:pPr>
        <w:pStyle w:val="212"/>
        <w:autoSpaceDE w:val="0"/>
        <w:autoSpaceDN w:val="0"/>
        <w:adjustRightInd w:val="0"/>
        <w:spacing w:before="64" w:line="360" w:lineRule="auto"/>
        <w:ind w:right="-23"/>
        <w:jc w:val="left"/>
        <w:rPr>
          <w:color w:val="auto"/>
          <w:highlight w:val="none"/>
        </w:rPr>
      </w:pPr>
      <w:r>
        <w:rPr>
          <w:rFonts w:hint="eastAsia"/>
          <w:color w:val="auto"/>
          <w:highlight w:val="none"/>
        </w:rPr>
        <w:t>(2)投标总价扉页</w:t>
      </w:r>
    </w:p>
    <w:p w14:paraId="6E8F144D">
      <w:pPr>
        <w:pStyle w:val="212"/>
        <w:autoSpaceDE w:val="0"/>
        <w:autoSpaceDN w:val="0"/>
        <w:adjustRightInd w:val="0"/>
        <w:spacing w:before="64" w:line="360" w:lineRule="auto"/>
        <w:ind w:right="-23"/>
        <w:jc w:val="left"/>
        <w:rPr>
          <w:color w:val="auto"/>
          <w:highlight w:val="none"/>
        </w:rPr>
      </w:pPr>
      <w:r>
        <w:rPr>
          <w:rFonts w:hint="eastAsia"/>
          <w:color w:val="auto"/>
          <w:highlight w:val="none"/>
        </w:rPr>
        <w:t>(3)投标报价填报说明</w:t>
      </w:r>
    </w:p>
    <w:p w14:paraId="05C5FFD0">
      <w:pPr>
        <w:pStyle w:val="212"/>
        <w:autoSpaceDE w:val="0"/>
        <w:autoSpaceDN w:val="0"/>
        <w:adjustRightInd w:val="0"/>
        <w:spacing w:before="64" w:line="360" w:lineRule="auto"/>
        <w:ind w:right="-23"/>
        <w:jc w:val="left"/>
        <w:rPr>
          <w:color w:val="auto"/>
          <w:highlight w:val="none"/>
        </w:rPr>
      </w:pPr>
      <w:r>
        <w:rPr>
          <w:rFonts w:hint="eastAsia"/>
          <w:color w:val="auto"/>
          <w:highlight w:val="none"/>
        </w:rPr>
        <w:t>(4)工程量清单计算规则说明</w:t>
      </w:r>
    </w:p>
    <w:p w14:paraId="49DDF618">
      <w:pPr>
        <w:pStyle w:val="212"/>
        <w:autoSpaceDE w:val="0"/>
        <w:autoSpaceDN w:val="0"/>
        <w:adjustRightInd w:val="0"/>
        <w:spacing w:before="64" w:line="360" w:lineRule="auto"/>
        <w:ind w:right="-23"/>
        <w:jc w:val="left"/>
        <w:rPr>
          <w:color w:val="auto"/>
          <w:highlight w:val="none"/>
        </w:rPr>
      </w:pPr>
      <w:r>
        <w:rPr>
          <w:rFonts w:hint="eastAsia"/>
          <w:color w:val="auto"/>
          <w:highlight w:val="none"/>
        </w:rPr>
        <w:t>(5)工程项目清单汇总表</w:t>
      </w:r>
    </w:p>
    <w:p w14:paraId="0560F15F">
      <w:pPr>
        <w:pStyle w:val="212"/>
        <w:autoSpaceDE w:val="0"/>
        <w:autoSpaceDN w:val="0"/>
        <w:adjustRightInd w:val="0"/>
        <w:spacing w:before="64" w:line="360" w:lineRule="auto"/>
        <w:ind w:right="-23"/>
        <w:jc w:val="left"/>
        <w:rPr>
          <w:color w:val="auto"/>
          <w:highlight w:val="none"/>
        </w:rPr>
      </w:pPr>
      <w:r>
        <w:rPr>
          <w:rFonts w:hint="eastAsia"/>
          <w:color w:val="auto"/>
          <w:highlight w:val="none"/>
        </w:rPr>
        <w:t>(6)单位工程清单汇总表</w:t>
      </w:r>
    </w:p>
    <w:p w14:paraId="23BBC25E">
      <w:pPr>
        <w:pStyle w:val="212"/>
        <w:autoSpaceDE w:val="0"/>
        <w:autoSpaceDN w:val="0"/>
        <w:adjustRightInd w:val="0"/>
        <w:spacing w:before="64" w:line="360" w:lineRule="auto"/>
        <w:ind w:right="-23"/>
        <w:jc w:val="left"/>
        <w:rPr>
          <w:color w:val="auto"/>
          <w:highlight w:val="none"/>
        </w:rPr>
      </w:pPr>
      <w:r>
        <w:rPr>
          <w:rFonts w:hint="eastAsia"/>
          <w:color w:val="auto"/>
          <w:highlight w:val="none"/>
        </w:rPr>
        <w:t>(7)分部分项工程项目清单计价表</w:t>
      </w:r>
    </w:p>
    <w:p w14:paraId="76D3B1BC">
      <w:pPr>
        <w:pStyle w:val="212"/>
        <w:autoSpaceDE w:val="0"/>
        <w:autoSpaceDN w:val="0"/>
        <w:adjustRightInd w:val="0"/>
        <w:spacing w:before="64" w:line="360" w:lineRule="auto"/>
        <w:ind w:right="-23"/>
        <w:jc w:val="left"/>
        <w:rPr>
          <w:color w:val="auto"/>
          <w:highlight w:val="none"/>
        </w:rPr>
      </w:pPr>
      <w:r>
        <w:rPr>
          <w:rFonts w:hint="eastAsia"/>
          <w:color w:val="auto"/>
          <w:highlight w:val="none"/>
        </w:rPr>
        <w:t>(8)分部分项工程项目清单计价表(在分部分项工程项目清单中列项的措施项目费)</w:t>
      </w:r>
    </w:p>
    <w:p w14:paraId="7BD06732">
      <w:pPr>
        <w:pStyle w:val="212"/>
        <w:autoSpaceDE w:val="0"/>
        <w:autoSpaceDN w:val="0"/>
        <w:adjustRightInd w:val="0"/>
        <w:spacing w:before="64" w:line="360" w:lineRule="auto"/>
        <w:ind w:right="-23"/>
        <w:jc w:val="left"/>
        <w:rPr>
          <w:color w:val="auto"/>
          <w:highlight w:val="none"/>
        </w:rPr>
      </w:pPr>
      <w:r>
        <w:rPr>
          <w:rFonts w:hint="eastAsia"/>
          <w:color w:val="auto"/>
          <w:highlight w:val="none"/>
        </w:rPr>
        <w:t>(9) □分部分项工程项目清单综合单价分析表</w:t>
      </w:r>
    </w:p>
    <w:p w14:paraId="2E133764">
      <w:pPr>
        <w:pStyle w:val="212"/>
        <w:autoSpaceDE w:val="0"/>
        <w:autoSpaceDN w:val="0"/>
        <w:adjustRightInd w:val="0"/>
        <w:spacing w:before="64" w:line="360" w:lineRule="auto"/>
        <w:ind w:right="-23"/>
        <w:jc w:val="left"/>
        <w:rPr>
          <w:color w:val="auto"/>
          <w:highlight w:val="none"/>
        </w:rPr>
      </w:pPr>
      <w:r>
        <w:rPr>
          <w:rFonts w:hint="eastAsia"/>
          <w:color w:val="auto"/>
          <w:highlight w:val="none"/>
        </w:rPr>
        <w:t>□分部分项工程项目清单综合单价分析表（简版）</w:t>
      </w:r>
    </w:p>
    <w:p w14:paraId="4EDC653E">
      <w:pPr>
        <w:pStyle w:val="212"/>
        <w:autoSpaceDE w:val="0"/>
        <w:autoSpaceDN w:val="0"/>
        <w:adjustRightInd w:val="0"/>
        <w:spacing w:before="64" w:line="360" w:lineRule="auto"/>
        <w:ind w:right="-23"/>
        <w:jc w:val="left"/>
        <w:rPr>
          <w:color w:val="auto"/>
          <w:highlight w:val="none"/>
        </w:rPr>
      </w:pPr>
      <w:r>
        <w:rPr>
          <w:rFonts w:hint="eastAsia"/>
          <w:color w:val="auto"/>
          <w:highlight w:val="none"/>
        </w:rPr>
        <w:t>(10)材料暂估单价及调整表</w:t>
      </w:r>
    </w:p>
    <w:p w14:paraId="5D07DD2C">
      <w:pPr>
        <w:pStyle w:val="212"/>
        <w:autoSpaceDE w:val="0"/>
        <w:autoSpaceDN w:val="0"/>
        <w:adjustRightInd w:val="0"/>
        <w:spacing w:before="64" w:line="360" w:lineRule="auto"/>
        <w:ind w:right="-23"/>
        <w:jc w:val="left"/>
        <w:rPr>
          <w:color w:val="auto"/>
          <w:highlight w:val="none"/>
        </w:rPr>
      </w:pPr>
      <w:r>
        <w:rPr>
          <w:rFonts w:hint="eastAsia"/>
          <w:color w:val="auto"/>
          <w:highlight w:val="none"/>
        </w:rPr>
        <w:t>(11)措施项目清单计价表</w:t>
      </w:r>
    </w:p>
    <w:p w14:paraId="78749FC7">
      <w:pPr>
        <w:pStyle w:val="212"/>
        <w:autoSpaceDE w:val="0"/>
        <w:autoSpaceDN w:val="0"/>
        <w:adjustRightInd w:val="0"/>
        <w:spacing w:before="64" w:line="360" w:lineRule="auto"/>
        <w:ind w:right="-23"/>
        <w:jc w:val="left"/>
        <w:rPr>
          <w:color w:val="auto"/>
          <w:highlight w:val="none"/>
        </w:rPr>
      </w:pPr>
      <w:r>
        <w:rPr>
          <w:rFonts w:hint="eastAsia"/>
          <w:color w:val="auto"/>
          <w:highlight w:val="none"/>
        </w:rPr>
        <w:t>(12)措施项目清单构成明细分析表</w:t>
      </w:r>
    </w:p>
    <w:p w14:paraId="62336FD6">
      <w:pPr>
        <w:pStyle w:val="212"/>
        <w:autoSpaceDE w:val="0"/>
        <w:autoSpaceDN w:val="0"/>
        <w:adjustRightInd w:val="0"/>
        <w:spacing w:before="64" w:line="360" w:lineRule="auto"/>
        <w:ind w:right="-23"/>
        <w:jc w:val="left"/>
        <w:rPr>
          <w:color w:val="auto"/>
          <w:highlight w:val="none"/>
        </w:rPr>
      </w:pPr>
      <w:r>
        <w:rPr>
          <w:rFonts w:hint="eastAsia"/>
          <w:color w:val="auto"/>
          <w:highlight w:val="none"/>
        </w:rPr>
        <w:t>(13)措施项目费用分拆表</w:t>
      </w:r>
    </w:p>
    <w:p w14:paraId="5032DDE7">
      <w:pPr>
        <w:pStyle w:val="212"/>
        <w:autoSpaceDE w:val="0"/>
        <w:autoSpaceDN w:val="0"/>
        <w:adjustRightInd w:val="0"/>
        <w:spacing w:before="64" w:line="360" w:lineRule="auto"/>
        <w:ind w:right="-23"/>
        <w:jc w:val="left"/>
        <w:rPr>
          <w:color w:val="auto"/>
          <w:highlight w:val="none"/>
        </w:rPr>
      </w:pPr>
      <w:r>
        <w:rPr>
          <w:rFonts w:hint="eastAsia"/>
          <w:color w:val="auto"/>
          <w:highlight w:val="none"/>
        </w:rPr>
        <w:t>(14)大型机械进出场及安拆费用组成明细表</w:t>
      </w:r>
    </w:p>
    <w:p w14:paraId="532BAA36">
      <w:pPr>
        <w:pStyle w:val="212"/>
        <w:autoSpaceDE w:val="0"/>
        <w:autoSpaceDN w:val="0"/>
        <w:adjustRightInd w:val="0"/>
        <w:spacing w:before="64" w:line="360" w:lineRule="auto"/>
        <w:ind w:right="-23"/>
        <w:jc w:val="left"/>
        <w:rPr>
          <w:color w:val="auto"/>
          <w:highlight w:val="none"/>
        </w:rPr>
      </w:pPr>
      <w:r>
        <w:rPr>
          <w:rFonts w:hint="eastAsia"/>
          <w:color w:val="auto"/>
          <w:highlight w:val="none"/>
        </w:rPr>
        <w:t>(15)其他项目清单计价表</w:t>
      </w:r>
    </w:p>
    <w:p w14:paraId="3AA0294F">
      <w:pPr>
        <w:pStyle w:val="212"/>
        <w:autoSpaceDE w:val="0"/>
        <w:autoSpaceDN w:val="0"/>
        <w:adjustRightInd w:val="0"/>
        <w:spacing w:before="64" w:line="360" w:lineRule="auto"/>
        <w:ind w:right="-23"/>
        <w:jc w:val="left"/>
        <w:rPr>
          <w:color w:val="auto"/>
          <w:highlight w:val="none"/>
        </w:rPr>
      </w:pPr>
      <w:r>
        <w:rPr>
          <w:rFonts w:hint="eastAsia"/>
          <w:color w:val="auto"/>
          <w:highlight w:val="none"/>
        </w:rPr>
        <w:t>(16)暂列金额明细表</w:t>
      </w:r>
    </w:p>
    <w:p w14:paraId="3E2ADBE3">
      <w:pPr>
        <w:pStyle w:val="212"/>
        <w:autoSpaceDE w:val="0"/>
        <w:autoSpaceDN w:val="0"/>
        <w:adjustRightInd w:val="0"/>
        <w:spacing w:before="64" w:line="360" w:lineRule="auto"/>
        <w:ind w:right="-23"/>
        <w:jc w:val="left"/>
        <w:rPr>
          <w:color w:val="auto"/>
          <w:highlight w:val="none"/>
        </w:rPr>
      </w:pPr>
      <w:r>
        <w:rPr>
          <w:rFonts w:hint="eastAsia"/>
          <w:color w:val="auto"/>
          <w:highlight w:val="none"/>
        </w:rPr>
        <w:t>(17)专业工程暂估价明细表</w:t>
      </w:r>
    </w:p>
    <w:p w14:paraId="4A98C996">
      <w:pPr>
        <w:pStyle w:val="212"/>
        <w:autoSpaceDE w:val="0"/>
        <w:autoSpaceDN w:val="0"/>
        <w:adjustRightInd w:val="0"/>
        <w:spacing w:before="64" w:line="360" w:lineRule="auto"/>
        <w:ind w:right="-23"/>
        <w:jc w:val="left"/>
        <w:rPr>
          <w:color w:val="auto"/>
          <w:highlight w:val="none"/>
        </w:rPr>
      </w:pPr>
      <w:r>
        <w:rPr>
          <w:rFonts w:hint="eastAsia"/>
          <w:color w:val="auto"/>
          <w:highlight w:val="none"/>
        </w:rPr>
        <w:t>(18)计日工表</w:t>
      </w:r>
    </w:p>
    <w:p w14:paraId="1A75533B">
      <w:pPr>
        <w:pStyle w:val="212"/>
        <w:autoSpaceDE w:val="0"/>
        <w:autoSpaceDN w:val="0"/>
        <w:adjustRightInd w:val="0"/>
        <w:spacing w:before="64" w:line="360" w:lineRule="auto"/>
        <w:ind w:right="-23"/>
        <w:jc w:val="left"/>
        <w:rPr>
          <w:color w:val="auto"/>
          <w:highlight w:val="none"/>
        </w:rPr>
      </w:pPr>
      <w:r>
        <w:rPr>
          <w:rFonts w:hint="eastAsia"/>
          <w:color w:val="auto"/>
          <w:highlight w:val="none"/>
        </w:rPr>
        <w:t>(19)总承包服务费计价表</w:t>
      </w:r>
    </w:p>
    <w:p w14:paraId="5BE4169B">
      <w:pPr>
        <w:pStyle w:val="212"/>
        <w:autoSpaceDE w:val="0"/>
        <w:autoSpaceDN w:val="0"/>
        <w:adjustRightInd w:val="0"/>
        <w:spacing w:before="64" w:line="360" w:lineRule="auto"/>
        <w:ind w:right="-23"/>
        <w:jc w:val="left"/>
        <w:rPr>
          <w:color w:val="auto"/>
          <w:highlight w:val="none"/>
        </w:rPr>
      </w:pPr>
      <w:r>
        <w:rPr>
          <w:rFonts w:hint="eastAsia"/>
          <w:color w:val="auto"/>
          <w:highlight w:val="none"/>
        </w:rPr>
        <w:t>(20)直接发包的专业工程明细表</w:t>
      </w:r>
    </w:p>
    <w:p w14:paraId="4445B9F4">
      <w:pPr>
        <w:pStyle w:val="212"/>
        <w:autoSpaceDE w:val="0"/>
        <w:autoSpaceDN w:val="0"/>
        <w:adjustRightInd w:val="0"/>
        <w:spacing w:before="64" w:line="360" w:lineRule="auto"/>
        <w:ind w:right="-23"/>
        <w:jc w:val="left"/>
        <w:rPr>
          <w:color w:val="auto"/>
          <w:highlight w:val="none"/>
        </w:rPr>
      </w:pPr>
      <w:r>
        <w:rPr>
          <w:rFonts w:hint="eastAsia"/>
          <w:color w:val="auto"/>
          <w:highlight w:val="none"/>
        </w:rPr>
        <w:t>(21)增值税计价表</w:t>
      </w:r>
    </w:p>
    <w:p w14:paraId="1E10DC6A">
      <w:pPr>
        <w:pStyle w:val="212"/>
        <w:autoSpaceDE w:val="0"/>
        <w:autoSpaceDN w:val="0"/>
        <w:adjustRightInd w:val="0"/>
        <w:spacing w:before="64" w:line="360" w:lineRule="auto"/>
        <w:ind w:right="-23"/>
        <w:jc w:val="left"/>
        <w:rPr>
          <w:color w:val="auto"/>
          <w:highlight w:val="none"/>
        </w:rPr>
      </w:pPr>
      <w:r>
        <w:rPr>
          <w:rFonts w:hint="eastAsia"/>
          <w:color w:val="auto"/>
          <w:highlight w:val="none"/>
        </w:rPr>
        <w:t>(22)人工、材料、机械汇总表</w:t>
      </w:r>
    </w:p>
    <w:p w14:paraId="75DA740F">
      <w:pPr>
        <w:pStyle w:val="212"/>
        <w:autoSpaceDE w:val="0"/>
        <w:autoSpaceDN w:val="0"/>
        <w:adjustRightInd w:val="0"/>
        <w:spacing w:before="64" w:line="360" w:lineRule="auto"/>
        <w:ind w:right="-23"/>
        <w:jc w:val="left"/>
        <w:rPr>
          <w:color w:val="auto"/>
          <w:highlight w:val="none"/>
        </w:rPr>
      </w:pPr>
      <w:r>
        <w:rPr>
          <w:rFonts w:hint="eastAsia"/>
          <w:color w:val="auto"/>
          <w:highlight w:val="none"/>
        </w:rPr>
        <w:t>(23)发包人提供材料一览表</w:t>
      </w:r>
    </w:p>
    <w:p w14:paraId="00F8951E">
      <w:pPr>
        <w:pStyle w:val="212"/>
        <w:autoSpaceDE w:val="0"/>
        <w:autoSpaceDN w:val="0"/>
        <w:adjustRightInd w:val="0"/>
        <w:spacing w:before="64" w:line="360" w:lineRule="auto"/>
        <w:ind w:right="-23"/>
        <w:jc w:val="left"/>
        <w:rPr>
          <w:color w:val="auto"/>
          <w:highlight w:val="none"/>
        </w:rPr>
      </w:pPr>
      <w:r>
        <w:rPr>
          <w:rFonts w:hint="eastAsia"/>
          <w:color w:val="auto"/>
          <w:highlight w:val="none"/>
        </w:rPr>
        <w:t>(24)□承包人提供可调价主要材料表一（适用于价格信息调差法）</w:t>
      </w:r>
    </w:p>
    <w:p w14:paraId="6F0C9FBA">
      <w:pPr>
        <w:pStyle w:val="212"/>
        <w:autoSpaceDE w:val="0"/>
        <w:autoSpaceDN w:val="0"/>
        <w:adjustRightInd w:val="0"/>
        <w:spacing w:before="64" w:line="360" w:lineRule="auto"/>
        <w:ind w:right="-23"/>
        <w:jc w:val="left"/>
        <w:rPr>
          <w:color w:val="auto"/>
          <w:highlight w:val="none"/>
        </w:rPr>
      </w:pPr>
      <w:r>
        <w:rPr>
          <w:rFonts w:hint="eastAsia"/>
          <w:color w:val="auto"/>
          <w:highlight w:val="none"/>
        </w:rPr>
        <w:t>□承包人提供可调价主要材料表二（适用于价格指数调差法）</w:t>
      </w:r>
    </w:p>
    <w:p w14:paraId="78A7CE60">
      <w:pPr>
        <w:pStyle w:val="212"/>
        <w:autoSpaceDE w:val="0"/>
        <w:autoSpaceDN w:val="0"/>
        <w:adjustRightInd w:val="0"/>
        <w:spacing w:before="64" w:line="360" w:lineRule="auto"/>
        <w:ind w:right="-23"/>
        <w:jc w:val="left"/>
        <w:rPr>
          <w:color w:val="auto"/>
          <w:highlight w:val="none"/>
        </w:rPr>
      </w:pPr>
    </w:p>
    <w:p w14:paraId="481389A2">
      <w:pPr>
        <w:pStyle w:val="212"/>
        <w:autoSpaceDE w:val="0"/>
        <w:autoSpaceDN w:val="0"/>
        <w:adjustRightInd w:val="0"/>
        <w:spacing w:before="64" w:line="360" w:lineRule="auto"/>
        <w:ind w:right="-23"/>
        <w:jc w:val="left"/>
        <w:rPr>
          <w:color w:val="auto"/>
          <w:highlight w:val="none"/>
        </w:rPr>
      </w:pPr>
      <w:r>
        <w:rPr>
          <w:rFonts w:hint="eastAsia"/>
          <w:color w:val="auto"/>
          <w:highlight w:val="none"/>
        </w:rPr>
        <w:t>说明：以上表格如为空白表格，可不提供。</w:t>
      </w:r>
    </w:p>
    <w:p w14:paraId="32E523FA">
      <w:pPr>
        <w:pStyle w:val="212"/>
        <w:autoSpaceDE w:val="0"/>
        <w:autoSpaceDN w:val="0"/>
        <w:adjustRightInd w:val="0"/>
        <w:spacing w:before="64" w:line="360" w:lineRule="auto"/>
        <w:ind w:right="-23"/>
        <w:jc w:val="left"/>
        <w:rPr>
          <w:color w:val="auto"/>
          <w:highlight w:val="none"/>
        </w:rPr>
      </w:pPr>
    </w:p>
    <w:p w14:paraId="48A2686C">
      <w:pPr>
        <w:autoSpaceDE w:val="0"/>
        <w:autoSpaceDN w:val="0"/>
        <w:adjustRightInd w:val="0"/>
        <w:spacing w:before="64" w:line="360" w:lineRule="auto"/>
        <w:ind w:right="-23"/>
        <w:jc w:val="left"/>
        <w:rPr>
          <w:color w:val="auto"/>
          <w:highlight w:val="none"/>
        </w:rPr>
      </w:pPr>
    </w:p>
    <w:p w14:paraId="3684FD76">
      <w:pPr>
        <w:autoSpaceDE w:val="0"/>
        <w:autoSpaceDN w:val="0"/>
        <w:adjustRightInd w:val="0"/>
        <w:spacing w:before="64" w:line="360" w:lineRule="auto"/>
        <w:ind w:right="-23"/>
        <w:jc w:val="left"/>
        <w:rPr>
          <w:color w:val="auto"/>
          <w:highlight w:val="none"/>
        </w:rPr>
      </w:pPr>
    </w:p>
    <w:p w14:paraId="450E5B8D">
      <w:pPr>
        <w:widowControl/>
        <w:jc w:val="left"/>
        <w:rPr>
          <w:color w:val="auto"/>
          <w:highlight w:val="none"/>
        </w:rPr>
      </w:pPr>
      <w:r>
        <w:rPr>
          <w:color w:val="auto"/>
          <w:highlight w:val="none"/>
        </w:rPr>
        <w:br w:type="page"/>
      </w:r>
    </w:p>
    <w:p w14:paraId="068BF9B6">
      <w:pPr>
        <w:spacing w:after="240" w:afterLines="100"/>
        <w:rPr>
          <w:color w:val="auto"/>
          <w:highlight w:val="none"/>
        </w:rPr>
      </w:pPr>
      <w:bookmarkStart w:id="1234" w:name="_Toc300678597"/>
    </w:p>
    <w:bookmarkEnd w:id="1234"/>
    <w:p w14:paraId="3F7354D0">
      <w:pPr>
        <w:pStyle w:val="4"/>
        <w:keepNext/>
        <w:keepLines/>
        <w:widowControl w:val="0"/>
        <w:jc w:val="left"/>
        <w:rPr>
          <w:rFonts w:eastAsia="黑体"/>
          <w:b w:val="0"/>
          <w:color w:val="auto"/>
          <w:sz w:val="28"/>
          <w:szCs w:val="28"/>
          <w:highlight w:val="none"/>
        </w:rPr>
      </w:pPr>
      <w:bookmarkStart w:id="1235" w:name="_Toc80006168"/>
      <w:bookmarkStart w:id="1236" w:name="_Toc211498778"/>
      <w:r>
        <w:rPr>
          <w:rFonts w:hint="eastAsia" w:eastAsia="黑体"/>
          <w:b w:val="0"/>
          <w:color w:val="auto"/>
          <w:sz w:val="28"/>
          <w:szCs w:val="28"/>
          <w:highlight w:val="none"/>
        </w:rPr>
        <w:t>2.</w:t>
      </w:r>
      <w:r>
        <w:rPr>
          <w:rFonts w:eastAsia="黑体"/>
          <w:b w:val="0"/>
          <w:color w:val="auto"/>
          <w:sz w:val="28"/>
          <w:szCs w:val="28"/>
          <w:highlight w:val="none"/>
        </w:rPr>
        <w:t>已标价工程量清单格式</w:t>
      </w:r>
      <w:bookmarkEnd w:id="1235"/>
      <w:bookmarkEnd w:id="1236"/>
    </w:p>
    <w:p w14:paraId="01372B0E">
      <w:pPr>
        <w:spacing w:line="360" w:lineRule="auto"/>
        <w:ind w:firstLine="480" w:firstLineChars="200"/>
        <w:rPr>
          <w:rFonts w:eastAsia="黑体"/>
          <w:color w:val="auto"/>
          <w:sz w:val="24"/>
          <w:highlight w:val="none"/>
        </w:rPr>
      </w:pPr>
    </w:p>
    <w:p w14:paraId="1F3E4F99">
      <w:pPr>
        <w:spacing w:line="360" w:lineRule="auto"/>
        <w:ind w:firstLine="420" w:firstLineChars="200"/>
        <w:rPr>
          <w:color w:val="auto"/>
          <w:sz w:val="24"/>
          <w:highlight w:val="none"/>
        </w:rPr>
      </w:pPr>
      <w:r>
        <w:rPr>
          <w:rFonts w:hint="eastAsia" w:ascii="宋体" w:hAnsi="宋体"/>
          <w:color w:val="auto"/>
          <w:szCs w:val="21"/>
          <w:highlight w:val="none"/>
        </w:rPr>
        <w:t>说明：已标价工程量清单按照</w:t>
      </w:r>
      <w:r>
        <w:rPr>
          <w:rFonts w:hint="eastAsia" w:ascii="宋体" w:hAnsi="宋体"/>
          <w:color w:val="auto"/>
          <w:szCs w:val="21"/>
          <w:highlight w:val="none"/>
          <w:u w:val="single"/>
        </w:rPr>
        <w:t>《关于执行&lt;建设工程工程量清单计价标准&gt;及配套工程量计算标准的通知》(湘建科函〔2025〕150号)</w:t>
      </w:r>
      <w:r>
        <w:rPr>
          <w:rFonts w:hint="eastAsia" w:ascii="宋体" w:hAnsi="宋体"/>
          <w:color w:val="auto"/>
          <w:szCs w:val="21"/>
          <w:highlight w:val="none"/>
        </w:rPr>
        <w:t>等文件规定的格式填写。由计价软件打印的已标价工程量清单与上述文件格式不一致的，以计价软件打印的表格为准。</w:t>
      </w:r>
    </w:p>
    <w:p w14:paraId="6997A911">
      <w:pPr>
        <w:widowControl/>
        <w:rPr>
          <w:color w:val="auto"/>
          <w:highlight w:val="none"/>
        </w:rPr>
      </w:pPr>
      <w:r>
        <w:rPr>
          <w:color w:val="auto"/>
          <w:highlight w:val="none"/>
        </w:rPr>
        <w:br w:type="page"/>
      </w:r>
    </w:p>
    <w:p w14:paraId="230617B0">
      <w:pPr>
        <w:pStyle w:val="2"/>
        <w:jc w:val="center"/>
        <w:rPr>
          <w:rFonts w:ascii="Times New Roman" w:hAnsi="Times New Roman" w:eastAsia="黑体"/>
          <w:b w:val="0"/>
          <w:color w:val="auto"/>
          <w:highlight w:val="none"/>
        </w:rPr>
      </w:pPr>
      <w:bookmarkStart w:id="1237" w:name="_Toc211498779"/>
      <w:r>
        <w:rPr>
          <w:rFonts w:hint="eastAsia"/>
          <w:color w:val="auto"/>
          <w:highlight w:val="none"/>
        </w:rPr>
        <w:t>□</w:t>
      </w:r>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投标报价格式</w:t>
      </w:r>
      <w:bookmarkEnd w:id="1237"/>
    </w:p>
    <w:p w14:paraId="1D3811D2">
      <w:pPr>
        <w:pStyle w:val="2"/>
        <w:jc w:val="center"/>
        <w:rPr>
          <w:rFonts w:hint="eastAsia" w:ascii="黑体" w:hAnsi="黑体" w:eastAsia="黑体" w:cs="黑体"/>
          <w:color w:val="auto"/>
          <w:sz w:val="24"/>
          <w:szCs w:val="24"/>
          <w:highlight w:val="none"/>
        </w:rPr>
      </w:pPr>
      <w:bookmarkStart w:id="1238" w:name="_Toc211498780"/>
      <w:r>
        <w:rPr>
          <w:rFonts w:hint="eastAsia" w:ascii="黑体" w:hAnsi="黑体" w:eastAsia="黑体" w:cs="黑体"/>
          <w:b w:val="0"/>
          <w:bCs w:val="0"/>
          <w:color w:val="auto"/>
          <w:sz w:val="24"/>
          <w:szCs w:val="24"/>
          <w:highlight w:val="none"/>
        </w:rPr>
        <w:t>（适用于招标人自主确定清单计量计价的项目）</w:t>
      </w:r>
      <w:bookmarkEnd w:id="1238"/>
    </w:p>
    <w:p w14:paraId="39B67168">
      <w:pPr>
        <w:rPr>
          <w:rFonts w:hint="eastAsia" w:ascii="宋体" w:hAnsi="宋体"/>
          <w:color w:val="auto"/>
          <w:szCs w:val="21"/>
          <w:highlight w:val="none"/>
        </w:rPr>
      </w:pPr>
    </w:p>
    <w:p w14:paraId="389C8B95">
      <w:pPr>
        <w:jc w:val="center"/>
        <w:rPr>
          <w:rFonts w:eastAsia="黑体"/>
          <w:color w:val="auto"/>
          <w:sz w:val="30"/>
          <w:highlight w:val="none"/>
        </w:rPr>
      </w:pPr>
      <w:r>
        <w:rPr>
          <w:rFonts w:hint="eastAsia" w:ascii="宋体" w:hAnsi="宋体"/>
          <w:color w:val="auto"/>
          <w:szCs w:val="21"/>
          <w:highlight w:val="none"/>
        </w:rPr>
        <w:t>注：由招标人根据有关规定，结合招标</w:t>
      </w:r>
      <w:r>
        <w:rPr>
          <w:rFonts w:ascii="宋体" w:hAnsi="宋体"/>
          <w:color w:val="auto"/>
          <w:szCs w:val="21"/>
          <w:highlight w:val="none"/>
        </w:rPr>
        <w:t>项目特点和实际需要</w:t>
      </w:r>
      <w:r>
        <w:rPr>
          <w:rFonts w:hint="eastAsia" w:ascii="宋体" w:hAnsi="宋体"/>
          <w:color w:val="auto"/>
          <w:szCs w:val="21"/>
          <w:highlight w:val="none"/>
        </w:rPr>
        <w:t>编写。</w:t>
      </w:r>
    </w:p>
    <w:p w14:paraId="2BB40440">
      <w:pPr>
        <w:pStyle w:val="2"/>
        <w:jc w:val="center"/>
        <w:rPr>
          <w:rFonts w:ascii="Times New Roman" w:hAnsi="Times New Roman" w:eastAsia="黑体"/>
          <w:b w:val="0"/>
          <w:bCs w:val="0"/>
          <w:color w:val="auto"/>
          <w:highlight w:val="none"/>
        </w:rPr>
      </w:pPr>
    </w:p>
    <w:p w14:paraId="1622ACCD">
      <w:pPr>
        <w:widowControl/>
        <w:rPr>
          <w:color w:val="auto"/>
          <w:highlight w:val="none"/>
        </w:rPr>
      </w:pPr>
    </w:p>
    <w:p w14:paraId="21796F84">
      <w:pPr>
        <w:widowControl/>
        <w:rPr>
          <w:color w:val="auto"/>
          <w:highlight w:val="none"/>
        </w:rPr>
      </w:pPr>
    </w:p>
    <w:p w14:paraId="2FFC52C0">
      <w:pPr>
        <w:widowControl/>
        <w:rPr>
          <w:color w:val="auto"/>
          <w:highlight w:val="none"/>
        </w:rPr>
      </w:pPr>
    </w:p>
    <w:p w14:paraId="76260842">
      <w:pPr>
        <w:widowControl/>
        <w:rPr>
          <w:color w:val="auto"/>
          <w:highlight w:val="none"/>
        </w:rPr>
      </w:pPr>
    </w:p>
    <w:p w14:paraId="635B927A">
      <w:pPr>
        <w:widowControl/>
        <w:rPr>
          <w:color w:val="auto"/>
          <w:highlight w:val="none"/>
        </w:rPr>
      </w:pPr>
    </w:p>
    <w:p w14:paraId="25FA44FF">
      <w:pPr>
        <w:widowControl/>
        <w:rPr>
          <w:color w:val="auto"/>
          <w:highlight w:val="none"/>
        </w:rPr>
      </w:pPr>
    </w:p>
    <w:p w14:paraId="72727042">
      <w:pPr>
        <w:widowControl/>
        <w:rPr>
          <w:color w:val="auto"/>
          <w:highlight w:val="none"/>
        </w:rPr>
      </w:pPr>
    </w:p>
    <w:p w14:paraId="2C5A38DB">
      <w:pPr>
        <w:widowControl/>
        <w:rPr>
          <w:color w:val="auto"/>
          <w:highlight w:val="none"/>
        </w:rPr>
      </w:pPr>
    </w:p>
    <w:p w14:paraId="30EADF22">
      <w:pPr>
        <w:widowControl/>
        <w:rPr>
          <w:color w:val="auto"/>
          <w:highlight w:val="none"/>
        </w:rPr>
      </w:pPr>
    </w:p>
    <w:p w14:paraId="694720D3">
      <w:pPr>
        <w:widowControl/>
        <w:rPr>
          <w:color w:val="auto"/>
          <w:highlight w:val="none"/>
        </w:rPr>
      </w:pPr>
    </w:p>
    <w:p w14:paraId="3591079B">
      <w:pPr>
        <w:widowControl/>
        <w:rPr>
          <w:color w:val="auto"/>
          <w:highlight w:val="none"/>
        </w:rPr>
      </w:pPr>
    </w:p>
    <w:p w14:paraId="5AC9DB81">
      <w:pPr>
        <w:widowControl/>
        <w:rPr>
          <w:color w:val="auto"/>
          <w:highlight w:val="none"/>
        </w:rPr>
      </w:pPr>
    </w:p>
    <w:p w14:paraId="33FFB69C">
      <w:pPr>
        <w:widowControl/>
        <w:rPr>
          <w:color w:val="auto"/>
          <w:highlight w:val="none"/>
        </w:rPr>
      </w:pPr>
    </w:p>
    <w:p w14:paraId="1E0A9AF1">
      <w:pPr>
        <w:widowControl/>
        <w:rPr>
          <w:color w:val="auto"/>
          <w:highlight w:val="none"/>
        </w:rPr>
      </w:pPr>
    </w:p>
    <w:p w14:paraId="1884F313">
      <w:pPr>
        <w:widowControl/>
        <w:rPr>
          <w:color w:val="auto"/>
          <w:highlight w:val="none"/>
        </w:rPr>
      </w:pPr>
    </w:p>
    <w:p w14:paraId="6A0671E5">
      <w:pPr>
        <w:widowControl/>
        <w:rPr>
          <w:color w:val="auto"/>
          <w:highlight w:val="none"/>
        </w:rPr>
      </w:pPr>
    </w:p>
    <w:p w14:paraId="6A533C26">
      <w:pPr>
        <w:widowControl/>
        <w:rPr>
          <w:color w:val="auto"/>
          <w:highlight w:val="none"/>
        </w:rPr>
      </w:pPr>
    </w:p>
    <w:p w14:paraId="14918657">
      <w:pPr>
        <w:widowControl/>
        <w:rPr>
          <w:color w:val="auto"/>
          <w:highlight w:val="none"/>
        </w:rPr>
      </w:pPr>
    </w:p>
    <w:p w14:paraId="129FFD57">
      <w:pPr>
        <w:widowControl/>
        <w:rPr>
          <w:color w:val="auto"/>
          <w:highlight w:val="none"/>
        </w:rPr>
      </w:pPr>
    </w:p>
    <w:p w14:paraId="6FC459F0">
      <w:pPr>
        <w:widowControl/>
        <w:rPr>
          <w:color w:val="auto"/>
          <w:highlight w:val="none"/>
        </w:rPr>
      </w:pPr>
    </w:p>
    <w:p w14:paraId="20E5AB8C">
      <w:pPr>
        <w:widowControl/>
        <w:rPr>
          <w:color w:val="auto"/>
          <w:highlight w:val="none"/>
        </w:rPr>
      </w:pPr>
    </w:p>
    <w:p w14:paraId="3237F429">
      <w:pPr>
        <w:widowControl/>
        <w:rPr>
          <w:color w:val="auto"/>
          <w:highlight w:val="none"/>
        </w:rPr>
      </w:pPr>
    </w:p>
    <w:p w14:paraId="259EEF33">
      <w:pPr>
        <w:widowControl/>
        <w:rPr>
          <w:color w:val="auto"/>
          <w:highlight w:val="none"/>
        </w:rPr>
      </w:pPr>
    </w:p>
    <w:p w14:paraId="0510499D">
      <w:pPr>
        <w:widowControl/>
        <w:rPr>
          <w:color w:val="auto"/>
          <w:highlight w:val="none"/>
        </w:rPr>
      </w:pPr>
    </w:p>
    <w:p w14:paraId="39BA10B8">
      <w:pPr>
        <w:widowControl/>
        <w:rPr>
          <w:color w:val="auto"/>
          <w:highlight w:val="none"/>
        </w:rPr>
      </w:pPr>
    </w:p>
    <w:p w14:paraId="51EF52E3">
      <w:pPr>
        <w:widowControl/>
        <w:rPr>
          <w:color w:val="auto"/>
          <w:highlight w:val="none"/>
        </w:rPr>
      </w:pPr>
    </w:p>
    <w:p w14:paraId="1352F145">
      <w:pPr>
        <w:widowControl/>
        <w:rPr>
          <w:rFonts w:eastAsia="黑体"/>
          <w:color w:val="auto"/>
          <w:szCs w:val="21"/>
          <w:highlight w:val="none"/>
          <w:u w:val="single"/>
        </w:rPr>
      </w:pPr>
    </w:p>
    <w:p w14:paraId="5B576CD4">
      <w:pPr>
        <w:rPr>
          <w:rFonts w:eastAsia="黑体"/>
          <w:color w:val="auto"/>
          <w:szCs w:val="21"/>
          <w:highlight w:val="none"/>
          <w:u w:val="single"/>
        </w:rPr>
      </w:pPr>
    </w:p>
    <w:p w14:paraId="39FB6D23">
      <w:pPr>
        <w:adjustRightInd w:val="0"/>
        <w:snapToGrid w:val="0"/>
        <w:spacing w:line="360" w:lineRule="auto"/>
        <w:ind w:firstLine="560" w:firstLineChars="200"/>
        <w:jc w:val="center"/>
        <w:rPr>
          <w:rFonts w:eastAsia="黑体"/>
          <w:color w:val="auto"/>
          <w:sz w:val="28"/>
          <w:szCs w:val="28"/>
          <w:highlight w:val="none"/>
        </w:rPr>
      </w:pPr>
    </w:p>
    <w:p w14:paraId="6DF2BCB6">
      <w:pPr>
        <w:adjustRightInd w:val="0"/>
        <w:snapToGrid w:val="0"/>
        <w:spacing w:line="360" w:lineRule="auto"/>
        <w:ind w:firstLine="560" w:firstLineChars="200"/>
        <w:jc w:val="center"/>
        <w:rPr>
          <w:rFonts w:eastAsia="黑体"/>
          <w:color w:val="auto"/>
          <w:sz w:val="28"/>
          <w:szCs w:val="28"/>
          <w:highlight w:val="none"/>
        </w:rPr>
      </w:pPr>
    </w:p>
    <w:p w14:paraId="5CFBF5F2">
      <w:pPr>
        <w:pStyle w:val="2"/>
        <w:jc w:val="center"/>
        <w:rPr>
          <w:rFonts w:ascii="Times New Roman" w:hAnsi="Times New Roman" w:eastAsia="黑体"/>
          <w:b w:val="0"/>
          <w:bCs w:val="0"/>
          <w:color w:val="auto"/>
          <w:highlight w:val="none"/>
        </w:rPr>
      </w:pPr>
      <w:bookmarkStart w:id="1239" w:name="_Toc211498781"/>
      <w:bookmarkStart w:id="1240" w:name="_Toc80006170"/>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施工组织设计格式</w:t>
      </w:r>
      <w:bookmarkEnd w:id="1239"/>
      <w:bookmarkEnd w:id="1240"/>
    </w:p>
    <w:p w14:paraId="22869606">
      <w:pPr>
        <w:widowControl/>
        <w:jc w:val="center"/>
        <w:rPr>
          <w:b/>
          <w:bCs/>
          <w:color w:val="auto"/>
          <w:sz w:val="28"/>
          <w:szCs w:val="36"/>
          <w:highlight w:val="none"/>
        </w:rPr>
      </w:pPr>
      <w:bookmarkStart w:id="1241" w:name="_Toc79998458"/>
      <w:bookmarkStart w:id="1242" w:name="_Toc303865023"/>
      <w:bookmarkStart w:id="1243" w:name="_Toc79998902"/>
      <w:bookmarkStart w:id="1244" w:name="_Toc9189381"/>
      <w:bookmarkStart w:id="1245" w:name="_Toc21505477"/>
      <w:r>
        <w:rPr>
          <w:b/>
          <w:bCs/>
          <w:color w:val="auto"/>
          <w:sz w:val="28"/>
          <w:szCs w:val="36"/>
          <w:highlight w:val="none"/>
        </w:rPr>
        <w:t>（暗标）</w:t>
      </w:r>
      <w:bookmarkEnd w:id="1241"/>
      <w:bookmarkEnd w:id="1242"/>
      <w:bookmarkEnd w:id="1243"/>
      <w:bookmarkEnd w:id="1244"/>
      <w:bookmarkEnd w:id="1245"/>
    </w:p>
    <w:p w14:paraId="62D39CEB">
      <w:pPr>
        <w:adjustRightInd w:val="0"/>
        <w:snapToGrid w:val="0"/>
        <w:spacing w:line="360" w:lineRule="auto"/>
        <w:ind w:firstLine="560" w:firstLineChars="200"/>
        <w:jc w:val="center"/>
        <w:rPr>
          <w:rFonts w:eastAsia="黑体"/>
          <w:color w:val="auto"/>
          <w:sz w:val="28"/>
          <w:szCs w:val="28"/>
          <w:highlight w:val="none"/>
        </w:rPr>
      </w:pPr>
    </w:p>
    <w:p w14:paraId="1052051C">
      <w:pPr>
        <w:adjustRightInd w:val="0"/>
        <w:snapToGrid w:val="0"/>
        <w:spacing w:line="360" w:lineRule="auto"/>
        <w:ind w:firstLine="560" w:firstLineChars="200"/>
        <w:jc w:val="center"/>
        <w:rPr>
          <w:rFonts w:eastAsia="黑体"/>
          <w:color w:val="auto"/>
          <w:sz w:val="28"/>
          <w:szCs w:val="28"/>
          <w:highlight w:val="none"/>
        </w:rPr>
      </w:pPr>
    </w:p>
    <w:p w14:paraId="51A98A28">
      <w:pPr>
        <w:adjustRightInd w:val="0"/>
        <w:snapToGrid w:val="0"/>
        <w:spacing w:line="360" w:lineRule="auto"/>
        <w:ind w:firstLine="560" w:firstLineChars="200"/>
        <w:jc w:val="center"/>
        <w:rPr>
          <w:rFonts w:eastAsia="黑体"/>
          <w:color w:val="auto"/>
          <w:sz w:val="28"/>
          <w:szCs w:val="28"/>
          <w:highlight w:val="none"/>
        </w:rPr>
      </w:pPr>
    </w:p>
    <w:p w14:paraId="70FE8189">
      <w:pPr>
        <w:adjustRightInd w:val="0"/>
        <w:snapToGrid w:val="0"/>
        <w:spacing w:line="360" w:lineRule="auto"/>
        <w:ind w:firstLine="560" w:firstLineChars="200"/>
        <w:jc w:val="center"/>
        <w:rPr>
          <w:rFonts w:eastAsia="黑体"/>
          <w:color w:val="auto"/>
          <w:sz w:val="28"/>
          <w:szCs w:val="28"/>
          <w:highlight w:val="none"/>
        </w:rPr>
      </w:pPr>
    </w:p>
    <w:p w14:paraId="4A516B26">
      <w:pPr>
        <w:adjustRightInd w:val="0"/>
        <w:snapToGrid w:val="0"/>
        <w:spacing w:line="360" w:lineRule="auto"/>
        <w:ind w:firstLine="560" w:firstLineChars="200"/>
        <w:jc w:val="center"/>
        <w:rPr>
          <w:rFonts w:eastAsia="黑体"/>
          <w:color w:val="auto"/>
          <w:sz w:val="28"/>
          <w:szCs w:val="28"/>
          <w:highlight w:val="none"/>
        </w:rPr>
      </w:pPr>
    </w:p>
    <w:p w14:paraId="06B13E63">
      <w:pPr>
        <w:adjustRightInd w:val="0"/>
        <w:snapToGrid w:val="0"/>
        <w:spacing w:line="360" w:lineRule="auto"/>
        <w:ind w:firstLine="560" w:firstLineChars="200"/>
        <w:jc w:val="center"/>
        <w:rPr>
          <w:rFonts w:eastAsia="黑体"/>
          <w:color w:val="auto"/>
          <w:sz w:val="28"/>
          <w:szCs w:val="28"/>
          <w:highlight w:val="none"/>
        </w:rPr>
      </w:pPr>
    </w:p>
    <w:p w14:paraId="11F86312">
      <w:pPr>
        <w:adjustRightInd w:val="0"/>
        <w:snapToGrid w:val="0"/>
        <w:spacing w:line="360" w:lineRule="auto"/>
        <w:ind w:firstLine="560" w:firstLineChars="200"/>
        <w:jc w:val="center"/>
        <w:rPr>
          <w:rFonts w:eastAsia="黑体"/>
          <w:color w:val="auto"/>
          <w:sz w:val="28"/>
          <w:szCs w:val="28"/>
          <w:highlight w:val="none"/>
        </w:rPr>
      </w:pPr>
    </w:p>
    <w:p w14:paraId="0B82F04F">
      <w:pPr>
        <w:adjustRightInd w:val="0"/>
        <w:snapToGrid w:val="0"/>
        <w:spacing w:line="360" w:lineRule="auto"/>
        <w:ind w:firstLine="560" w:firstLineChars="200"/>
        <w:jc w:val="center"/>
        <w:rPr>
          <w:rFonts w:eastAsia="黑体"/>
          <w:color w:val="auto"/>
          <w:sz w:val="28"/>
          <w:szCs w:val="28"/>
          <w:highlight w:val="none"/>
        </w:rPr>
      </w:pPr>
    </w:p>
    <w:p w14:paraId="442B0929">
      <w:pPr>
        <w:adjustRightInd w:val="0"/>
        <w:snapToGrid w:val="0"/>
        <w:spacing w:line="360" w:lineRule="auto"/>
        <w:ind w:firstLine="560" w:firstLineChars="200"/>
        <w:jc w:val="center"/>
        <w:rPr>
          <w:rFonts w:eastAsia="黑体"/>
          <w:color w:val="auto"/>
          <w:sz w:val="28"/>
          <w:szCs w:val="28"/>
          <w:highlight w:val="none"/>
        </w:rPr>
      </w:pPr>
    </w:p>
    <w:p w14:paraId="5EFA750C">
      <w:pPr>
        <w:adjustRightInd w:val="0"/>
        <w:snapToGrid w:val="0"/>
        <w:spacing w:line="360" w:lineRule="auto"/>
        <w:ind w:firstLine="560" w:firstLineChars="200"/>
        <w:jc w:val="center"/>
        <w:rPr>
          <w:rFonts w:eastAsia="黑体"/>
          <w:color w:val="auto"/>
          <w:sz w:val="28"/>
          <w:szCs w:val="28"/>
          <w:highlight w:val="none"/>
        </w:rPr>
      </w:pPr>
    </w:p>
    <w:p w14:paraId="4CC6FF77">
      <w:pPr>
        <w:adjustRightInd w:val="0"/>
        <w:snapToGrid w:val="0"/>
        <w:spacing w:line="360" w:lineRule="auto"/>
        <w:ind w:firstLine="560" w:firstLineChars="200"/>
        <w:jc w:val="center"/>
        <w:rPr>
          <w:rFonts w:eastAsia="黑体"/>
          <w:color w:val="auto"/>
          <w:sz w:val="28"/>
          <w:szCs w:val="28"/>
          <w:highlight w:val="none"/>
        </w:rPr>
      </w:pPr>
    </w:p>
    <w:p w14:paraId="11BCFC70">
      <w:pPr>
        <w:adjustRightInd w:val="0"/>
        <w:snapToGrid w:val="0"/>
        <w:spacing w:line="360" w:lineRule="auto"/>
        <w:ind w:firstLine="560" w:firstLineChars="200"/>
        <w:jc w:val="center"/>
        <w:rPr>
          <w:rFonts w:eastAsia="黑体"/>
          <w:color w:val="auto"/>
          <w:sz w:val="28"/>
          <w:szCs w:val="28"/>
          <w:highlight w:val="none"/>
        </w:rPr>
      </w:pPr>
    </w:p>
    <w:p w14:paraId="23B7BEF1">
      <w:pPr>
        <w:adjustRightInd w:val="0"/>
        <w:snapToGrid w:val="0"/>
        <w:spacing w:line="360" w:lineRule="auto"/>
        <w:ind w:firstLine="560" w:firstLineChars="200"/>
        <w:jc w:val="center"/>
        <w:rPr>
          <w:rFonts w:eastAsia="黑体"/>
          <w:color w:val="auto"/>
          <w:sz w:val="28"/>
          <w:szCs w:val="28"/>
          <w:highlight w:val="none"/>
        </w:rPr>
      </w:pPr>
    </w:p>
    <w:p w14:paraId="4B672A37">
      <w:pPr>
        <w:adjustRightInd w:val="0"/>
        <w:snapToGrid w:val="0"/>
        <w:spacing w:line="360" w:lineRule="auto"/>
        <w:ind w:firstLine="560" w:firstLineChars="200"/>
        <w:jc w:val="center"/>
        <w:rPr>
          <w:rFonts w:eastAsia="黑体"/>
          <w:color w:val="auto"/>
          <w:sz w:val="28"/>
          <w:szCs w:val="28"/>
          <w:highlight w:val="none"/>
        </w:rPr>
      </w:pPr>
    </w:p>
    <w:p w14:paraId="12A57503">
      <w:pPr>
        <w:adjustRightInd w:val="0"/>
        <w:snapToGrid w:val="0"/>
        <w:spacing w:line="360" w:lineRule="auto"/>
        <w:ind w:firstLine="560" w:firstLineChars="20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施工组织设计编制要求</w:t>
      </w:r>
    </w:p>
    <w:p w14:paraId="14E66A6F">
      <w:pPr>
        <w:spacing w:line="360" w:lineRule="auto"/>
        <w:ind w:left="210" w:leftChars="100" w:firstLine="210" w:firstLineChars="100"/>
        <w:rPr>
          <w:color w:val="auto"/>
          <w:szCs w:val="21"/>
          <w:highlight w:val="none"/>
        </w:rPr>
      </w:pPr>
      <w:r>
        <w:rPr>
          <w:color w:val="auto"/>
          <w:szCs w:val="21"/>
          <w:highlight w:val="none"/>
        </w:rPr>
        <w:t>一、</w:t>
      </w:r>
      <w:r>
        <w:rPr>
          <w:color w:val="auto"/>
          <w:highlight w:val="none"/>
        </w:rPr>
        <w:t>施工组织设计</w:t>
      </w:r>
      <w:r>
        <w:rPr>
          <w:color w:val="auto"/>
          <w:szCs w:val="21"/>
          <w:highlight w:val="none"/>
        </w:rPr>
        <w:t>采用暗标评审方式，投标人应当根据</w:t>
      </w:r>
      <w:r>
        <w:rPr>
          <w:rFonts w:hint="eastAsia"/>
          <w:color w:val="auto"/>
          <w:highlight w:val="none"/>
        </w:rPr>
        <w:t>招标文件</w:t>
      </w:r>
      <w:r>
        <w:rPr>
          <w:color w:val="auto"/>
          <w:highlight w:val="none"/>
        </w:rPr>
        <w:t>规定的评审内容编制施工组织设计，具体</w:t>
      </w:r>
      <w:r>
        <w:rPr>
          <w:color w:val="auto"/>
          <w:szCs w:val="21"/>
          <w:highlight w:val="none"/>
        </w:rPr>
        <w:t>包括下列内容（按此顺序）：</w:t>
      </w:r>
    </w:p>
    <w:p w14:paraId="0E969163">
      <w:pPr>
        <w:adjustRightInd w:val="0"/>
        <w:snapToGrid w:val="0"/>
        <w:spacing w:line="360" w:lineRule="auto"/>
        <w:ind w:firstLine="420" w:firstLineChars="200"/>
        <w:jc w:val="left"/>
        <w:rPr>
          <w:color w:val="auto"/>
          <w:szCs w:val="21"/>
          <w:highlight w:val="none"/>
        </w:rPr>
      </w:pPr>
      <w:r>
        <w:rPr>
          <w:color w:val="auto"/>
          <w:szCs w:val="21"/>
          <w:highlight w:val="none"/>
        </w:rPr>
        <w:t>1．施工方案与技术措施；</w:t>
      </w:r>
    </w:p>
    <w:p w14:paraId="07232B31">
      <w:pPr>
        <w:adjustRightInd w:val="0"/>
        <w:snapToGrid w:val="0"/>
        <w:spacing w:line="360" w:lineRule="auto"/>
        <w:ind w:firstLine="420" w:firstLineChars="200"/>
        <w:jc w:val="left"/>
        <w:rPr>
          <w:color w:val="auto"/>
          <w:szCs w:val="21"/>
          <w:highlight w:val="none"/>
        </w:rPr>
      </w:pPr>
      <w:r>
        <w:rPr>
          <w:color w:val="auto"/>
          <w:szCs w:val="21"/>
          <w:highlight w:val="none"/>
        </w:rPr>
        <w:t>2．质量管理体系与措施；</w:t>
      </w:r>
    </w:p>
    <w:p w14:paraId="468FF5FF">
      <w:pPr>
        <w:adjustRightInd w:val="0"/>
        <w:snapToGrid w:val="0"/>
        <w:spacing w:line="360" w:lineRule="auto"/>
        <w:ind w:firstLine="420" w:firstLineChars="200"/>
        <w:jc w:val="left"/>
        <w:rPr>
          <w:color w:val="auto"/>
          <w:szCs w:val="21"/>
          <w:highlight w:val="none"/>
        </w:rPr>
      </w:pPr>
      <w:r>
        <w:rPr>
          <w:color w:val="auto"/>
          <w:szCs w:val="21"/>
          <w:highlight w:val="none"/>
        </w:rPr>
        <w:t>3．安全管理体系与措施；</w:t>
      </w:r>
    </w:p>
    <w:p w14:paraId="111B8CBF">
      <w:pPr>
        <w:adjustRightInd w:val="0"/>
        <w:snapToGrid w:val="0"/>
        <w:spacing w:line="360" w:lineRule="auto"/>
        <w:ind w:firstLine="420" w:firstLineChars="200"/>
        <w:jc w:val="left"/>
        <w:rPr>
          <w:color w:val="auto"/>
          <w:szCs w:val="21"/>
          <w:highlight w:val="none"/>
        </w:rPr>
      </w:pPr>
      <w:r>
        <w:rPr>
          <w:color w:val="auto"/>
          <w:szCs w:val="21"/>
          <w:highlight w:val="none"/>
        </w:rPr>
        <w:t>4．环境保护管理体系与措施；</w:t>
      </w:r>
    </w:p>
    <w:p w14:paraId="6B3591C8">
      <w:pPr>
        <w:adjustRightInd w:val="0"/>
        <w:snapToGrid w:val="0"/>
        <w:spacing w:line="360" w:lineRule="auto"/>
        <w:ind w:firstLine="420" w:firstLineChars="200"/>
        <w:jc w:val="left"/>
        <w:rPr>
          <w:color w:val="auto"/>
          <w:szCs w:val="21"/>
          <w:highlight w:val="none"/>
        </w:rPr>
      </w:pPr>
      <w:r>
        <w:rPr>
          <w:color w:val="auto"/>
          <w:szCs w:val="21"/>
          <w:highlight w:val="none"/>
        </w:rPr>
        <w:t>5．工程进度计划与保证措施；</w:t>
      </w:r>
    </w:p>
    <w:p w14:paraId="12FE3FB8">
      <w:pPr>
        <w:adjustRightInd w:val="0"/>
        <w:snapToGrid w:val="0"/>
        <w:spacing w:line="360" w:lineRule="auto"/>
        <w:ind w:firstLine="420" w:firstLineChars="200"/>
        <w:jc w:val="left"/>
        <w:rPr>
          <w:color w:val="auto"/>
          <w:szCs w:val="21"/>
          <w:highlight w:val="none"/>
        </w:rPr>
      </w:pPr>
      <w:r>
        <w:rPr>
          <w:color w:val="auto"/>
          <w:szCs w:val="21"/>
          <w:highlight w:val="none"/>
        </w:rPr>
        <w:t>6．资源配备计划</w:t>
      </w:r>
      <w:r>
        <w:rPr>
          <w:rFonts w:hint="eastAsia"/>
          <w:color w:val="auto"/>
          <w:szCs w:val="21"/>
          <w:highlight w:val="none"/>
        </w:rPr>
        <w:t>；</w:t>
      </w:r>
    </w:p>
    <w:p w14:paraId="290EAD42">
      <w:pPr>
        <w:adjustRightInd w:val="0"/>
        <w:snapToGrid w:val="0"/>
        <w:spacing w:line="360" w:lineRule="auto"/>
        <w:ind w:firstLine="360" w:firstLineChars="200"/>
        <w:jc w:val="left"/>
        <w:rPr>
          <w:color w:val="auto"/>
          <w:sz w:val="18"/>
          <w:szCs w:val="18"/>
          <w:highlight w:val="none"/>
        </w:rPr>
      </w:pPr>
      <w:r>
        <w:rPr>
          <w:color w:val="auto"/>
          <w:sz w:val="18"/>
          <w:szCs w:val="18"/>
          <w:highlight w:val="none"/>
        </w:rPr>
        <w:t>注：如有合理化建议，不单独列出，各投标人将相关内容融入各相应章节。</w:t>
      </w:r>
    </w:p>
    <w:p w14:paraId="1B14CA24">
      <w:pPr>
        <w:spacing w:line="360" w:lineRule="auto"/>
        <w:ind w:firstLine="105" w:firstLineChars="50"/>
        <w:rPr>
          <w:color w:val="auto"/>
          <w:szCs w:val="21"/>
          <w:highlight w:val="none"/>
        </w:rPr>
      </w:pPr>
      <w:r>
        <w:rPr>
          <w:color w:val="auto"/>
          <w:highlight w:val="none"/>
        </w:rPr>
        <w:t xml:space="preserve"> </w:t>
      </w:r>
      <w:r>
        <w:rPr>
          <w:color w:val="auto"/>
          <w:szCs w:val="21"/>
          <w:highlight w:val="none"/>
        </w:rPr>
        <w:t>二、</w:t>
      </w:r>
      <w:r>
        <w:rPr>
          <w:rFonts w:hint="eastAsia"/>
          <w:color w:val="auto"/>
          <w:szCs w:val="21"/>
          <w:highlight w:val="none"/>
        </w:rPr>
        <w:t>施工组织设计（</w:t>
      </w:r>
      <w:r>
        <w:rPr>
          <w:color w:val="auto"/>
          <w:szCs w:val="21"/>
          <w:highlight w:val="none"/>
        </w:rPr>
        <w:t>暗标</w:t>
      </w:r>
      <w:r>
        <w:rPr>
          <w:rFonts w:hint="eastAsia"/>
          <w:color w:val="auto"/>
          <w:szCs w:val="21"/>
          <w:highlight w:val="none"/>
        </w:rPr>
        <w:t>）编制要</w:t>
      </w:r>
      <w:r>
        <w:rPr>
          <w:color w:val="auto"/>
          <w:szCs w:val="21"/>
          <w:highlight w:val="none"/>
        </w:rPr>
        <w:t>求</w:t>
      </w:r>
    </w:p>
    <w:p w14:paraId="6FA947C7">
      <w:pPr>
        <w:adjustRightInd w:val="0"/>
        <w:snapToGrid w:val="0"/>
        <w:spacing w:line="360" w:lineRule="auto"/>
        <w:ind w:firstLine="420" w:firstLineChars="200"/>
        <w:jc w:val="left"/>
        <w:rPr>
          <w:color w:val="auto"/>
          <w:szCs w:val="21"/>
          <w:highlight w:val="none"/>
        </w:rPr>
      </w:pPr>
      <w:r>
        <w:rPr>
          <w:rFonts w:hint="eastAsia"/>
          <w:color w:val="auto"/>
          <w:szCs w:val="21"/>
          <w:highlight w:val="none"/>
        </w:rPr>
        <w:t>1</w:t>
      </w:r>
      <w:r>
        <w:rPr>
          <w:color w:val="auto"/>
          <w:szCs w:val="21"/>
          <w:highlight w:val="none"/>
        </w:rPr>
        <w:t>.应在“施工组织设计暗标”页签中导入电子招标文件生成相关评审模块的目录，并在评审模块目录中导入相关文件。</w:t>
      </w:r>
    </w:p>
    <w:p w14:paraId="55BA4427">
      <w:pPr>
        <w:adjustRightInd w:val="0"/>
        <w:snapToGrid w:val="0"/>
        <w:spacing w:line="360" w:lineRule="auto"/>
        <w:ind w:firstLine="420" w:firstLineChars="200"/>
        <w:jc w:val="left"/>
        <w:rPr>
          <w:color w:val="auto"/>
          <w:szCs w:val="21"/>
          <w:highlight w:val="none"/>
        </w:rPr>
      </w:pPr>
      <w:r>
        <w:rPr>
          <w:color w:val="auto"/>
          <w:szCs w:val="21"/>
          <w:highlight w:val="none"/>
        </w:rPr>
        <w:t>2.编制“施工组织设计暗标”评审模块的文件时，</w:t>
      </w:r>
      <w:r>
        <w:rPr>
          <w:rFonts w:hint="eastAsia"/>
          <w:color w:val="auto"/>
          <w:szCs w:val="21"/>
          <w:highlight w:val="none"/>
        </w:rPr>
        <w:t>需</w:t>
      </w:r>
      <w:r>
        <w:rPr>
          <w:color w:val="auto"/>
          <w:szCs w:val="21"/>
          <w:highlight w:val="none"/>
        </w:rPr>
        <w:t>生成页码。</w:t>
      </w:r>
    </w:p>
    <w:p w14:paraId="58A59C5B">
      <w:pPr>
        <w:adjustRightInd w:val="0"/>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除满足上述各项要求外，投标文件的“施工组织设计暗标”内出现投标人名称或者出现任何能直接判断出投标人名称的内容，评标委员会应当否决其投标。</w:t>
      </w:r>
    </w:p>
    <w:p w14:paraId="4B2718AC">
      <w:pPr>
        <w:spacing w:line="360" w:lineRule="auto"/>
        <w:rPr>
          <w:bCs/>
          <w:color w:val="auto"/>
          <w:highlight w:val="none"/>
          <w:u w:val="single"/>
        </w:rPr>
      </w:pPr>
    </w:p>
    <w:p w14:paraId="6E4214A9">
      <w:pPr>
        <w:spacing w:line="360" w:lineRule="auto"/>
        <w:rPr>
          <w:color w:val="auto"/>
          <w:highlight w:val="none"/>
        </w:rPr>
      </w:pPr>
    </w:p>
    <w:p w14:paraId="67F9CD4B">
      <w:pPr>
        <w:spacing w:line="360" w:lineRule="auto"/>
        <w:rPr>
          <w:color w:val="auto"/>
          <w:highlight w:val="none"/>
        </w:rPr>
      </w:pPr>
    </w:p>
    <w:p w14:paraId="723FDBC0">
      <w:pPr>
        <w:spacing w:line="360" w:lineRule="auto"/>
        <w:ind w:firstLine="420" w:firstLineChars="200"/>
        <w:rPr>
          <w:color w:val="auto"/>
          <w:szCs w:val="21"/>
          <w:highlight w:val="none"/>
        </w:rPr>
      </w:pPr>
    </w:p>
    <w:p w14:paraId="6D47F49B">
      <w:pPr>
        <w:rPr>
          <w:color w:val="auto"/>
          <w:highlight w:val="none"/>
        </w:rPr>
      </w:pPr>
    </w:p>
    <w:p w14:paraId="637C96B6">
      <w:pPr>
        <w:rPr>
          <w:color w:val="auto"/>
          <w:highlight w:val="none"/>
        </w:rPr>
      </w:pPr>
    </w:p>
    <w:p w14:paraId="662AA187">
      <w:pPr>
        <w:rPr>
          <w:color w:val="auto"/>
          <w:highlight w:val="none"/>
        </w:rPr>
      </w:pPr>
    </w:p>
    <w:p w14:paraId="1EB3DF3E">
      <w:pPr>
        <w:rPr>
          <w:color w:val="auto"/>
          <w:highlight w:val="none"/>
        </w:rPr>
      </w:pPr>
    </w:p>
    <w:p w14:paraId="0DEA336F">
      <w:pPr>
        <w:rPr>
          <w:color w:val="auto"/>
          <w:highlight w:val="none"/>
        </w:rPr>
      </w:pPr>
    </w:p>
    <w:sectPr>
      <w:footerReference r:id="rId19" w:type="default"/>
      <w:pgSz w:w="11907" w:h="16840"/>
      <w:pgMar w:top="1440" w:right="1440" w:bottom="1440" w:left="1440" w:header="851" w:footer="85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汉仪叶叶相思体简">
    <w:altName w:val="宋体"/>
    <w:panose1 w:val="0201050906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Droid Sans Japanese">
    <w:altName w:val="Segoe UI Symbol"/>
    <w:panose1 w:val="020B0502000000000001"/>
    <w:charset w:val="00"/>
    <w:family w:val="auto"/>
    <w:pitch w:val="default"/>
    <w:sig w:usb0="00000000" w:usb1="00000000" w:usb2="0000001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Nimbus Roman No9 L">
    <w:altName w:val="Segoe Print"/>
    <w:panose1 w:val="00000000000000000000"/>
    <w:charset w:val="00"/>
    <w:family w:val="auto"/>
    <w:pitch w:val="default"/>
    <w:sig w:usb0="00000000" w:usb1="00000000" w:usb2="00000000" w:usb3="00000000" w:csb0="00000000" w:csb1="00000000"/>
  </w:font>
  <w:font w:name="FZShuSong-Z01">
    <w:altName w:val="宋体"/>
    <w:panose1 w:val="02000000000000000000"/>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38898">
    <w:pPr>
      <w:framePr w:wrap="around" w:vAnchor="text" w:hAnchor="margin" w:xAlign="center" w:y="1"/>
      <w:rPr>
        <w:rStyle w:val="45"/>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08B9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53608B9E">
                    <w:pPr>
                      <w:pStyle w:val="28"/>
                    </w:pPr>
                    <w:r>
                      <w:fldChar w:fldCharType="begin"/>
                    </w:r>
                    <w:r>
                      <w:instrText xml:space="preserve"> PAGE  \* MERGEFORMAT </w:instrText>
                    </w:r>
                    <w:r>
                      <w:fldChar w:fldCharType="separate"/>
                    </w:r>
                    <w:r>
                      <w:t>1</w:t>
                    </w:r>
                    <w:r>
                      <w:fldChar w:fldCharType="end"/>
                    </w:r>
                  </w:p>
                </w:txbxContent>
              </v:textbox>
            </v:shape>
          </w:pict>
        </mc:Fallback>
      </mc:AlternateContent>
    </w:r>
    <w:r>
      <w:fldChar w:fldCharType="begin"/>
    </w:r>
    <w:r>
      <w:rPr>
        <w:rStyle w:val="45"/>
      </w:rPr>
      <w:instrText xml:space="preserve">PAGE  </w:instrText>
    </w:r>
    <w:r>
      <w:fldChar w:fldCharType="separate"/>
    </w:r>
    <w:r>
      <w:rPr>
        <w:rStyle w:val="45"/>
      </w:rPr>
      <w:t>368</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72149">
    <w:pPr>
      <w:pStyle w:val="28"/>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029C0">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B9029C0">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0F67">
    <w:pPr>
      <w:pStyle w:val="28"/>
      <w:jc w:val="center"/>
      <w:rPr>
        <w:rFonts w:hint="eastAsia" w:ascii="宋体" w:hAns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B8DC2">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15B8DC2">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A618">
    <w:pPr>
      <w:pStyle w:val="28"/>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586C">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517586C">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0A1BC">
    <w:pPr>
      <w:pStyle w:val="28"/>
      <w:jc w:val="center"/>
      <w:rPr>
        <w:rFonts w:hint="eastAsia" w:ascii="宋体" w:hAnsi="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FF270">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8BFF270">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DE30">
    <w:pPr>
      <w:pStyle w:val="28"/>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CBAC4">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05ACBAC4">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DA29">
    <w:pPr>
      <w:framePr w:wrap="around" w:vAnchor="text" w:hAnchor="margin" w:xAlign="center" w:y="1"/>
      <w:rPr>
        <w:rStyle w:val="45"/>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86FCF">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3486FCF">
                    <w:pPr>
                      <w:pStyle w:val="28"/>
                    </w:pPr>
                    <w:r>
                      <w:fldChar w:fldCharType="begin"/>
                    </w:r>
                    <w:r>
                      <w:instrText xml:space="preserve"> PAGE  \* MERGEFORMAT </w:instrText>
                    </w:r>
                    <w:r>
                      <w:fldChar w:fldCharType="separate"/>
                    </w:r>
                    <w:r>
                      <w:t>1</w:t>
                    </w:r>
                    <w:r>
                      <w:fldChar w:fldCharType="end"/>
                    </w:r>
                  </w:p>
                </w:txbxContent>
              </v:textbox>
            </v:shape>
          </w:pict>
        </mc:Fallback>
      </mc:AlternateContent>
    </w:r>
    <w:r>
      <w:fldChar w:fldCharType="begin"/>
    </w:r>
    <w:r>
      <w:rPr>
        <w:rStyle w:val="45"/>
      </w:rPr>
      <w:instrText xml:space="preserve">PAGE  </w:instrText>
    </w:r>
    <w:r>
      <w:fldChar w:fldCharType="separate"/>
    </w:r>
    <w:r>
      <w:rPr>
        <w:rStyle w:val="45"/>
      </w:rPr>
      <w:t>368</w:t>
    </w:r>
    <w:r>
      <w:fldChar w:fldCharType="end"/>
    </w:r>
  </w:p>
  <w:p w14:paraId="0F9BAB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F920">
    <w:pPr>
      <w:snapToGrid w:val="0"/>
      <w:jc w:val="center"/>
      <w:rPr>
        <w:rFonts w:hint="eastAsia"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15771">
                          <w:pPr>
                            <w:snapToGrid w:val="0"/>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D915771">
                    <w:pPr>
                      <w:snapToGrid w:val="0"/>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89580">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2F39D">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72F39D">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8F994">
    <w:pPr>
      <w:pStyle w:val="28"/>
      <w:jc w:val="center"/>
      <w:rPr>
        <w:rFonts w:hint="eastAsia" w:ascii="宋体" w:hAns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79704">
                          <w:pPr>
                            <w:pStyle w:val="28"/>
                          </w:pPr>
                          <w:r>
                            <w:t xml:space="preserve">— </w:t>
                          </w:r>
                          <w:r>
                            <w:fldChar w:fldCharType="begin"/>
                          </w:r>
                          <w:r>
                            <w:instrText xml:space="preserve"> PAGE  \* MERGEFORMAT </w:instrText>
                          </w:r>
                          <w:r>
                            <w:fldChar w:fldCharType="separate"/>
                          </w:r>
                          <w:r>
                            <w:t>71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FF79704">
                    <w:pPr>
                      <w:pStyle w:val="28"/>
                    </w:pPr>
                    <w:r>
                      <w:t xml:space="preserve">— </w:t>
                    </w:r>
                    <w:r>
                      <w:fldChar w:fldCharType="begin"/>
                    </w:r>
                    <w:r>
                      <w:instrText xml:space="preserve"> PAGE  \* MERGEFORMAT </w:instrText>
                    </w:r>
                    <w:r>
                      <w:fldChar w:fldCharType="separate"/>
                    </w:r>
                    <w:r>
                      <w:t>71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B380">
    <w:pPr>
      <w:pStyle w:val="2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3F68E">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B3F68E">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CF2A2">
    <w:pPr>
      <w:pStyle w:val="28"/>
      <w:jc w:val="center"/>
      <w:rPr>
        <w:rFonts w:hint="eastAsia" w:ascii="宋体" w:hAnsi="宋体"/>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DF2">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68C41DF2">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FF1E">
    <w:pPr>
      <w:pStyle w:val="2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C62EE">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7CC62EE">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EFED">
    <w:pPr>
      <w:pStyle w:val="28"/>
      <w:jc w:val="center"/>
      <w:rPr>
        <w:rFonts w:hint="eastAsia" w:ascii="宋体" w:hAnsi="宋体"/>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2A75">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F7B2A75">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D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DCA9E"/>
    <w:multiLevelType w:val="singleLevel"/>
    <w:tmpl w:val="CF8DCA9E"/>
    <w:lvl w:ilvl="0" w:tentative="0">
      <w:start w:val="2"/>
      <w:numFmt w:val="decimal"/>
      <w:suff w:val="nothing"/>
      <w:lvlText w:val="%1、"/>
      <w:lvlJc w:val="left"/>
    </w:lvl>
  </w:abstractNum>
  <w:abstractNum w:abstractNumId="1">
    <w:nsid w:val="247836B4"/>
    <w:multiLevelType w:val="singleLevel"/>
    <w:tmpl w:val="247836B4"/>
    <w:lvl w:ilvl="0" w:tentative="0">
      <w:start w:val="1"/>
      <w:numFmt w:val="decimal"/>
      <w:suff w:val="nothing"/>
      <w:lvlText w:val="（%1）"/>
      <w:lvlJc w:val="left"/>
    </w:lvl>
  </w:abstractNum>
  <w:abstractNum w:abstractNumId="2">
    <w:nsid w:val="65757BF1"/>
    <w:multiLevelType w:val="singleLevel"/>
    <w:tmpl w:val="65757BF1"/>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28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NmYxNzRmZmJmZWZlZGE5Mzk4NDEwYjI1MWY2NTEifQ=="/>
  </w:docVars>
  <w:rsids>
    <w:rsidRoot w:val="00172A27"/>
    <w:rsid w:val="0000012A"/>
    <w:rsid w:val="00000419"/>
    <w:rsid w:val="000005E7"/>
    <w:rsid w:val="00001661"/>
    <w:rsid w:val="000017EF"/>
    <w:rsid w:val="00001EBE"/>
    <w:rsid w:val="00002B9C"/>
    <w:rsid w:val="00003E74"/>
    <w:rsid w:val="00006179"/>
    <w:rsid w:val="000072F2"/>
    <w:rsid w:val="000077BA"/>
    <w:rsid w:val="0001026F"/>
    <w:rsid w:val="000102F9"/>
    <w:rsid w:val="00010A79"/>
    <w:rsid w:val="00010E33"/>
    <w:rsid w:val="00010E3D"/>
    <w:rsid w:val="000110F2"/>
    <w:rsid w:val="00011476"/>
    <w:rsid w:val="00011D1C"/>
    <w:rsid w:val="00011E53"/>
    <w:rsid w:val="000124E1"/>
    <w:rsid w:val="00013B8E"/>
    <w:rsid w:val="000143C6"/>
    <w:rsid w:val="00015048"/>
    <w:rsid w:val="00020B2A"/>
    <w:rsid w:val="00021910"/>
    <w:rsid w:val="0002245E"/>
    <w:rsid w:val="00022B7F"/>
    <w:rsid w:val="00023378"/>
    <w:rsid w:val="00023647"/>
    <w:rsid w:val="000236D4"/>
    <w:rsid w:val="00023A43"/>
    <w:rsid w:val="00023C85"/>
    <w:rsid w:val="000247D1"/>
    <w:rsid w:val="00025DA7"/>
    <w:rsid w:val="00025FC6"/>
    <w:rsid w:val="000260C3"/>
    <w:rsid w:val="00027B8F"/>
    <w:rsid w:val="000304C7"/>
    <w:rsid w:val="00030732"/>
    <w:rsid w:val="00030909"/>
    <w:rsid w:val="0003143E"/>
    <w:rsid w:val="00031D21"/>
    <w:rsid w:val="0003301E"/>
    <w:rsid w:val="000339CF"/>
    <w:rsid w:val="00033B73"/>
    <w:rsid w:val="00033D2B"/>
    <w:rsid w:val="00033F28"/>
    <w:rsid w:val="00034BC3"/>
    <w:rsid w:val="0003592D"/>
    <w:rsid w:val="00035EF7"/>
    <w:rsid w:val="00037802"/>
    <w:rsid w:val="0004080D"/>
    <w:rsid w:val="00040E6E"/>
    <w:rsid w:val="00040F20"/>
    <w:rsid w:val="000410E0"/>
    <w:rsid w:val="00041860"/>
    <w:rsid w:val="00041A17"/>
    <w:rsid w:val="00042481"/>
    <w:rsid w:val="00042805"/>
    <w:rsid w:val="00043C85"/>
    <w:rsid w:val="00044C89"/>
    <w:rsid w:val="000456C5"/>
    <w:rsid w:val="000460BB"/>
    <w:rsid w:val="00046E68"/>
    <w:rsid w:val="000477E0"/>
    <w:rsid w:val="000509BE"/>
    <w:rsid w:val="00050A9D"/>
    <w:rsid w:val="00050AB0"/>
    <w:rsid w:val="000514EB"/>
    <w:rsid w:val="0005359C"/>
    <w:rsid w:val="000549C7"/>
    <w:rsid w:val="0005509E"/>
    <w:rsid w:val="00055BCC"/>
    <w:rsid w:val="00056B38"/>
    <w:rsid w:val="00056C54"/>
    <w:rsid w:val="00057D18"/>
    <w:rsid w:val="000601DC"/>
    <w:rsid w:val="0006183F"/>
    <w:rsid w:val="0006219A"/>
    <w:rsid w:val="00063BCA"/>
    <w:rsid w:val="000646B0"/>
    <w:rsid w:val="00064EC4"/>
    <w:rsid w:val="00065172"/>
    <w:rsid w:val="00065F29"/>
    <w:rsid w:val="00066B04"/>
    <w:rsid w:val="00066D53"/>
    <w:rsid w:val="0007046E"/>
    <w:rsid w:val="000716E4"/>
    <w:rsid w:val="00071978"/>
    <w:rsid w:val="000725A8"/>
    <w:rsid w:val="00072945"/>
    <w:rsid w:val="00072C18"/>
    <w:rsid w:val="000731D9"/>
    <w:rsid w:val="000746E8"/>
    <w:rsid w:val="00074A88"/>
    <w:rsid w:val="00075666"/>
    <w:rsid w:val="0007615A"/>
    <w:rsid w:val="00076278"/>
    <w:rsid w:val="00077006"/>
    <w:rsid w:val="0007730E"/>
    <w:rsid w:val="00077337"/>
    <w:rsid w:val="00077482"/>
    <w:rsid w:val="00077CF6"/>
    <w:rsid w:val="00080E31"/>
    <w:rsid w:val="00080EE9"/>
    <w:rsid w:val="000816F4"/>
    <w:rsid w:val="00081CED"/>
    <w:rsid w:val="000823F8"/>
    <w:rsid w:val="000827F0"/>
    <w:rsid w:val="00083053"/>
    <w:rsid w:val="00083B3D"/>
    <w:rsid w:val="0008418D"/>
    <w:rsid w:val="000844E6"/>
    <w:rsid w:val="00085D38"/>
    <w:rsid w:val="00085E16"/>
    <w:rsid w:val="00090BC8"/>
    <w:rsid w:val="0009141B"/>
    <w:rsid w:val="00092B1C"/>
    <w:rsid w:val="000932FD"/>
    <w:rsid w:val="00093D97"/>
    <w:rsid w:val="0009654B"/>
    <w:rsid w:val="00097B15"/>
    <w:rsid w:val="000A0C74"/>
    <w:rsid w:val="000A15B9"/>
    <w:rsid w:val="000A1639"/>
    <w:rsid w:val="000A1DE5"/>
    <w:rsid w:val="000A212C"/>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458"/>
    <w:rsid w:val="000B7C7E"/>
    <w:rsid w:val="000B7E45"/>
    <w:rsid w:val="000C0D35"/>
    <w:rsid w:val="000C0DF9"/>
    <w:rsid w:val="000C157D"/>
    <w:rsid w:val="000C19F1"/>
    <w:rsid w:val="000C35B2"/>
    <w:rsid w:val="000C39B6"/>
    <w:rsid w:val="000C4938"/>
    <w:rsid w:val="000C4E54"/>
    <w:rsid w:val="000C50B7"/>
    <w:rsid w:val="000C550E"/>
    <w:rsid w:val="000C6D5B"/>
    <w:rsid w:val="000C7475"/>
    <w:rsid w:val="000C7D35"/>
    <w:rsid w:val="000D0040"/>
    <w:rsid w:val="000D0373"/>
    <w:rsid w:val="000D0398"/>
    <w:rsid w:val="000D156D"/>
    <w:rsid w:val="000D320F"/>
    <w:rsid w:val="000D4797"/>
    <w:rsid w:val="000D47F5"/>
    <w:rsid w:val="000D49EC"/>
    <w:rsid w:val="000D4F77"/>
    <w:rsid w:val="000D5451"/>
    <w:rsid w:val="000D5900"/>
    <w:rsid w:val="000D7BC4"/>
    <w:rsid w:val="000E100D"/>
    <w:rsid w:val="000E15F8"/>
    <w:rsid w:val="000E1C8B"/>
    <w:rsid w:val="000E33FF"/>
    <w:rsid w:val="000E3DCD"/>
    <w:rsid w:val="000E3FD7"/>
    <w:rsid w:val="000E494A"/>
    <w:rsid w:val="000E4A30"/>
    <w:rsid w:val="000E55CC"/>
    <w:rsid w:val="000E738A"/>
    <w:rsid w:val="000F1449"/>
    <w:rsid w:val="000F1BED"/>
    <w:rsid w:val="000F1E3E"/>
    <w:rsid w:val="000F24DF"/>
    <w:rsid w:val="000F2533"/>
    <w:rsid w:val="000F2A7D"/>
    <w:rsid w:val="000F2F57"/>
    <w:rsid w:val="000F3958"/>
    <w:rsid w:val="000F4252"/>
    <w:rsid w:val="000F458E"/>
    <w:rsid w:val="000F47DB"/>
    <w:rsid w:val="000F536E"/>
    <w:rsid w:val="000F6D7B"/>
    <w:rsid w:val="0010039A"/>
    <w:rsid w:val="001009E7"/>
    <w:rsid w:val="00100A0D"/>
    <w:rsid w:val="001022A2"/>
    <w:rsid w:val="00102524"/>
    <w:rsid w:val="00102D90"/>
    <w:rsid w:val="00103D42"/>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20E42"/>
    <w:rsid w:val="0012105F"/>
    <w:rsid w:val="00121DB8"/>
    <w:rsid w:val="00121DE7"/>
    <w:rsid w:val="00122A22"/>
    <w:rsid w:val="00123C2D"/>
    <w:rsid w:val="001245D2"/>
    <w:rsid w:val="00124748"/>
    <w:rsid w:val="00124C2C"/>
    <w:rsid w:val="0012535A"/>
    <w:rsid w:val="00125BBA"/>
    <w:rsid w:val="00125FA2"/>
    <w:rsid w:val="00125FE0"/>
    <w:rsid w:val="0012612A"/>
    <w:rsid w:val="00126626"/>
    <w:rsid w:val="0012714D"/>
    <w:rsid w:val="00127D73"/>
    <w:rsid w:val="001302F1"/>
    <w:rsid w:val="0013039A"/>
    <w:rsid w:val="001309B7"/>
    <w:rsid w:val="0013172B"/>
    <w:rsid w:val="00131A66"/>
    <w:rsid w:val="001321A3"/>
    <w:rsid w:val="00133444"/>
    <w:rsid w:val="001336CC"/>
    <w:rsid w:val="001336EB"/>
    <w:rsid w:val="00134F96"/>
    <w:rsid w:val="00135863"/>
    <w:rsid w:val="001379AC"/>
    <w:rsid w:val="00141437"/>
    <w:rsid w:val="00141822"/>
    <w:rsid w:val="00141C94"/>
    <w:rsid w:val="00142830"/>
    <w:rsid w:val="00142A16"/>
    <w:rsid w:val="001438DE"/>
    <w:rsid w:val="00144E41"/>
    <w:rsid w:val="0014627A"/>
    <w:rsid w:val="001462F6"/>
    <w:rsid w:val="00147330"/>
    <w:rsid w:val="001477FD"/>
    <w:rsid w:val="001479A2"/>
    <w:rsid w:val="00147D27"/>
    <w:rsid w:val="00150643"/>
    <w:rsid w:val="001509F4"/>
    <w:rsid w:val="00151B63"/>
    <w:rsid w:val="00151FB5"/>
    <w:rsid w:val="00154052"/>
    <w:rsid w:val="001546C6"/>
    <w:rsid w:val="00154FF1"/>
    <w:rsid w:val="00155573"/>
    <w:rsid w:val="00155596"/>
    <w:rsid w:val="001570F6"/>
    <w:rsid w:val="0015715B"/>
    <w:rsid w:val="00157A87"/>
    <w:rsid w:val="0016053D"/>
    <w:rsid w:val="00160741"/>
    <w:rsid w:val="001607AD"/>
    <w:rsid w:val="001625CB"/>
    <w:rsid w:val="00163B47"/>
    <w:rsid w:val="00163BF1"/>
    <w:rsid w:val="001645ED"/>
    <w:rsid w:val="001647CA"/>
    <w:rsid w:val="00165400"/>
    <w:rsid w:val="0016562D"/>
    <w:rsid w:val="001656C6"/>
    <w:rsid w:val="00166CDA"/>
    <w:rsid w:val="00166F8D"/>
    <w:rsid w:val="00167203"/>
    <w:rsid w:val="001701F2"/>
    <w:rsid w:val="00170487"/>
    <w:rsid w:val="001709ED"/>
    <w:rsid w:val="00171938"/>
    <w:rsid w:val="00172A27"/>
    <w:rsid w:val="00174080"/>
    <w:rsid w:val="00174D63"/>
    <w:rsid w:val="001753A4"/>
    <w:rsid w:val="00175746"/>
    <w:rsid w:val="001759CE"/>
    <w:rsid w:val="001807AA"/>
    <w:rsid w:val="00181A76"/>
    <w:rsid w:val="00182550"/>
    <w:rsid w:val="00183FA7"/>
    <w:rsid w:val="0018442E"/>
    <w:rsid w:val="00184526"/>
    <w:rsid w:val="001848E9"/>
    <w:rsid w:val="001850A2"/>
    <w:rsid w:val="0018678E"/>
    <w:rsid w:val="00187A73"/>
    <w:rsid w:val="00190E5F"/>
    <w:rsid w:val="001916B2"/>
    <w:rsid w:val="00191B87"/>
    <w:rsid w:val="0019233E"/>
    <w:rsid w:val="001929B5"/>
    <w:rsid w:val="0019326F"/>
    <w:rsid w:val="00193795"/>
    <w:rsid w:val="001937ED"/>
    <w:rsid w:val="00193BEB"/>
    <w:rsid w:val="00194B00"/>
    <w:rsid w:val="001963F0"/>
    <w:rsid w:val="00197171"/>
    <w:rsid w:val="001971B3"/>
    <w:rsid w:val="001978FD"/>
    <w:rsid w:val="00197C09"/>
    <w:rsid w:val="001A10B7"/>
    <w:rsid w:val="001A198F"/>
    <w:rsid w:val="001A31C0"/>
    <w:rsid w:val="001A34F1"/>
    <w:rsid w:val="001A3529"/>
    <w:rsid w:val="001A42BF"/>
    <w:rsid w:val="001A5479"/>
    <w:rsid w:val="001A575C"/>
    <w:rsid w:val="001A5F4D"/>
    <w:rsid w:val="001A5FA8"/>
    <w:rsid w:val="001A66C5"/>
    <w:rsid w:val="001A6FB3"/>
    <w:rsid w:val="001A7BEF"/>
    <w:rsid w:val="001B0197"/>
    <w:rsid w:val="001B1EE2"/>
    <w:rsid w:val="001B2111"/>
    <w:rsid w:val="001B2990"/>
    <w:rsid w:val="001B2B55"/>
    <w:rsid w:val="001B37CB"/>
    <w:rsid w:val="001B39F6"/>
    <w:rsid w:val="001B3C9A"/>
    <w:rsid w:val="001B3F64"/>
    <w:rsid w:val="001B593C"/>
    <w:rsid w:val="001B5FBA"/>
    <w:rsid w:val="001B6ADB"/>
    <w:rsid w:val="001B7695"/>
    <w:rsid w:val="001C07A2"/>
    <w:rsid w:val="001C0963"/>
    <w:rsid w:val="001C1015"/>
    <w:rsid w:val="001C14D8"/>
    <w:rsid w:val="001C2E14"/>
    <w:rsid w:val="001C30FF"/>
    <w:rsid w:val="001C43F1"/>
    <w:rsid w:val="001C4E35"/>
    <w:rsid w:val="001C5163"/>
    <w:rsid w:val="001C518E"/>
    <w:rsid w:val="001D014A"/>
    <w:rsid w:val="001D1538"/>
    <w:rsid w:val="001D1644"/>
    <w:rsid w:val="001D3294"/>
    <w:rsid w:val="001D3FB1"/>
    <w:rsid w:val="001D3FB2"/>
    <w:rsid w:val="001D4D10"/>
    <w:rsid w:val="001D55AE"/>
    <w:rsid w:val="001E0A51"/>
    <w:rsid w:val="001E2006"/>
    <w:rsid w:val="001E21D2"/>
    <w:rsid w:val="001E428A"/>
    <w:rsid w:val="001E51F0"/>
    <w:rsid w:val="001E5283"/>
    <w:rsid w:val="001E58E4"/>
    <w:rsid w:val="001E596D"/>
    <w:rsid w:val="001E5999"/>
    <w:rsid w:val="001E5AAC"/>
    <w:rsid w:val="001E604B"/>
    <w:rsid w:val="001E6794"/>
    <w:rsid w:val="001E6C29"/>
    <w:rsid w:val="001E7736"/>
    <w:rsid w:val="001E7F10"/>
    <w:rsid w:val="001F037B"/>
    <w:rsid w:val="001F0D6B"/>
    <w:rsid w:val="001F158F"/>
    <w:rsid w:val="001F1841"/>
    <w:rsid w:val="001F18F2"/>
    <w:rsid w:val="001F1A73"/>
    <w:rsid w:val="001F1FA2"/>
    <w:rsid w:val="001F21B1"/>
    <w:rsid w:val="001F253E"/>
    <w:rsid w:val="001F31DD"/>
    <w:rsid w:val="001F354E"/>
    <w:rsid w:val="001F4778"/>
    <w:rsid w:val="001F5941"/>
    <w:rsid w:val="001F7131"/>
    <w:rsid w:val="001F7958"/>
    <w:rsid w:val="001F7CBB"/>
    <w:rsid w:val="00200311"/>
    <w:rsid w:val="0020093F"/>
    <w:rsid w:val="00200ECE"/>
    <w:rsid w:val="00201C7A"/>
    <w:rsid w:val="0020269E"/>
    <w:rsid w:val="0020382F"/>
    <w:rsid w:val="00203B75"/>
    <w:rsid w:val="002044B3"/>
    <w:rsid w:val="0020511B"/>
    <w:rsid w:val="002066B6"/>
    <w:rsid w:val="002077AF"/>
    <w:rsid w:val="002100BF"/>
    <w:rsid w:val="00210C1C"/>
    <w:rsid w:val="002110AE"/>
    <w:rsid w:val="002111ED"/>
    <w:rsid w:val="00211239"/>
    <w:rsid w:val="00212378"/>
    <w:rsid w:val="00212660"/>
    <w:rsid w:val="002129F9"/>
    <w:rsid w:val="00212B80"/>
    <w:rsid w:val="00213002"/>
    <w:rsid w:val="00213D46"/>
    <w:rsid w:val="00213D47"/>
    <w:rsid w:val="00213E8A"/>
    <w:rsid w:val="00214127"/>
    <w:rsid w:val="0021420B"/>
    <w:rsid w:val="00214383"/>
    <w:rsid w:val="0021443E"/>
    <w:rsid w:val="0021472F"/>
    <w:rsid w:val="002165CA"/>
    <w:rsid w:val="00216750"/>
    <w:rsid w:val="00217126"/>
    <w:rsid w:val="002209F0"/>
    <w:rsid w:val="00221357"/>
    <w:rsid w:val="00221885"/>
    <w:rsid w:val="002219CA"/>
    <w:rsid w:val="00221E87"/>
    <w:rsid w:val="00223C02"/>
    <w:rsid w:val="00224096"/>
    <w:rsid w:val="0022412D"/>
    <w:rsid w:val="00224BB7"/>
    <w:rsid w:val="00224BDC"/>
    <w:rsid w:val="00224CBD"/>
    <w:rsid w:val="00224F55"/>
    <w:rsid w:val="00225648"/>
    <w:rsid w:val="002259BE"/>
    <w:rsid w:val="00225C0D"/>
    <w:rsid w:val="0023078C"/>
    <w:rsid w:val="00230E0B"/>
    <w:rsid w:val="002312F5"/>
    <w:rsid w:val="00232249"/>
    <w:rsid w:val="00232D5D"/>
    <w:rsid w:val="00234911"/>
    <w:rsid w:val="00234DA5"/>
    <w:rsid w:val="002354C5"/>
    <w:rsid w:val="00235A6D"/>
    <w:rsid w:val="00236EA2"/>
    <w:rsid w:val="00236F1A"/>
    <w:rsid w:val="00240221"/>
    <w:rsid w:val="00240554"/>
    <w:rsid w:val="002411C0"/>
    <w:rsid w:val="00241EA6"/>
    <w:rsid w:val="002425F2"/>
    <w:rsid w:val="00242D37"/>
    <w:rsid w:val="00242EFB"/>
    <w:rsid w:val="002456C5"/>
    <w:rsid w:val="00245948"/>
    <w:rsid w:val="00245BE1"/>
    <w:rsid w:val="00247671"/>
    <w:rsid w:val="0024767A"/>
    <w:rsid w:val="002506CA"/>
    <w:rsid w:val="0025132B"/>
    <w:rsid w:val="00251360"/>
    <w:rsid w:val="002516C0"/>
    <w:rsid w:val="00252462"/>
    <w:rsid w:val="00252AD0"/>
    <w:rsid w:val="00252FAD"/>
    <w:rsid w:val="0025346F"/>
    <w:rsid w:val="00253AA4"/>
    <w:rsid w:val="00254005"/>
    <w:rsid w:val="0025435A"/>
    <w:rsid w:val="00254581"/>
    <w:rsid w:val="00254AD9"/>
    <w:rsid w:val="00254F9A"/>
    <w:rsid w:val="00256F9B"/>
    <w:rsid w:val="0026091C"/>
    <w:rsid w:val="002637B7"/>
    <w:rsid w:val="00263B77"/>
    <w:rsid w:val="00264149"/>
    <w:rsid w:val="002641C6"/>
    <w:rsid w:val="0026462C"/>
    <w:rsid w:val="00266064"/>
    <w:rsid w:val="00272A69"/>
    <w:rsid w:val="00272F81"/>
    <w:rsid w:val="00273597"/>
    <w:rsid w:val="00273783"/>
    <w:rsid w:val="0027399E"/>
    <w:rsid w:val="002741BB"/>
    <w:rsid w:val="00274222"/>
    <w:rsid w:val="00274426"/>
    <w:rsid w:val="00274592"/>
    <w:rsid w:val="0027479F"/>
    <w:rsid w:val="00274A1D"/>
    <w:rsid w:val="00274C58"/>
    <w:rsid w:val="00274E07"/>
    <w:rsid w:val="00274F2A"/>
    <w:rsid w:val="002755EF"/>
    <w:rsid w:val="002758FD"/>
    <w:rsid w:val="0027603A"/>
    <w:rsid w:val="00276971"/>
    <w:rsid w:val="00276C74"/>
    <w:rsid w:val="0028002F"/>
    <w:rsid w:val="00280150"/>
    <w:rsid w:val="00280C8B"/>
    <w:rsid w:val="00283304"/>
    <w:rsid w:val="00283BBA"/>
    <w:rsid w:val="00284179"/>
    <w:rsid w:val="002849FC"/>
    <w:rsid w:val="0028507D"/>
    <w:rsid w:val="00285520"/>
    <w:rsid w:val="00285E0E"/>
    <w:rsid w:val="00286C5D"/>
    <w:rsid w:val="00286F67"/>
    <w:rsid w:val="002870A4"/>
    <w:rsid w:val="002879DB"/>
    <w:rsid w:val="00290ED2"/>
    <w:rsid w:val="002921BD"/>
    <w:rsid w:val="002926AA"/>
    <w:rsid w:val="00292958"/>
    <w:rsid w:val="00292C0C"/>
    <w:rsid w:val="00292E30"/>
    <w:rsid w:val="0029307D"/>
    <w:rsid w:val="002930BE"/>
    <w:rsid w:val="002937C3"/>
    <w:rsid w:val="00293A46"/>
    <w:rsid w:val="00293B78"/>
    <w:rsid w:val="00294125"/>
    <w:rsid w:val="00294432"/>
    <w:rsid w:val="00295335"/>
    <w:rsid w:val="002967B2"/>
    <w:rsid w:val="00296937"/>
    <w:rsid w:val="00296C1B"/>
    <w:rsid w:val="0029726C"/>
    <w:rsid w:val="002A03B0"/>
    <w:rsid w:val="002A121B"/>
    <w:rsid w:val="002A1BBC"/>
    <w:rsid w:val="002A201F"/>
    <w:rsid w:val="002A2229"/>
    <w:rsid w:val="002A22B2"/>
    <w:rsid w:val="002A4C0D"/>
    <w:rsid w:val="002A50DF"/>
    <w:rsid w:val="002A51DD"/>
    <w:rsid w:val="002A663B"/>
    <w:rsid w:val="002A70FE"/>
    <w:rsid w:val="002A7623"/>
    <w:rsid w:val="002A7805"/>
    <w:rsid w:val="002A7E5A"/>
    <w:rsid w:val="002B0607"/>
    <w:rsid w:val="002B08CE"/>
    <w:rsid w:val="002B14F7"/>
    <w:rsid w:val="002B25DB"/>
    <w:rsid w:val="002B355C"/>
    <w:rsid w:val="002B3BCE"/>
    <w:rsid w:val="002B4787"/>
    <w:rsid w:val="002B4E1B"/>
    <w:rsid w:val="002B51B5"/>
    <w:rsid w:val="002B58D3"/>
    <w:rsid w:val="002B6307"/>
    <w:rsid w:val="002B65E9"/>
    <w:rsid w:val="002C0210"/>
    <w:rsid w:val="002C05C1"/>
    <w:rsid w:val="002C197A"/>
    <w:rsid w:val="002C1B19"/>
    <w:rsid w:val="002C1C2C"/>
    <w:rsid w:val="002C29C9"/>
    <w:rsid w:val="002C2A5C"/>
    <w:rsid w:val="002C40B1"/>
    <w:rsid w:val="002C48A4"/>
    <w:rsid w:val="002C4CDA"/>
    <w:rsid w:val="002C6383"/>
    <w:rsid w:val="002C6EF9"/>
    <w:rsid w:val="002C700E"/>
    <w:rsid w:val="002C765C"/>
    <w:rsid w:val="002C79A1"/>
    <w:rsid w:val="002D0A26"/>
    <w:rsid w:val="002D0E39"/>
    <w:rsid w:val="002D1FCF"/>
    <w:rsid w:val="002D2FA4"/>
    <w:rsid w:val="002D450B"/>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2FAD"/>
    <w:rsid w:val="002E35ED"/>
    <w:rsid w:val="002E4053"/>
    <w:rsid w:val="002E4625"/>
    <w:rsid w:val="002E46C2"/>
    <w:rsid w:val="002E4B82"/>
    <w:rsid w:val="002E4D13"/>
    <w:rsid w:val="002E4F7D"/>
    <w:rsid w:val="002E59B4"/>
    <w:rsid w:val="002E6A8D"/>
    <w:rsid w:val="002E6B96"/>
    <w:rsid w:val="002E7A59"/>
    <w:rsid w:val="002E7F08"/>
    <w:rsid w:val="002F1840"/>
    <w:rsid w:val="002F1F22"/>
    <w:rsid w:val="002F24FF"/>
    <w:rsid w:val="002F2600"/>
    <w:rsid w:val="002F27FD"/>
    <w:rsid w:val="002F2906"/>
    <w:rsid w:val="002F3195"/>
    <w:rsid w:val="002F363B"/>
    <w:rsid w:val="002F37E5"/>
    <w:rsid w:val="002F3CDB"/>
    <w:rsid w:val="002F6238"/>
    <w:rsid w:val="002F65E8"/>
    <w:rsid w:val="003002F7"/>
    <w:rsid w:val="00300D6E"/>
    <w:rsid w:val="00300DBF"/>
    <w:rsid w:val="00301301"/>
    <w:rsid w:val="00302279"/>
    <w:rsid w:val="00302519"/>
    <w:rsid w:val="003028AE"/>
    <w:rsid w:val="00304F0B"/>
    <w:rsid w:val="00305028"/>
    <w:rsid w:val="00305F90"/>
    <w:rsid w:val="00306577"/>
    <w:rsid w:val="003070EF"/>
    <w:rsid w:val="00307B50"/>
    <w:rsid w:val="00310293"/>
    <w:rsid w:val="00310D7D"/>
    <w:rsid w:val="00310EC9"/>
    <w:rsid w:val="00310FA4"/>
    <w:rsid w:val="00311237"/>
    <w:rsid w:val="00311436"/>
    <w:rsid w:val="00311705"/>
    <w:rsid w:val="00311A7F"/>
    <w:rsid w:val="00311B47"/>
    <w:rsid w:val="00312384"/>
    <w:rsid w:val="00313311"/>
    <w:rsid w:val="003144C6"/>
    <w:rsid w:val="00314566"/>
    <w:rsid w:val="0031479F"/>
    <w:rsid w:val="00315A69"/>
    <w:rsid w:val="00316F15"/>
    <w:rsid w:val="0031739B"/>
    <w:rsid w:val="00323177"/>
    <w:rsid w:val="003232E7"/>
    <w:rsid w:val="003247DA"/>
    <w:rsid w:val="00324D4A"/>
    <w:rsid w:val="00326B99"/>
    <w:rsid w:val="0032762C"/>
    <w:rsid w:val="00327988"/>
    <w:rsid w:val="00327CB1"/>
    <w:rsid w:val="003309A7"/>
    <w:rsid w:val="00330A7D"/>
    <w:rsid w:val="00330F3E"/>
    <w:rsid w:val="00331F93"/>
    <w:rsid w:val="003324FD"/>
    <w:rsid w:val="00332AB5"/>
    <w:rsid w:val="003353A4"/>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5BAB"/>
    <w:rsid w:val="003474D9"/>
    <w:rsid w:val="0034766B"/>
    <w:rsid w:val="0034790D"/>
    <w:rsid w:val="00347912"/>
    <w:rsid w:val="00347F42"/>
    <w:rsid w:val="00347FCB"/>
    <w:rsid w:val="0035021D"/>
    <w:rsid w:val="0035023B"/>
    <w:rsid w:val="003506B8"/>
    <w:rsid w:val="003509F5"/>
    <w:rsid w:val="00350AB3"/>
    <w:rsid w:val="00350C3C"/>
    <w:rsid w:val="00351152"/>
    <w:rsid w:val="0035122E"/>
    <w:rsid w:val="00351CC8"/>
    <w:rsid w:val="003524F9"/>
    <w:rsid w:val="00353944"/>
    <w:rsid w:val="00354387"/>
    <w:rsid w:val="00354BF7"/>
    <w:rsid w:val="00354D46"/>
    <w:rsid w:val="003556C6"/>
    <w:rsid w:val="00355AEF"/>
    <w:rsid w:val="00356C3C"/>
    <w:rsid w:val="00357846"/>
    <w:rsid w:val="00360D53"/>
    <w:rsid w:val="003624CA"/>
    <w:rsid w:val="0036273D"/>
    <w:rsid w:val="003629D2"/>
    <w:rsid w:val="00362F36"/>
    <w:rsid w:val="00364D43"/>
    <w:rsid w:val="00364D62"/>
    <w:rsid w:val="00365808"/>
    <w:rsid w:val="00365DED"/>
    <w:rsid w:val="00366055"/>
    <w:rsid w:val="0036622E"/>
    <w:rsid w:val="00366A27"/>
    <w:rsid w:val="00366BF7"/>
    <w:rsid w:val="00367CBF"/>
    <w:rsid w:val="003701C3"/>
    <w:rsid w:val="0037196E"/>
    <w:rsid w:val="00372FCC"/>
    <w:rsid w:val="003739F2"/>
    <w:rsid w:val="003757C3"/>
    <w:rsid w:val="00376915"/>
    <w:rsid w:val="00376F8B"/>
    <w:rsid w:val="003772DB"/>
    <w:rsid w:val="00377389"/>
    <w:rsid w:val="00380281"/>
    <w:rsid w:val="003802C8"/>
    <w:rsid w:val="00380A92"/>
    <w:rsid w:val="00380ECB"/>
    <w:rsid w:val="00381A37"/>
    <w:rsid w:val="00381F70"/>
    <w:rsid w:val="003828B3"/>
    <w:rsid w:val="00387153"/>
    <w:rsid w:val="00387A73"/>
    <w:rsid w:val="00390858"/>
    <w:rsid w:val="00390B3C"/>
    <w:rsid w:val="00390BAC"/>
    <w:rsid w:val="003925A9"/>
    <w:rsid w:val="00393987"/>
    <w:rsid w:val="00394787"/>
    <w:rsid w:val="003957F5"/>
    <w:rsid w:val="00395D87"/>
    <w:rsid w:val="00396B81"/>
    <w:rsid w:val="00396E9E"/>
    <w:rsid w:val="003971B4"/>
    <w:rsid w:val="003A098E"/>
    <w:rsid w:val="003A0AB7"/>
    <w:rsid w:val="003A0FB8"/>
    <w:rsid w:val="003A1635"/>
    <w:rsid w:val="003A1E93"/>
    <w:rsid w:val="003A2121"/>
    <w:rsid w:val="003A3586"/>
    <w:rsid w:val="003A51A5"/>
    <w:rsid w:val="003A6FB2"/>
    <w:rsid w:val="003A7C11"/>
    <w:rsid w:val="003B0032"/>
    <w:rsid w:val="003B0DC0"/>
    <w:rsid w:val="003B0E5F"/>
    <w:rsid w:val="003B1472"/>
    <w:rsid w:val="003B2A39"/>
    <w:rsid w:val="003B2BB6"/>
    <w:rsid w:val="003B3D3E"/>
    <w:rsid w:val="003B3F79"/>
    <w:rsid w:val="003B4436"/>
    <w:rsid w:val="003B4B0D"/>
    <w:rsid w:val="003B4DAD"/>
    <w:rsid w:val="003B560B"/>
    <w:rsid w:val="003B58B2"/>
    <w:rsid w:val="003B5D25"/>
    <w:rsid w:val="003B5E0B"/>
    <w:rsid w:val="003B6FD6"/>
    <w:rsid w:val="003B74D9"/>
    <w:rsid w:val="003C06B8"/>
    <w:rsid w:val="003C235C"/>
    <w:rsid w:val="003C292A"/>
    <w:rsid w:val="003C293F"/>
    <w:rsid w:val="003C3609"/>
    <w:rsid w:val="003C4566"/>
    <w:rsid w:val="003C561B"/>
    <w:rsid w:val="003C7491"/>
    <w:rsid w:val="003C7737"/>
    <w:rsid w:val="003C7F06"/>
    <w:rsid w:val="003D09DA"/>
    <w:rsid w:val="003D1571"/>
    <w:rsid w:val="003D1DA6"/>
    <w:rsid w:val="003D33EF"/>
    <w:rsid w:val="003D3A7F"/>
    <w:rsid w:val="003D4D29"/>
    <w:rsid w:val="003D544A"/>
    <w:rsid w:val="003D55CE"/>
    <w:rsid w:val="003D63AC"/>
    <w:rsid w:val="003D6A5B"/>
    <w:rsid w:val="003D7FAC"/>
    <w:rsid w:val="003E0B28"/>
    <w:rsid w:val="003E0EE4"/>
    <w:rsid w:val="003E2090"/>
    <w:rsid w:val="003E2C1A"/>
    <w:rsid w:val="003E345F"/>
    <w:rsid w:val="003E3CBC"/>
    <w:rsid w:val="003E4AD0"/>
    <w:rsid w:val="003E5DC4"/>
    <w:rsid w:val="003E60D2"/>
    <w:rsid w:val="003E621B"/>
    <w:rsid w:val="003E6C93"/>
    <w:rsid w:val="003E6D1B"/>
    <w:rsid w:val="003F0884"/>
    <w:rsid w:val="003F0C4F"/>
    <w:rsid w:val="003F108C"/>
    <w:rsid w:val="003F221F"/>
    <w:rsid w:val="003F28E7"/>
    <w:rsid w:val="003F328E"/>
    <w:rsid w:val="003F3EA8"/>
    <w:rsid w:val="003F3FA8"/>
    <w:rsid w:val="003F417C"/>
    <w:rsid w:val="003F4DAD"/>
    <w:rsid w:val="003F536A"/>
    <w:rsid w:val="003F570C"/>
    <w:rsid w:val="003F6462"/>
    <w:rsid w:val="003F6E59"/>
    <w:rsid w:val="003F75AA"/>
    <w:rsid w:val="003F77AA"/>
    <w:rsid w:val="003F7B6F"/>
    <w:rsid w:val="0040395B"/>
    <w:rsid w:val="00403A3D"/>
    <w:rsid w:val="0040445B"/>
    <w:rsid w:val="00404818"/>
    <w:rsid w:val="00404AAF"/>
    <w:rsid w:val="004053B6"/>
    <w:rsid w:val="0040586A"/>
    <w:rsid w:val="00405FE9"/>
    <w:rsid w:val="0040794D"/>
    <w:rsid w:val="0040797D"/>
    <w:rsid w:val="00410210"/>
    <w:rsid w:val="0041079E"/>
    <w:rsid w:val="00410D89"/>
    <w:rsid w:val="00411AA4"/>
    <w:rsid w:val="00411F04"/>
    <w:rsid w:val="0041364A"/>
    <w:rsid w:val="00414A2A"/>
    <w:rsid w:val="00415114"/>
    <w:rsid w:val="0041529B"/>
    <w:rsid w:val="00415320"/>
    <w:rsid w:val="00415CB1"/>
    <w:rsid w:val="0041689E"/>
    <w:rsid w:val="004202C8"/>
    <w:rsid w:val="004207F0"/>
    <w:rsid w:val="00420B46"/>
    <w:rsid w:val="00421173"/>
    <w:rsid w:val="00421D5D"/>
    <w:rsid w:val="00422308"/>
    <w:rsid w:val="00424073"/>
    <w:rsid w:val="0042483F"/>
    <w:rsid w:val="0042693C"/>
    <w:rsid w:val="00427946"/>
    <w:rsid w:val="00427B47"/>
    <w:rsid w:val="00430439"/>
    <w:rsid w:val="0043044A"/>
    <w:rsid w:val="004305EC"/>
    <w:rsid w:val="00430F9B"/>
    <w:rsid w:val="0043175E"/>
    <w:rsid w:val="00432043"/>
    <w:rsid w:val="00432060"/>
    <w:rsid w:val="00432128"/>
    <w:rsid w:val="00432510"/>
    <w:rsid w:val="00433E3B"/>
    <w:rsid w:val="00434866"/>
    <w:rsid w:val="00434882"/>
    <w:rsid w:val="00434D7F"/>
    <w:rsid w:val="00435771"/>
    <w:rsid w:val="00435ED7"/>
    <w:rsid w:val="004361C2"/>
    <w:rsid w:val="00436981"/>
    <w:rsid w:val="0044011D"/>
    <w:rsid w:val="00440678"/>
    <w:rsid w:val="00440931"/>
    <w:rsid w:val="00441F79"/>
    <w:rsid w:val="0044302A"/>
    <w:rsid w:val="00443A20"/>
    <w:rsid w:val="00443B70"/>
    <w:rsid w:val="004441C3"/>
    <w:rsid w:val="004460E0"/>
    <w:rsid w:val="00446F09"/>
    <w:rsid w:val="00447B43"/>
    <w:rsid w:val="00451490"/>
    <w:rsid w:val="004514A3"/>
    <w:rsid w:val="004514EA"/>
    <w:rsid w:val="00451941"/>
    <w:rsid w:val="00451C9C"/>
    <w:rsid w:val="004526A9"/>
    <w:rsid w:val="00452703"/>
    <w:rsid w:val="00452A0F"/>
    <w:rsid w:val="0045304A"/>
    <w:rsid w:val="004532DF"/>
    <w:rsid w:val="0045403F"/>
    <w:rsid w:val="004542CB"/>
    <w:rsid w:val="00454A46"/>
    <w:rsid w:val="00454E38"/>
    <w:rsid w:val="0045503D"/>
    <w:rsid w:val="0045540B"/>
    <w:rsid w:val="00456DC8"/>
    <w:rsid w:val="004579B9"/>
    <w:rsid w:val="00457F0F"/>
    <w:rsid w:val="00460365"/>
    <w:rsid w:val="0046138A"/>
    <w:rsid w:val="00461941"/>
    <w:rsid w:val="00461FF6"/>
    <w:rsid w:val="00462062"/>
    <w:rsid w:val="00462C7E"/>
    <w:rsid w:val="00463E50"/>
    <w:rsid w:val="00464187"/>
    <w:rsid w:val="0046423A"/>
    <w:rsid w:val="0046463E"/>
    <w:rsid w:val="00465A26"/>
    <w:rsid w:val="00466CBC"/>
    <w:rsid w:val="004674C9"/>
    <w:rsid w:val="00470216"/>
    <w:rsid w:val="004710E2"/>
    <w:rsid w:val="0047123B"/>
    <w:rsid w:val="00471DDC"/>
    <w:rsid w:val="004721FA"/>
    <w:rsid w:val="00472754"/>
    <w:rsid w:val="004730FB"/>
    <w:rsid w:val="00473841"/>
    <w:rsid w:val="00474156"/>
    <w:rsid w:val="0047634B"/>
    <w:rsid w:val="00477025"/>
    <w:rsid w:val="004778A8"/>
    <w:rsid w:val="00482557"/>
    <w:rsid w:val="004825AA"/>
    <w:rsid w:val="004835A3"/>
    <w:rsid w:val="00483BB9"/>
    <w:rsid w:val="00484926"/>
    <w:rsid w:val="00485D4D"/>
    <w:rsid w:val="00485DFD"/>
    <w:rsid w:val="004863D3"/>
    <w:rsid w:val="0048776B"/>
    <w:rsid w:val="00487A5B"/>
    <w:rsid w:val="00491157"/>
    <w:rsid w:val="00491499"/>
    <w:rsid w:val="00491762"/>
    <w:rsid w:val="00492BC1"/>
    <w:rsid w:val="00492F95"/>
    <w:rsid w:val="00493F3A"/>
    <w:rsid w:val="00494777"/>
    <w:rsid w:val="0049498F"/>
    <w:rsid w:val="004960F5"/>
    <w:rsid w:val="00497497"/>
    <w:rsid w:val="004A155E"/>
    <w:rsid w:val="004A255D"/>
    <w:rsid w:val="004A2F38"/>
    <w:rsid w:val="004A4EF1"/>
    <w:rsid w:val="004A5338"/>
    <w:rsid w:val="004A53BD"/>
    <w:rsid w:val="004A6E10"/>
    <w:rsid w:val="004A7FF3"/>
    <w:rsid w:val="004B0297"/>
    <w:rsid w:val="004B03AA"/>
    <w:rsid w:val="004B218C"/>
    <w:rsid w:val="004B27E2"/>
    <w:rsid w:val="004B28DA"/>
    <w:rsid w:val="004B2969"/>
    <w:rsid w:val="004B2F55"/>
    <w:rsid w:val="004B2F79"/>
    <w:rsid w:val="004B3871"/>
    <w:rsid w:val="004B4B68"/>
    <w:rsid w:val="004B4BFC"/>
    <w:rsid w:val="004B54B5"/>
    <w:rsid w:val="004B6A3B"/>
    <w:rsid w:val="004B7591"/>
    <w:rsid w:val="004B7792"/>
    <w:rsid w:val="004B7921"/>
    <w:rsid w:val="004C16FD"/>
    <w:rsid w:val="004C2041"/>
    <w:rsid w:val="004C374B"/>
    <w:rsid w:val="004C5219"/>
    <w:rsid w:val="004C5CBB"/>
    <w:rsid w:val="004C61A5"/>
    <w:rsid w:val="004C70A6"/>
    <w:rsid w:val="004D0543"/>
    <w:rsid w:val="004D0DCE"/>
    <w:rsid w:val="004D1DA3"/>
    <w:rsid w:val="004D223C"/>
    <w:rsid w:val="004D2605"/>
    <w:rsid w:val="004D2EA7"/>
    <w:rsid w:val="004D48A3"/>
    <w:rsid w:val="004D543F"/>
    <w:rsid w:val="004D5BB3"/>
    <w:rsid w:val="004D5ECA"/>
    <w:rsid w:val="004D6371"/>
    <w:rsid w:val="004D69C6"/>
    <w:rsid w:val="004D70CA"/>
    <w:rsid w:val="004D77AD"/>
    <w:rsid w:val="004D7ADC"/>
    <w:rsid w:val="004E0DAA"/>
    <w:rsid w:val="004E12BB"/>
    <w:rsid w:val="004E1AC3"/>
    <w:rsid w:val="004E22A1"/>
    <w:rsid w:val="004E25AB"/>
    <w:rsid w:val="004E289C"/>
    <w:rsid w:val="004E28C3"/>
    <w:rsid w:val="004E290B"/>
    <w:rsid w:val="004E2EFF"/>
    <w:rsid w:val="004E31E7"/>
    <w:rsid w:val="004E3C96"/>
    <w:rsid w:val="004E4349"/>
    <w:rsid w:val="004E528B"/>
    <w:rsid w:val="004E641A"/>
    <w:rsid w:val="004E6E4B"/>
    <w:rsid w:val="004E7749"/>
    <w:rsid w:val="004F0014"/>
    <w:rsid w:val="004F123A"/>
    <w:rsid w:val="004F171E"/>
    <w:rsid w:val="004F184F"/>
    <w:rsid w:val="004F1A28"/>
    <w:rsid w:val="004F25C8"/>
    <w:rsid w:val="004F37CB"/>
    <w:rsid w:val="004F3974"/>
    <w:rsid w:val="004F4D86"/>
    <w:rsid w:val="004F5B5F"/>
    <w:rsid w:val="004F5C40"/>
    <w:rsid w:val="004F5E7E"/>
    <w:rsid w:val="004F6AF0"/>
    <w:rsid w:val="004F7800"/>
    <w:rsid w:val="004F785A"/>
    <w:rsid w:val="004F7EBE"/>
    <w:rsid w:val="00500C14"/>
    <w:rsid w:val="0050163E"/>
    <w:rsid w:val="00501697"/>
    <w:rsid w:val="0050203D"/>
    <w:rsid w:val="005029BC"/>
    <w:rsid w:val="00502C2B"/>
    <w:rsid w:val="00502F6B"/>
    <w:rsid w:val="0050402A"/>
    <w:rsid w:val="005048F7"/>
    <w:rsid w:val="0050524D"/>
    <w:rsid w:val="005058EE"/>
    <w:rsid w:val="005061C8"/>
    <w:rsid w:val="0050683D"/>
    <w:rsid w:val="00506A52"/>
    <w:rsid w:val="005077BD"/>
    <w:rsid w:val="00507A9E"/>
    <w:rsid w:val="00510FD7"/>
    <w:rsid w:val="00511523"/>
    <w:rsid w:val="00512296"/>
    <w:rsid w:val="005126BC"/>
    <w:rsid w:val="00512E3D"/>
    <w:rsid w:val="005130C3"/>
    <w:rsid w:val="005135DC"/>
    <w:rsid w:val="00513CB5"/>
    <w:rsid w:val="00513FB0"/>
    <w:rsid w:val="00514A66"/>
    <w:rsid w:val="00517124"/>
    <w:rsid w:val="005171EE"/>
    <w:rsid w:val="005173CF"/>
    <w:rsid w:val="0051760C"/>
    <w:rsid w:val="00517DF1"/>
    <w:rsid w:val="00520982"/>
    <w:rsid w:val="00520A5F"/>
    <w:rsid w:val="00521FB4"/>
    <w:rsid w:val="005226F7"/>
    <w:rsid w:val="00525D63"/>
    <w:rsid w:val="0052602D"/>
    <w:rsid w:val="005260E6"/>
    <w:rsid w:val="00526916"/>
    <w:rsid w:val="005269B8"/>
    <w:rsid w:val="00527277"/>
    <w:rsid w:val="00527361"/>
    <w:rsid w:val="00530277"/>
    <w:rsid w:val="00531BC3"/>
    <w:rsid w:val="0053264A"/>
    <w:rsid w:val="00532C0E"/>
    <w:rsid w:val="00533B84"/>
    <w:rsid w:val="00534918"/>
    <w:rsid w:val="00534C93"/>
    <w:rsid w:val="00534F0D"/>
    <w:rsid w:val="00537FCD"/>
    <w:rsid w:val="0054156E"/>
    <w:rsid w:val="005417FB"/>
    <w:rsid w:val="00541B38"/>
    <w:rsid w:val="00541DA1"/>
    <w:rsid w:val="00543C86"/>
    <w:rsid w:val="00544249"/>
    <w:rsid w:val="005452E5"/>
    <w:rsid w:val="005457AC"/>
    <w:rsid w:val="00545B0B"/>
    <w:rsid w:val="00546806"/>
    <w:rsid w:val="00546FCD"/>
    <w:rsid w:val="00547A7E"/>
    <w:rsid w:val="00547E4F"/>
    <w:rsid w:val="00547FC8"/>
    <w:rsid w:val="005501D2"/>
    <w:rsid w:val="005505F2"/>
    <w:rsid w:val="00551EBD"/>
    <w:rsid w:val="00552538"/>
    <w:rsid w:val="005534C2"/>
    <w:rsid w:val="00553729"/>
    <w:rsid w:val="00553832"/>
    <w:rsid w:val="005554CC"/>
    <w:rsid w:val="0055556D"/>
    <w:rsid w:val="00555E1D"/>
    <w:rsid w:val="00555EBF"/>
    <w:rsid w:val="00556917"/>
    <w:rsid w:val="005570FF"/>
    <w:rsid w:val="00557739"/>
    <w:rsid w:val="005579E5"/>
    <w:rsid w:val="00557C9D"/>
    <w:rsid w:val="00557D6B"/>
    <w:rsid w:val="005601F0"/>
    <w:rsid w:val="00560685"/>
    <w:rsid w:val="00560A76"/>
    <w:rsid w:val="0056163C"/>
    <w:rsid w:val="00561A02"/>
    <w:rsid w:val="00561C0C"/>
    <w:rsid w:val="00562207"/>
    <w:rsid w:val="00563ADE"/>
    <w:rsid w:val="00564778"/>
    <w:rsid w:val="0056481D"/>
    <w:rsid w:val="00564F6E"/>
    <w:rsid w:val="00565830"/>
    <w:rsid w:val="00565AE0"/>
    <w:rsid w:val="00565D45"/>
    <w:rsid w:val="00567298"/>
    <w:rsid w:val="005677BC"/>
    <w:rsid w:val="005700A0"/>
    <w:rsid w:val="00570994"/>
    <w:rsid w:val="00571DCE"/>
    <w:rsid w:val="005727CE"/>
    <w:rsid w:val="00572A0C"/>
    <w:rsid w:val="005743F4"/>
    <w:rsid w:val="00574968"/>
    <w:rsid w:val="00574D34"/>
    <w:rsid w:val="005752F4"/>
    <w:rsid w:val="00575903"/>
    <w:rsid w:val="00575DBF"/>
    <w:rsid w:val="005778A2"/>
    <w:rsid w:val="005778F8"/>
    <w:rsid w:val="00582393"/>
    <w:rsid w:val="00582610"/>
    <w:rsid w:val="00582F34"/>
    <w:rsid w:val="005831A4"/>
    <w:rsid w:val="005838C9"/>
    <w:rsid w:val="00583D57"/>
    <w:rsid w:val="00584C08"/>
    <w:rsid w:val="00585203"/>
    <w:rsid w:val="005852C9"/>
    <w:rsid w:val="0058574A"/>
    <w:rsid w:val="00585E43"/>
    <w:rsid w:val="00586B01"/>
    <w:rsid w:val="0058717F"/>
    <w:rsid w:val="00587784"/>
    <w:rsid w:val="00587ECF"/>
    <w:rsid w:val="00587F16"/>
    <w:rsid w:val="005903D7"/>
    <w:rsid w:val="00591048"/>
    <w:rsid w:val="00591568"/>
    <w:rsid w:val="00591752"/>
    <w:rsid w:val="00591973"/>
    <w:rsid w:val="00591ED6"/>
    <w:rsid w:val="005922C5"/>
    <w:rsid w:val="00592671"/>
    <w:rsid w:val="00592A3C"/>
    <w:rsid w:val="00595A05"/>
    <w:rsid w:val="00595BB9"/>
    <w:rsid w:val="00596248"/>
    <w:rsid w:val="00596A1D"/>
    <w:rsid w:val="005A03D0"/>
    <w:rsid w:val="005A041F"/>
    <w:rsid w:val="005A04E1"/>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7B4"/>
    <w:rsid w:val="005C022F"/>
    <w:rsid w:val="005C16FD"/>
    <w:rsid w:val="005C1BB3"/>
    <w:rsid w:val="005C479F"/>
    <w:rsid w:val="005C507F"/>
    <w:rsid w:val="005C655A"/>
    <w:rsid w:val="005C67B4"/>
    <w:rsid w:val="005C6DD8"/>
    <w:rsid w:val="005C73A0"/>
    <w:rsid w:val="005C73DD"/>
    <w:rsid w:val="005D0147"/>
    <w:rsid w:val="005D02D8"/>
    <w:rsid w:val="005D0DAD"/>
    <w:rsid w:val="005D1307"/>
    <w:rsid w:val="005D1963"/>
    <w:rsid w:val="005D1EC7"/>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4D08"/>
    <w:rsid w:val="005E6148"/>
    <w:rsid w:val="005E66CC"/>
    <w:rsid w:val="005E6B51"/>
    <w:rsid w:val="005E7297"/>
    <w:rsid w:val="005E7414"/>
    <w:rsid w:val="005F077E"/>
    <w:rsid w:val="005F079C"/>
    <w:rsid w:val="005F141D"/>
    <w:rsid w:val="005F1421"/>
    <w:rsid w:val="005F15DD"/>
    <w:rsid w:val="005F2A71"/>
    <w:rsid w:val="005F4674"/>
    <w:rsid w:val="005F5BF9"/>
    <w:rsid w:val="005F70F0"/>
    <w:rsid w:val="005F768A"/>
    <w:rsid w:val="0060011D"/>
    <w:rsid w:val="006012DA"/>
    <w:rsid w:val="00601BE7"/>
    <w:rsid w:val="00602556"/>
    <w:rsid w:val="00603DEB"/>
    <w:rsid w:val="0060453D"/>
    <w:rsid w:val="006045C2"/>
    <w:rsid w:val="00604CDB"/>
    <w:rsid w:val="0060520D"/>
    <w:rsid w:val="006053B0"/>
    <w:rsid w:val="0060669E"/>
    <w:rsid w:val="006068C8"/>
    <w:rsid w:val="00606D5B"/>
    <w:rsid w:val="00607A27"/>
    <w:rsid w:val="006112F9"/>
    <w:rsid w:val="00611B3A"/>
    <w:rsid w:val="00612047"/>
    <w:rsid w:val="00612323"/>
    <w:rsid w:val="0061250B"/>
    <w:rsid w:val="0061262E"/>
    <w:rsid w:val="00613621"/>
    <w:rsid w:val="00613751"/>
    <w:rsid w:val="00614390"/>
    <w:rsid w:val="0061522F"/>
    <w:rsid w:val="0061550C"/>
    <w:rsid w:val="0061568C"/>
    <w:rsid w:val="0061569D"/>
    <w:rsid w:val="00615EAC"/>
    <w:rsid w:val="00616B41"/>
    <w:rsid w:val="0061759E"/>
    <w:rsid w:val="0062100B"/>
    <w:rsid w:val="00621242"/>
    <w:rsid w:val="0062190F"/>
    <w:rsid w:val="00621D20"/>
    <w:rsid w:val="0062375D"/>
    <w:rsid w:val="00624542"/>
    <w:rsid w:val="0062496B"/>
    <w:rsid w:val="00625245"/>
    <w:rsid w:val="00625669"/>
    <w:rsid w:val="00625A17"/>
    <w:rsid w:val="00625B90"/>
    <w:rsid w:val="00625C7E"/>
    <w:rsid w:val="0062602A"/>
    <w:rsid w:val="00626537"/>
    <w:rsid w:val="0062767B"/>
    <w:rsid w:val="00627975"/>
    <w:rsid w:val="006306F4"/>
    <w:rsid w:val="0063070C"/>
    <w:rsid w:val="00630CE1"/>
    <w:rsid w:val="00631033"/>
    <w:rsid w:val="00631E41"/>
    <w:rsid w:val="006331B6"/>
    <w:rsid w:val="00634204"/>
    <w:rsid w:val="00634812"/>
    <w:rsid w:val="006348C1"/>
    <w:rsid w:val="00635168"/>
    <w:rsid w:val="00635B9D"/>
    <w:rsid w:val="00636397"/>
    <w:rsid w:val="00636EC6"/>
    <w:rsid w:val="0063762A"/>
    <w:rsid w:val="00637DB8"/>
    <w:rsid w:val="006413BE"/>
    <w:rsid w:val="00642BCD"/>
    <w:rsid w:val="006433A1"/>
    <w:rsid w:val="006441B7"/>
    <w:rsid w:val="006446F1"/>
    <w:rsid w:val="0064488E"/>
    <w:rsid w:val="00645108"/>
    <w:rsid w:val="006458BA"/>
    <w:rsid w:val="00645A6B"/>
    <w:rsid w:val="006460BF"/>
    <w:rsid w:val="0064750A"/>
    <w:rsid w:val="00647A15"/>
    <w:rsid w:val="00647F3E"/>
    <w:rsid w:val="00650218"/>
    <w:rsid w:val="0065075E"/>
    <w:rsid w:val="0065175A"/>
    <w:rsid w:val="0065197F"/>
    <w:rsid w:val="0065307D"/>
    <w:rsid w:val="0065329D"/>
    <w:rsid w:val="0065338F"/>
    <w:rsid w:val="00653A0F"/>
    <w:rsid w:val="00653A60"/>
    <w:rsid w:val="0065668D"/>
    <w:rsid w:val="0065794F"/>
    <w:rsid w:val="00657E4D"/>
    <w:rsid w:val="0066000F"/>
    <w:rsid w:val="00661A7B"/>
    <w:rsid w:val="00661E56"/>
    <w:rsid w:val="00662C0B"/>
    <w:rsid w:val="00662C6D"/>
    <w:rsid w:val="00662E6E"/>
    <w:rsid w:val="0066303C"/>
    <w:rsid w:val="00663159"/>
    <w:rsid w:val="00663B73"/>
    <w:rsid w:val="00663C00"/>
    <w:rsid w:val="0066597F"/>
    <w:rsid w:val="00666018"/>
    <w:rsid w:val="006703E1"/>
    <w:rsid w:val="00670FBD"/>
    <w:rsid w:val="006710E7"/>
    <w:rsid w:val="00671930"/>
    <w:rsid w:val="006722A8"/>
    <w:rsid w:val="006731EA"/>
    <w:rsid w:val="006739A2"/>
    <w:rsid w:val="00674FBB"/>
    <w:rsid w:val="006751D4"/>
    <w:rsid w:val="006759C2"/>
    <w:rsid w:val="00675C42"/>
    <w:rsid w:val="006772FC"/>
    <w:rsid w:val="006778BE"/>
    <w:rsid w:val="0068016F"/>
    <w:rsid w:val="00680887"/>
    <w:rsid w:val="00680C09"/>
    <w:rsid w:val="00680FC9"/>
    <w:rsid w:val="00681ED2"/>
    <w:rsid w:val="00682C30"/>
    <w:rsid w:val="00683380"/>
    <w:rsid w:val="006833EF"/>
    <w:rsid w:val="0068352E"/>
    <w:rsid w:val="006835D0"/>
    <w:rsid w:val="006839EF"/>
    <w:rsid w:val="006840D6"/>
    <w:rsid w:val="0068434D"/>
    <w:rsid w:val="00684734"/>
    <w:rsid w:val="0068520F"/>
    <w:rsid w:val="0068550F"/>
    <w:rsid w:val="006859AC"/>
    <w:rsid w:val="00686EF3"/>
    <w:rsid w:val="00687C14"/>
    <w:rsid w:val="0069000B"/>
    <w:rsid w:val="00690269"/>
    <w:rsid w:val="00691295"/>
    <w:rsid w:val="0069188A"/>
    <w:rsid w:val="006918A9"/>
    <w:rsid w:val="00691C25"/>
    <w:rsid w:val="00691FF7"/>
    <w:rsid w:val="00693119"/>
    <w:rsid w:val="0069313A"/>
    <w:rsid w:val="006935D4"/>
    <w:rsid w:val="00693A38"/>
    <w:rsid w:val="00694BC8"/>
    <w:rsid w:val="00694F0B"/>
    <w:rsid w:val="00694F6F"/>
    <w:rsid w:val="006952C2"/>
    <w:rsid w:val="006957BD"/>
    <w:rsid w:val="00695CBA"/>
    <w:rsid w:val="006970CD"/>
    <w:rsid w:val="00697CA8"/>
    <w:rsid w:val="006A0EE5"/>
    <w:rsid w:val="006A1C23"/>
    <w:rsid w:val="006A475A"/>
    <w:rsid w:val="006A6E07"/>
    <w:rsid w:val="006B0BEB"/>
    <w:rsid w:val="006B19A4"/>
    <w:rsid w:val="006B1E9B"/>
    <w:rsid w:val="006B1F85"/>
    <w:rsid w:val="006B24D1"/>
    <w:rsid w:val="006B3920"/>
    <w:rsid w:val="006B3C74"/>
    <w:rsid w:val="006B4042"/>
    <w:rsid w:val="006B44DB"/>
    <w:rsid w:val="006B4D64"/>
    <w:rsid w:val="006B4F1A"/>
    <w:rsid w:val="006B558C"/>
    <w:rsid w:val="006B6381"/>
    <w:rsid w:val="006B672D"/>
    <w:rsid w:val="006B723B"/>
    <w:rsid w:val="006B74BD"/>
    <w:rsid w:val="006C0AAD"/>
    <w:rsid w:val="006C125C"/>
    <w:rsid w:val="006C14B0"/>
    <w:rsid w:val="006C1694"/>
    <w:rsid w:val="006C19B2"/>
    <w:rsid w:val="006C1C19"/>
    <w:rsid w:val="006C2556"/>
    <w:rsid w:val="006C3990"/>
    <w:rsid w:val="006C3D6B"/>
    <w:rsid w:val="006C3E18"/>
    <w:rsid w:val="006C402D"/>
    <w:rsid w:val="006C4390"/>
    <w:rsid w:val="006C48C4"/>
    <w:rsid w:val="006C4DED"/>
    <w:rsid w:val="006C66DA"/>
    <w:rsid w:val="006C6716"/>
    <w:rsid w:val="006C6850"/>
    <w:rsid w:val="006C6F4F"/>
    <w:rsid w:val="006D086D"/>
    <w:rsid w:val="006D1ABF"/>
    <w:rsid w:val="006D29B7"/>
    <w:rsid w:val="006D335E"/>
    <w:rsid w:val="006D4134"/>
    <w:rsid w:val="006D4B75"/>
    <w:rsid w:val="006D50BE"/>
    <w:rsid w:val="006D572C"/>
    <w:rsid w:val="006D6720"/>
    <w:rsid w:val="006D7381"/>
    <w:rsid w:val="006E03F7"/>
    <w:rsid w:val="006E2558"/>
    <w:rsid w:val="006E265E"/>
    <w:rsid w:val="006E4629"/>
    <w:rsid w:val="006E48FA"/>
    <w:rsid w:val="006E4BEF"/>
    <w:rsid w:val="006E4EC6"/>
    <w:rsid w:val="006E5019"/>
    <w:rsid w:val="006E56C8"/>
    <w:rsid w:val="006E57D9"/>
    <w:rsid w:val="006E5A85"/>
    <w:rsid w:val="006E5B23"/>
    <w:rsid w:val="006E6232"/>
    <w:rsid w:val="006E66DF"/>
    <w:rsid w:val="006E6961"/>
    <w:rsid w:val="006E7605"/>
    <w:rsid w:val="006E7D10"/>
    <w:rsid w:val="006F0401"/>
    <w:rsid w:val="006F122A"/>
    <w:rsid w:val="006F1DDB"/>
    <w:rsid w:val="006F205A"/>
    <w:rsid w:val="006F2B4E"/>
    <w:rsid w:val="006F35A8"/>
    <w:rsid w:val="006F39AD"/>
    <w:rsid w:val="006F3F93"/>
    <w:rsid w:val="006F41A1"/>
    <w:rsid w:val="006F59C8"/>
    <w:rsid w:val="006F6325"/>
    <w:rsid w:val="006F6714"/>
    <w:rsid w:val="006F6DCC"/>
    <w:rsid w:val="00700114"/>
    <w:rsid w:val="00700871"/>
    <w:rsid w:val="00702052"/>
    <w:rsid w:val="00702501"/>
    <w:rsid w:val="0070306C"/>
    <w:rsid w:val="0070368B"/>
    <w:rsid w:val="0070395C"/>
    <w:rsid w:val="00703A2C"/>
    <w:rsid w:val="007041F9"/>
    <w:rsid w:val="0070434D"/>
    <w:rsid w:val="007045F9"/>
    <w:rsid w:val="007050AB"/>
    <w:rsid w:val="00705C52"/>
    <w:rsid w:val="00705F29"/>
    <w:rsid w:val="00705F7F"/>
    <w:rsid w:val="007062A1"/>
    <w:rsid w:val="007063A3"/>
    <w:rsid w:val="00706868"/>
    <w:rsid w:val="00706A1E"/>
    <w:rsid w:val="007079FD"/>
    <w:rsid w:val="0071086F"/>
    <w:rsid w:val="0071098F"/>
    <w:rsid w:val="00710F37"/>
    <w:rsid w:val="00712081"/>
    <w:rsid w:val="00712405"/>
    <w:rsid w:val="00713713"/>
    <w:rsid w:val="00713941"/>
    <w:rsid w:val="007143FB"/>
    <w:rsid w:val="00716092"/>
    <w:rsid w:val="0071614D"/>
    <w:rsid w:val="00720292"/>
    <w:rsid w:val="00720399"/>
    <w:rsid w:val="0072233E"/>
    <w:rsid w:val="0072274C"/>
    <w:rsid w:val="00722F46"/>
    <w:rsid w:val="00722FD2"/>
    <w:rsid w:val="0072502F"/>
    <w:rsid w:val="00730914"/>
    <w:rsid w:val="00730E68"/>
    <w:rsid w:val="0073155F"/>
    <w:rsid w:val="00731ABE"/>
    <w:rsid w:val="007325B4"/>
    <w:rsid w:val="00732B59"/>
    <w:rsid w:val="00733D0B"/>
    <w:rsid w:val="00733F1F"/>
    <w:rsid w:val="007346D8"/>
    <w:rsid w:val="0073643D"/>
    <w:rsid w:val="007370B6"/>
    <w:rsid w:val="00740BC1"/>
    <w:rsid w:val="00741C61"/>
    <w:rsid w:val="00741F8D"/>
    <w:rsid w:val="00743126"/>
    <w:rsid w:val="007434F8"/>
    <w:rsid w:val="00743D01"/>
    <w:rsid w:val="00744869"/>
    <w:rsid w:val="00745D18"/>
    <w:rsid w:val="00746814"/>
    <w:rsid w:val="00746E20"/>
    <w:rsid w:val="0074709E"/>
    <w:rsid w:val="00747443"/>
    <w:rsid w:val="007477A3"/>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33C2"/>
    <w:rsid w:val="00763880"/>
    <w:rsid w:val="007649F8"/>
    <w:rsid w:val="00764E32"/>
    <w:rsid w:val="00764EFA"/>
    <w:rsid w:val="00765454"/>
    <w:rsid w:val="007654FB"/>
    <w:rsid w:val="007706ED"/>
    <w:rsid w:val="00770A71"/>
    <w:rsid w:val="00773D77"/>
    <w:rsid w:val="00774A8E"/>
    <w:rsid w:val="00774DF0"/>
    <w:rsid w:val="00774F03"/>
    <w:rsid w:val="00775DB2"/>
    <w:rsid w:val="0077608B"/>
    <w:rsid w:val="007766CC"/>
    <w:rsid w:val="007768FF"/>
    <w:rsid w:val="00777365"/>
    <w:rsid w:val="00777405"/>
    <w:rsid w:val="00777527"/>
    <w:rsid w:val="007775C2"/>
    <w:rsid w:val="00777D1C"/>
    <w:rsid w:val="00777E81"/>
    <w:rsid w:val="007807EF"/>
    <w:rsid w:val="00781B06"/>
    <w:rsid w:val="0078307C"/>
    <w:rsid w:val="00783182"/>
    <w:rsid w:val="0078455B"/>
    <w:rsid w:val="00785250"/>
    <w:rsid w:val="00785268"/>
    <w:rsid w:val="0078551D"/>
    <w:rsid w:val="007863CA"/>
    <w:rsid w:val="00786C8D"/>
    <w:rsid w:val="00787B45"/>
    <w:rsid w:val="00787E38"/>
    <w:rsid w:val="00790520"/>
    <w:rsid w:val="00790A16"/>
    <w:rsid w:val="00790D3E"/>
    <w:rsid w:val="00790D82"/>
    <w:rsid w:val="00792AA4"/>
    <w:rsid w:val="00793349"/>
    <w:rsid w:val="00794121"/>
    <w:rsid w:val="0079502A"/>
    <w:rsid w:val="0079514C"/>
    <w:rsid w:val="007958B1"/>
    <w:rsid w:val="00795ADC"/>
    <w:rsid w:val="00795F67"/>
    <w:rsid w:val="00795FE9"/>
    <w:rsid w:val="00796C05"/>
    <w:rsid w:val="00797AD9"/>
    <w:rsid w:val="00797FAF"/>
    <w:rsid w:val="007A01BF"/>
    <w:rsid w:val="007A0797"/>
    <w:rsid w:val="007A07E4"/>
    <w:rsid w:val="007A2B3A"/>
    <w:rsid w:val="007A2BE0"/>
    <w:rsid w:val="007A2F04"/>
    <w:rsid w:val="007A3BA0"/>
    <w:rsid w:val="007A5843"/>
    <w:rsid w:val="007A5B69"/>
    <w:rsid w:val="007A6053"/>
    <w:rsid w:val="007A67EA"/>
    <w:rsid w:val="007A69AA"/>
    <w:rsid w:val="007A754C"/>
    <w:rsid w:val="007A7BD8"/>
    <w:rsid w:val="007B0752"/>
    <w:rsid w:val="007B1445"/>
    <w:rsid w:val="007B16DD"/>
    <w:rsid w:val="007B18A7"/>
    <w:rsid w:val="007B2217"/>
    <w:rsid w:val="007B23EE"/>
    <w:rsid w:val="007B2616"/>
    <w:rsid w:val="007B288E"/>
    <w:rsid w:val="007B2F3C"/>
    <w:rsid w:val="007B3A13"/>
    <w:rsid w:val="007B405C"/>
    <w:rsid w:val="007B4174"/>
    <w:rsid w:val="007B431E"/>
    <w:rsid w:val="007B46B7"/>
    <w:rsid w:val="007B4771"/>
    <w:rsid w:val="007B47D1"/>
    <w:rsid w:val="007B5253"/>
    <w:rsid w:val="007B5779"/>
    <w:rsid w:val="007B6EAE"/>
    <w:rsid w:val="007B743C"/>
    <w:rsid w:val="007B7A3A"/>
    <w:rsid w:val="007C0247"/>
    <w:rsid w:val="007C0283"/>
    <w:rsid w:val="007C180A"/>
    <w:rsid w:val="007C273D"/>
    <w:rsid w:val="007C29C8"/>
    <w:rsid w:val="007C2B33"/>
    <w:rsid w:val="007C3636"/>
    <w:rsid w:val="007C4DA9"/>
    <w:rsid w:val="007C4F1F"/>
    <w:rsid w:val="007C5E21"/>
    <w:rsid w:val="007C5EFC"/>
    <w:rsid w:val="007C66D6"/>
    <w:rsid w:val="007C66E7"/>
    <w:rsid w:val="007C6C7E"/>
    <w:rsid w:val="007C6F5C"/>
    <w:rsid w:val="007C7ED8"/>
    <w:rsid w:val="007D0563"/>
    <w:rsid w:val="007D0CED"/>
    <w:rsid w:val="007D12D0"/>
    <w:rsid w:val="007D20E0"/>
    <w:rsid w:val="007D36F7"/>
    <w:rsid w:val="007D3832"/>
    <w:rsid w:val="007D3F3B"/>
    <w:rsid w:val="007D4779"/>
    <w:rsid w:val="007D53EF"/>
    <w:rsid w:val="007D55E1"/>
    <w:rsid w:val="007D591A"/>
    <w:rsid w:val="007D6757"/>
    <w:rsid w:val="007D6879"/>
    <w:rsid w:val="007D6CE7"/>
    <w:rsid w:val="007E130E"/>
    <w:rsid w:val="007E1801"/>
    <w:rsid w:val="007E1A1F"/>
    <w:rsid w:val="007E212D"/>
    <w:rsid w:val="007E25B0"/>
    <w:rsid w:val="007E2E20"/>
    <w:rsid w:val="007E3EE6"/>
    <w:rsid w:val="007E4A8B"/>
    <w:rsid w:val="007E4E86"/>
    <w:rsid w:val="007E5951"/>
    <w:rsid w:val="007E68A6"/>
    <w:rsid w:val="007E6DE9"/>
    <w:rsid w:val="007E7B67"/>
    <w:rsid w:val="007F032A"/>
    <w:rsid w:val="007F05F4"/>
    <w:rsid w:val="007F0F01"/>
    <w:rsid w:val="007F2255"/>
    <w:rsid w:val="007F2912"/>
    <w:rsid w:val="007F2D6F"/>
    <w:rsid w:val="007F3651"/>
    <w:rsid w:val="007F563B"/>
    <w:rsid w:val="007F56D0"/>
    <w:rsid w:val="007F5714"/>
    <w:rsid w:val="007F60F6"/>
    <w:rsid w:val="007F6327"/>
    <w:rsid w:val="007F656B"/>
    <w:rsid w:val="007F6BA5"/>
    <w:rsid w:val="007F7A2C"/>
    <w:rsid w:val="007F7DAD"/>
    <w:rsid w:val="00800533"/>
    <w:rsid w:val="0080076B"/>
    <w:rsid w:val="00800C1D"/>
    <w:rsid w:val="0080102D"/>
    <w:rsid w:val="00801A44"/>
    <w:rsid w:val="00801A62"/>
    <w:rsid w:val="00801E1A"/>
    <w:rsid w:val="00803569"/>
    <w:rsid w:val="008035D9"/>
    <w:rsid w:val="00803806"/>
    <w:rsid w:val="00803971"/>
    <w:rsid w:val="008047CE"/>
    <w:rsid w:val="008052DA"/>
    <w:rsid w:val="00805355"/>
    <w:rsid w:val="00806139"/>
    <w:rsid w:val="008069D7"/>
    <w:rsid w:val="00807A18"/>
    <w:rsid w:val="008103C5"/>
    <w:rsid w:val="00810754"/>
    <w:rsid w:val="00810EAE"/>
    <w:rsid w:val="00811347"/>
    <w:rsid w:val="00813181"/>
    <w:rsid w:val="00813249"/>
    <w:rsid w:val="0081341F"/>
    <w:rsid w:val="00814CFA"/>
    <w:rsid w:val="00814F5E"/>
    <w:rsid w:val="00816634"/>
    <w:rsid w:val="00816ACC"/>
    <w:rsid w:val="00816CF9"/>
    <w:rsid w:val="00817298"/>
    <w:rsid w:val="00820C04"/>
    <w:rsid w:val="00821903"/>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40F"/>
    <w:rsid w:val="00831ACA"/>
    <w:rsid w:val="00832098"/>
    <w:rsid w:val="00832396"/>
    <w:rsid w:val="0083265D"/>
    <w:rsid w:val="00832DE4"/>
    <w:rsid w:val="00835787"/>
    <w:rsid w:val="0083624D"/>
    <w:rsid w:val="00837521"/>
    <w:rsid w:val="00837F77"/>
    <w:rsid w:val="00840331"/>
    <w:rsid w:val="00840E94"/>
    <w:rsid w:val="00841550"/>
    <w:rsid w:val="008416C6"/>
    <w:rsid w:val="008428ED"/>
    <w:rsid w:val="008429A7"/>
    <w:rsid w:val="00842D5B"/>
    <w:rsid w:val="00842D8B"/>
    <w:rsid w:val="00842EF5"/>
    <w:rsid w:val="0084599C"/>
    <w:rsid w:val="00846FF6"/>
    <w:rsid w:val="00847CFB"/>
    <w:rsid w:val="00847EDC"/>
    <w:rsid w:val="0085038E"/>
    <w:rsid w:val="00850774"/>
    <w:rsid w:val="00851B30"/>
    <w:rsid w:val="0085225E"/>
    <w:rsid w:val="00852D92"/>
    <w:rsid w:val="00854487"/>
    <w:rsid w:val="008559B6"/>
    <w:rsid w:val="00856931"/>
    <w:rsid w:val="00857291"/>
    <w:rsid w:val="00857639"/>
    <w:rsid w:val="008617BD"/>
    <w:rsid w:val="00863887"/>
    <w:rsid w:val="008644CD"/>
    <w:rsid w:val="0086477F"/>
    <w:rsid w:val="00865FC4"/>
    <w:rsid w:val="00866AB0"/>
    <w:rsid w:val="008671D0"/>
    <w:rsid w:val="0086722D"/>
    <w:rsid w:val="008673FF"/>
    <w:rsid w:val="0087082E"/>
    <w:rsid w:val="00872713"/>
    <w:rsid w:val="00873F9B"/>
    <w:rsid w:val="0087546A"/>
    <w:rsid w:val="008764A8"/>
    <w:rsid w:val="00876E53"/>
    <w:rsid w:val="008771B6"/>
    <w:rsid w:val="00877716"/>
    <w:rsid w:val="00877BAB"/>
    <w:rsid w:val="0088000D"/>
    <w:rsid w:val="00881E24"/>
    <w:rsid w:val="0088239A"/>
    <w:rsid w:val="00882BE0"/>
    <w:rsid w:val="00882D6E"/>
    <w:rsid w:val="00883390"/>
    <w:rsid w:val="00883700"/>
    <w:rsid w:val="00883BAD"/>
    <w:rsid w:val="00883D0E"/>
    <w:rsid w:val="00884086"/>
    <w:rsid w:val="008843EE"/>
    <w:rsid w:val="008849CE"/>
    <w:rsid w:val="00884AEF"/>
    <w:rsid w:val="00884CC1"/>
    <w:rsid w:val="00884E20"/>
    <w:rsid w:val="00887F41"/>
    <w:rsid w:val="00890AA0"/>
    <w:rsid w:val="00890EA4"/>
    <w:rsid w:val="00892B73"/>
    <w:rsid w:val="00893066"/>
    <w:rsid w:val="008940EA"/>
    <w:rsid w:val="00894290"/>
    <w:rsid w:val="00894385"/>
    <w:rsid w:val="008953D4"/>
    <w:rsid w:val="00895F1C"/>
    <w:rsid w:val="0089651E"/>
    <w:rsid w:val="00897679"/>
    <w:rsid w:val="008A0B5D"/>
    <w:rsid w:val="008A116B"/>
    <w:rsid w:val="008A1875"/>
    <w:rsid w:val="008A1D7D"/>
    <w:rsid w:val="008A2D2D"/>
    <w:rsid w:val="008A360B"/>
    <w:rsid w:val="008A490F"/>
    <w:rsid w:val="008A53FD"/>
    <w:rsid w:val="008A5CD1"/>
    <w:rsid w:val="008A5CEE"/>
    <w:rsid w:val="008A5EE6"/>
    <w:rsid w:val="008A75FF"/>
    <w:rsid w:val="008A7D85"/>
    <w:rsid w:val="008B178A"/>
    <w:rsid w:val="008B3439"/>
    <w:rsid w:val="008B404A"/>
    <w:rsid w:val="008B475E"/>
    <w:rsid w:val="008B5400"/>
    <w:rsid w:val="008B547D"/>
    <w:rsid w:val="008B5FF4"/>
    <w:rsid w:val="008B6272"/>
    <w:rsid w:val="008B64E1"/>
    <w:rsid w:val="008B6A5F"/>
    <w:rsid w:val="008B6ADC"/>
    <w:rsid w:val="008B6F9C"/>
    <w:rsid w:val="008B73C2"/>
    <w:rsid w:val="008C0091"/>
    <w:rsid w:val="008C07C3"/>
    <w:rsid w:val="008C099A"/>
    <w:rsid w:val="008C19AE"/>
    <w:rsid w:val="008C1C6C"/>
    <w:rsid w:val="008C1D25"/>
    <w:rsid w:val="008C2B02"/>
    <w:rsid w:val="008C38BF"/>
    <w:rsid w:val="008C412D"/>
    <w:rsid w:val="008C46E1"/>
    <w:rsid w:val="008C594F"/>
    <w:rsid w:val="008C5BFD"/>
    <w:rsid w:val="008C653C"/>
    <w:rsid w:val="008C68E4"/>
    <w:rsid w:val="008C7215"/>
    <w:rsid w:val="008C77C6"/>
    <w:rsid w:val="008C7AB0"/>
    <w:rsid w:val="008C7E47"/>
    <w:rsid w:val="008D0B96"/>
    <w:rsid w:val="008D1162"/>
    <w:rsid w:val="008D1BC7"/>
    <w:rsid w:val="008D2A00"/>
    <w:rsid w:val="008D41F2"/>
    <w:rsid w:val="008D4234"/>
    <w:rsid w:val="008D4926"/>
    <w:rsid w:val="008D5624"/>
    <w:rsid w:val="008D5694"/>
    <w:rsid w:val="008D61A2"/>
    <w:rsid w:val="008D61F3"/>
    <w:rsid w:val="008D622A"/>
    <w:rsid w:val="008D78C3"/>
    <w:rsid w:val="008D7B9F"/>
    <w:rsid w:val="008E0023"/>
    <w:rsid w:val="008E055D"/>
    <w:rsid w:val="008E09DD"/>
    <w:rsid w:val="008E1579"/>
    <w:rsid w:val="008E23D5"/>
    <w:rsid w:val="008E3162"/>
    <w:rsid w:val="008E41DC"/>
    <w:rsid w:val="008E512A"/>
    <w:rsid w:val="008F0B3E"/>
    <w:rsid w:val="008F2B21"/>
    <w:rsid w:val="008F4897"/>
    <w:rsid w:val="008F4905"/>
    <w:rsid w:val="008F5180"/>
    <w:rsid w:val="008F6483"/>
    <w:rsid w:val="008F6D33"/>
    <w:rsid w:val="008F7799"/>
    <w:rsid w:val="00901027"/>
    <w:rsid w:val="00901F70"/>
    <w:rsid w:val="00902862"/>
    <w:rsid w:val="00903060"/>
    <w:rsid w:val="00903AE2"/>
    <w:rsid w:val="0090416F"/>
    <w:rsid w:val="009054BD"/>
    <w:rsid w:val="00905A47"/>
    <w:rsid w:val="0090678A"/>
    <w:rsid w:val="00906D07"/>
    <w:rsid w:val="00907677"/>
    <w:rsid w:val="0091145C"/>
    <w:rsid w:val="00913266"/>
    <w:rsid w:val="00915873"/>
    <w:rsid w:val="009160C8"/>
    <w:rsid w:val="00916511"/>
    <w:rsid w:val="00916E58"/>
    <w:rsid w:val="009171D5"/>
    <w:rsid w:val="0091751C"/>
    <w:rsid w:val="009209FD"/>
    <w:rsid w:val="009218A6"/>
    <w:rsid w:val="00922B9D"/>
    <w:rsid w:val="00922D20"/>
    <w:rsid w:val="00923AF9"/>
    <w:rsid w:val="009247D5"/>
    <w:rsid w:val="00924890"/>
    <w:rsid w:val="009258A3"/>
    <w:rsid w:val="00925D0F"/>
    <w:rsid w:val="00925D57"/>
    <w:rsid w:val="00925E17"/>
    <w:rsid w:val="00926767"/>
    <w:rsid w:val="00927842"/>
    <w:rsid w:val="0092795F"/>
    <w:rsid w:val="0093013B"/>
    <w:rsid w:val="00930C38"/>
    <w:rsid w:val="00930E21"/>
    <w:rsid w:val="00930EE6"/>
    <w:rsid w:val="009316E4"/>
    <w:rsid w:val="00932110"/>
    <w:rsid w:val="009334FD"/>
    <w:rsid w:val="0093513B"/>
    <w:rsid w:val="009355F8"/>
    <w:rsid w:val="009359D8"/>
    <w:rsid w:val="00935ADB"/>
    <w:rsid w:val="00937B6F"/>
    <w:rsid w:val="00940EF0"/>
    <w:rsid w:val="00941018"/>
    <w:rsid w:val="00941459"/>
    <w:rsid w:val="00941600"/>
    <w:rsid w:val="009424BD"/>
    <w:rsid w:val="00943224"/>
    <w:rsid w:val="00944120"/>
    <w:rsid w:val="0094488A"/>
    <w:rsid w:val="00946165"/>
    <w:rsid w:val="00946715"/>
    <w:rsid w:val="00947AA8"/>
    <w:rsid w:val="0095047B"/>
    <w:rsid w:val="00951CD2"/>
    <w:rsid w:val="00951E56"/>
    <w:rsid w:val="009526D6"/>
    <w:rsid w:val="00953A72"/>
    <w:rsid w:val="009548BA"/>
    <w:rsid w:val="009550D7"/>
    <w:rsid w:val="0095719C"/>
    <w:rsid w:val="009575B2"/>
    <w:rsid w:val="009579CB"/>
    <w:rsid w:val="0096210B"/>
    <w:rsid w:val="00962217"/>
    <w:rsid w:val="00962545"/>
    <w:rsid w:val="0096296C"/>
    <w:rsid w:val="00963883"/>
    <w:rsid w:val="009641BC"/>
    <w:rsid w:val="0096497B"/>
    <w:rsid w:val="00964F9A"/>
    <w:rsid w:val="00965A04"/>
    <w:rsid w:val="00966561"/>
    <w:rsid w:val="0096730A"/>
    <w:rsid w:val="009675B0"/>
    <w:rsid w:val="00967838"/>
    <w:rsid w:val="00970444"/>
    <w:rsid w:val="009736EA"/>
    <w:rsid w:val="0097441F"/>
    <w:rsid w:val="00974918"/>
    <w:rsid w:val="00975AA6"/>
    <w:rsid w:val="00975FCC"/>
    <w:rsid w:val="00980240"/>
    <w:rsid w:val="009804BF"/>
    <w:rsid w:val="0098120F"/>
    <w:rsid w:val="009814DF"/>
    <w:rsid w:val="00981BFE"/>
    <w:rsid w:val="00981E71"/>
    <w:rsid w:val="00981FA1"/>
    <w:rsid w:val="0098282B"/>
    <w:rsid w:val="00982C71"/>
    <w:rsid w:val="009841C9"/>
    <w:rsid w:val="009848BA"/>
    <w:rsid w:val="009858AC"/>
    <w:rsid w:val="009872A2"/>
    <w:rsid w:val="0099015C"/>
    <w:rsid w:val="00990918"/>
    <w:rsid w:val="00991A8E"/>
    <w:rsid w:val="00992553"/>
    <w:rsid w:val="00993EAF"/>
    <w:rsid w:val="009959F0"/>
    <w:rsid w:val="0099623A"/>
    <w:rsid w:val="00996CBF"/>
    <w:rsid w:val="009A05A3"/>
    <w:rsid w:val="009A0ED9"/>
    <w:rsid w:val="009A151D"/>
    <w:rsid w:val="009A233D"/>
    <w:rsid w:val="009A2349"/>
    <w:rsid w:val="009A279E"/>
    <w:rsid w:val="009A3538"/>
    <w:rsid w:val="009A44F8"/>
    <w:rsid w:val="009A5150"/>
    <w:rsid w:val="009A52BD"/>
    <w:rsid w:val="009A6403"/>
    <w:rsid w:val="009A6783"/>
    <w:rsid w:val="009A6881"/>
    <w:rsid w:val="009A7110"/>
    <w:rsid w:val="009A788B"/>
    <w:rsid w:val="009A7C1E"/>
    <w:rsid w:val="009B0058"/>
    <w:rsid w:val="009B02A5"/>
    <w:rsid w:val="009B0601"/>
    <w:rsid w:val="009B0E6F"/>
    <w:rsid w:val="009B1177"/>
    <w:rsid w:val="009B12D1"/>
    <w:rsid w:val="009B14CA"/>
    <w:rsid w:val="009B1932"/>
    <w:rsid w:val="009B1E46"/>
    <w:rsid w:val="009B1EC4"/>
    <w:rsid w:val="009B2884"/>
    <w:rsid w:val="009B2FAB"/>
    <w:rsid w:val="009B3020"/>
    <w:rsid w:val="009B3141"/>
    <w:rsid w:val="009B3B00"/>
    <w:rsid w:val="009B4064"/>
    <w:rsid w:val="009B4147"/>
    <w:rsid w:val="009B44B6"/>
    <w:rsid w:val="009B4804"/>
    <w:rsid w:val="009B52E1"/>
    <w:rsid w:val="009B58EC"/>
    <w:rsid w:val="009B63B6"/>
    <w:rsid w:val="009B665E"/>
    <w:rsid w:val="009B71AF"/>
    <w:rsid w:val="009B7E1A"/>
    <w:rsid w:val="009C0133"/>
    <w:rsid w:val="009C03E9"/>
    <w:rsid w:val="009C0670"/>
    <w:rsid w:val="009C0BE7"/>
    <w:rsid w:val="009C0D74"/>
    <w:rsid w:val="009C191C"/>
    <w:rsid w:val="009C33B0"/>
    <w:rsid w:val="009C3EA3"/>
    <w:rsid w:val="009C503E"/>
    <w:rsid w:val="009C5AD6"/>
    <w:rsid w:val="009C6676"/>
    <w:rsid w:val="009C66AD"/>
    <w:rsid w:val="009C7820"/>
    <w:rsid w:val="009D062C"/>
    <w:rsid w:val="009D0844"/>
    <w:rsid w:val="009D1309"/>
    <w:rsid w:val="009D17DC"/>
    <w:rsid w:val="009D2EC6"/>
    <w:rsid w:val="009D306F"/>
    <w:rsid w:val="009D4C16"/>
    <w:rsid w:val="009D57A2"/>
    <w:rsid w:val="009D60EE"/>
    <w:rsid w:val="009D653F"/>
    <w:rsid w:val="009D7167"/>
    <w:rsid w:val="009E02A5"/>
    <w:rsid w:val="009E0A77"/>
    <w:rsid w:val="009E0EB2"/>
    <w:rsid w:val="009E1D7F"/>
    <w:rsid w:val="009E4226"/>
    <w:rsid w:val="009E4FD8"/>
    <w:rsid w:val="009E50B2"/>
    <w:rsid w:val="009E54B0"/>
    <w:rsid w:val="009E6131"/>
    <w:rsid w:val="009E72CA"/>
    <w:rsid w:val="009E7CA9"/>
    <w:rsid w:val="009F1196"/>
    <w:rsid w:val="009F1B5E"/>
    <w:rsid w:val="009F2620"/>
    <w:rsid w:val="009F4682"/>
    <w:rsid w:val="009F524C"/>
    <w:rsid w:val="009F6309"/>
    <w:rsid w:val="009F63EF"/>
    <w:rsid w:val="00A0033B"/>
    <w:rsid w:val="00A00F64"/>
    <w:rsid w:val="00A00FDE"/>
    <w:rsid w:val="00A02316"/>
    <w:rsid w:val="00A028D1"/>
    <w:rsid w:val="00A03379"/>
    <w:rsid w:val="00A04B4A"/>
    <w:rsid w:val="00A0522B"/>
    <w:rsid w:val="00A055F1"/>
    <w:rsid w:val="00A05C0A"/>
    <w:rsid w:val="00A06C20"/>
    <w:rsid w:val="00A077C0"/>
    <w:rsid w:val="00A1042C"/>
    <w:rsid w:val="00A10B94"/>
    <w:rsid w:val="00A12779"/>
    <w:rsid w:val="00A13870"/>
    <w:rsid w:val="00A14B89"/>
    <w:rsid w:val="00A14FED"/>
    <w:rsid w:val="00A151C7"/>
    <w:rsid w:val="00A15AFB"/>
    <w:rsid w:val="00A15DB0"/>
    <w:rsid w:val="00A168F1"/>
    <w:rsid w:val="00A1726A"/>
    <w:rsid w:val="00A17937"/>
    <w:rsid w:val="00A17F7F"/>
    <w:rsid w:val="00A213EC"/>
    <w:rsid w:val="00A214EB"/>
    <w:rsid w:val="00A21592"/>
    <w:rsid w:val="00A21DF7"/>
    <w:rsid w:val="00A2247E"/>
    <w:rsid w:val="00A22870"/>
    <w:rsid w:val="00A23465"/>
    <w:rsid w:val="00A23F00"/>
    <w:rsid w:val="00A23FEF"/>
    <w:rsid w:val="00A24FBF"/>
    <w:rsid w:val="00A258C3"/>
    <w:rsid w:val="00A258EB"/>
    <w:rsid w:val="00A25ECE"/>
    <w:rsid w:val="00A266E6"/>
    <w:rsid w:val="00A26B51"/>
    <w:rsid w:val="00A2757F"/>
    <w:rsid w:val="00A31205"/>
    <w:rsid w:val="00A3132C"/>
    <w:rsid w:val="00A323DE"/>
    <w:rsid w:val="00A3268C"/>
    <w:rsid w:val="00A34240"/>
    <w:rsid w:val="00A351BD"/>
    <w:rsid w:val="00A3558A"/>
    <w:rsid w:val="00A36745"/>
    <w:rsid w:val="00A376A2"/>
    <w:rsid w:val="00A404BA"/>
    <w:rsid w:val="00A405E9"/>
    <w:rsid w:val="00A40AD1"/>
    <w:rsid w:val="00A41873"/>
    <w:rsid w:val="00A42264"/>
    <w:rsid w:val="00A42654"/>
    <w:rsid w:val="00A431EE"/>
    <w:rsid w:val="00A43A71"/>
    <w:rsid w:val="00A43ED0"/>
    <w:rsid w:val="00A44FAB"/>
    <w:rsid w:val="00A45777"/>
    <w:rsid w:val="00A46A23"/>
    <w:rsid w:val="00A46B32"/>
    <w:rsid w:val="00A46C2B"/>
    <w:rsid w:val="00A46CE1"/>
    <w:rsid w:val="00A470D5"/>
    <w:rsid w:val="00A4793F"/>
    <w:rsid w:val="00A502E2"/>
    <w:rsid w:val="00A50763"/>
    <w:rsid w:val="00A5379B"/>
    <w:rsid w:val="00A54E30"/>
    <w:rsid w:val="00A55A20"/>
    <w:rsid w:val="00A55AB8"/>
    <w:rsid w:val="00A56CA6"/>
    <w:rsid w:val="00A56D35"/>
    <w:rsid w:val="00A56EA6"/>
    <w:rsid w:val="00A576ED"/>
    <w:rsid w:val="00A602D8"/>
    <w:rsid w:val="00A60D3A"/>
    <w:rsid w:val="00A618E4"/>
    <w:rsid w:val="00A62774"/>
    <w:rsid w:val="00A62DDE"/>
    <w:rsid w:val="00A632A6"/>
    <w:rsid w:val="00A63A6E"/>
    <w:rsid w:val="00A64DDF"/>
    <w:rsid w:val="00A67B3C"/>
    <w:rsid w:val="00A67CF3"/>
    <w:rsid w:val="00A71AB6"/>
    <w:rsid w:val="00A740B9"/>
    <w:rsid w:val="00A74640"/>
    <w:rsid w:val="00A746D0"/>
    <w:rsid w:val="00A74CFD"/>
    <w:rsid w:val="00A76FCB"/>
    <w:rsid w:val="00A774C7"/>
    <w:rsid w:val="00A80190"/>
    <w:rsid w:val="00A806EA"/>
    <w:rsid w:val="00A8086F"/>
    <w:rsid w:val="00A81072"/>
    <w:rsid w:val="00A818D2"/>
    <w:rsid w:val="00A81E4F"/>
    <w:rsid w:val="00A82B03"/>
    <w:rsid w:val="00A8308F"/>
    <w:rsid w:val="00A832B1"/>
    <w:rsid w:val="00A832D6"/>
    <w:rsid w:val="00A834B7"/>
    <w:rsid w:val="00A8353E"/>
    <w:rsid w:val="00A8376E"/>
    <w:rsid w:val="00A83F70"/>
    <w:rsid w:val="00A8475F"/>
    <w:rsid w:val="00A85F15"/>
    <w:rsid w:val="00A86A72"/>
    <w:rsid w:val="00A86DE7"/>
    <w:rsid w:val="00A87294"/>
    <w:rsid w:val="00A87DBE"/>
    <w:rsid w:val="00A87E33"/>
    <w:rsid w:val="00A9042F"/>
    <w:rsid w:val="00A912A6"/>
    <w:rsid w:val="00A91765"/>
    <w:rsid w:val="00A91A26"/>
    <w:rsid w:val="00A92008"/>
    <w:rsid w:val="00A934BE"/>
    <w:rsid w:val="00A9540E"/>
    <w:rsid w:val="00A96927"/>
    <w:rsid w:val="00AA06DF"/>
    <w:rsid w:val="00AA128A"/>
    <w:rsid w:val="00AA1CCA"/>
    <w:rsid w:val="00AA1E85"/>
    <w:rsid w:val="00AA22BC"/>
    <w:rsid w:val="00AA37C0"/>
    <w:rsid w:val="00AA50A5"/>
    <w:rsid w:val="00AA592B"/>
    <w:rsid w:val="00AA5F61"/>
    <w:rsid w:val="00AA6493"/>
    <w:rsid w:val="00AA704F"/>
    <w:rsid w:val="00AA72BA"/>
    <w:rsid w:val="00AB0651"/>
    <w:rsid w:val="00AB3730"/>
    <w:rsid w:val="00AB4B0E"/>
    <w:rsid w:val="00AB55C3"/>
    <w:rsid w:val="00AB77C4"/>
    <w:rsid w:val="00AB7C19"/>
    <w:rsid w:val="00AC0533"/>
    <w:rsid w:val="00AC0818"/>
    <w:rsid w:val="00AC2083"/>
    <w:rsid w:val="00AC261A"/>
    <w:rsid w:val="00AC32CA"/>
    <w:rsid w:val="00AC39A3"/>
    <w:rsid w:val="00AC4BBD"/>
    <w:rsid w:val="00AC73B4"/>
    <w:rsid w:val="00AC789F"/>
    <w:rsid w:val="00AD013E"/>
    <w:rsid w:val="00AD0DE4"/>
    <w:rsid w:val="00AD15B0"/>
    <w:rsid w:val="00AD226D"/>
    <w:rsid w:val="00AD28FA"/>
    <w:rsid w:val="00AD2C59"/>
    <w:rsid w:val="00AD2F96"/>
    <w:rsid w:val="00AD3B94"/>
    <w:rsid w:val="00AD3EF7"/>
    <w:rsid w:val="00AD4C74"/>
    <w:rsid w:val="00AD5F0A"/>
    <w:rsid w:val="00AD5F29"/>
    <w:rsid w:val="00AD669B"/>
    <w:rsid w:val="00AD67AA"/>
    <w:rsid w:val="00AE0E57"/>
    <w:rsid w:val="00AE1856"/>
    <w:rsid w:val="00AE2C7A"/>
    <w:rsid w:val="00AE2CF2"/>
    <w:rsid w:val="00AE3F55"/>
    <w:rsid w:val="00AE4A45"/>
    <w:rsid w:val="00AE5403"/>
    <w:rsid w:val="00AE64E5"/>
    <w:rsid w:val="00AE6A2B"/>
    <w:rsid w:val="00AE71E0"/>
    <w:rsid w:val="00AF0503"/>
    <w:rsid w:val="00AF0660"/>
    <w:rsid w:val="00AF1703"/>
    <w:rsid w:val="00AF199B"/>
    <w:rsid w:val="00AF19EE"/>
    <w:rsid w:val="00AF1A93"/>
    <w:rsid w:val="00AF250F"/>
    <w:rsid w:val="00AF297E"/>
    <w:rsid w:val="00AF3271"/>
    <w:rsid w:val="00AF3373"/>
    <w:rsid w:val="00AF3D23"/>
    <w:rsid w:val="00AF4489"/>
    <w:rsid w:val="00AF4647"/>
    <w:rsid w:val="00AF482F"/>
    <w:rsid w:val="00AF49BE"/>
    <w:rsid w:val="00AF4A33"/>
    <w:rsid w:val="00AF4C87"/>
    <w:rsid w:val="00AF5529"/>
    <w:rsid w:val="00AF5556"/>
    <w:rsid w:val="00AF608C"/>
    <w:rsid w:val="00AF6A12"/>
    <w:rsid w:val="00AF6BB8"/>
    <w:rsid w:val="00AF6DF4"/>
    <w:rsid w:val="00AF79B4"/>
    <w:rsid w:val="00AF7F3A"/>
    <w:rsid w:val="00B015DC"/>
    <w:rsid w:val="00B01C6D"/>
    <w:rsid w:val="00B03D44"/>
    <w:rsid w:val="00B040E5"/>
    <w:rsid w:val="00B05075"/>
    <w:rsid w:val="00B05F5C"/>
    <w:rsid w:val="00B05F99"/>
    <w:rsid w:val="00B06179"/>
    <w:rsid w:val="00B06580"/>
    <w:rsid w:val="00B07012"/>
    <w:rsid w:val="00B07916"/>
    <w:rsid w:val="00B07DDD"/>
    <w:rsid w:val="00B108DB"/>
    <w:rsid w:val="00B114A1"/>
    <w:rsid w:val="00B114EA"/>
    <w:rsid w:val="00B11617"/>
    <w:rsid w:val="00B1225A"/>
    <w:rsid w:val="00B127DA"/>
    <w:rsid w:val="00B13A33"/>
    <w:rsid w:val="00B13BB7"/>
    <w:rsid w:val="00B140CE"/>
    <w:rsid w:val="00B14C07"/>
    <w:rsid w:val="00B15BD6"/>
    <w:rsid w:val="00B16913"/>
    <w:rsid w:val="00B207DF"/>
    <w:rsid w:val="00B216F9"/>
    <w:rsid w:val="00B219F6"/>
    <w:rsid w:val="00B21A19"/>
    <w:rsid w:val="00B23088"/>
    <w:rsid w:val="00B24327"/>
    <w:rsid w:val="00B248F3"/>
    <w:rsid w:val="00B25596"/>
    <w:rsid w:val="00B26C50"/>
    <w:rsid w:val="00B26F7D"/>
    <w:rsid w:val="00B275B2"/>
    <w:rsid w:val="00B30990"/>
    <w:rsid w:val="00B30FCC"/>
    <w:rsid w:val="00B31143"/>
    <w:rsid w:val="00B32829"/>
    <w:rsid w:val="00B33D0A"/>
    <w:rsid w:val="00B341A2"/>
    <w:rsid w:val="00B3466E"/>
    <w:rsid w:val="00B3500D"/>
    <w:rsid w:val="00B351B7"/>
    <w:rsid w:val="00B3580A"/>
    <w:rsid w:val="00B371CF"/>
    <w:rsid w:val="00B378A1"/>
    <w:rsid w:val="00B40713"/>
    <w:rsid w:val="00B41810"/>
    <w:rsid w:val="00B41D86"/>
    <w:rsid w:val="00B4276B"/>
    <w:rsid w:val="00B4279C"/>
    <w:rsid w:val="00B43BC9"/>
    <w:rsid w:val="00B4460E"/>
    <w:rsid w:val="00B44668"/>
    <w:rsid w:val="00B4593E"/>
    <w:rsid w:val="00B45A61"/>
    <w:rsid w:val="00B45E0D"/>
    <w:rsid w:val="00B46443"/>
    <w:rsid w:val="00B46DA5"/>
    <w:rsid w:val="00B46E84"/>
    <w:rsid w:val="00B470E3"/>
    <w:rsid w:val="00B50C80"/>
    <w:rsid w:val="00B5375A"/>
    <w:rsid w:val="00B566BE"/>
    <w:rsid w:val="00B56B87"/>
    <w:rsid w:val="00B5743B"/>
    <w:rsid w:val="00B60263"/>
    <w:rsid w:val="00B603BA"/>
    <w:rsid w:val="00B605C0"/>
    <w:rsid w:val="00B62190"/>
    <w:rsid w:val="00B62374"/>
    <w:rsid w:val="00B63704"/>
    <w:rsid w:val="00B63AD3"/>
    <w:rsid w:val="00B63C5B"/>
    <w:rsid w:val="00B63F7A"/>
    <w:rsid w:val="00B6540F"/>
    <w:rsid w:val="00B65549"/>
    <w:rsid w:val="00B6667D"/>
    <w:rsid w:val="00B66E78"/>
    <w:rsid w:val="00B67A9D"/>
    <w:rsid w:val="00B7006D"/>
    <w:rsid w:val="00B70F58"/>
    <w:rsid w:val="00B71CC1"/>
    <w:rsid w:val="00B71E9B"/>
    <w:rsid w:val="00B72072"/>
    <w:rsid w:val="00B729E5"/>
    <w:rsid w:val="00B72ADE"/>
    <w:rsid w:val="00B7416E"/>
    <w:rsid w:val="00B745D4"/>
    <w:rsid w:val="00B74F97"/>
    <w:rsid w:val="00B7617B"/>
    <w:rsid w:val="00B761B8"/>
    <w:rsid w:val="00B76B62"/>
    <w:rsid w:val="00B77A4F"/>
    <w:rsid w:val="00B77F3D"/>
    <w:rsid w:val="00B8047C"/>
    <w:rsid w:val="00B81408"/>
    <w:rsid w:val="00B81725"/>
    <w:rsid w:val="00B81994"/>
    <w:rsid w:val="00B81F00"/>
    <w:rsid w:val="00B82196"/>
    <w:rsid w:val="00B821A6"/>
    <w:rsid w:val="00B822D3"/>
    <w:rsid w:val="00B822DD"/>
    <w:rsid w:val="00B82543"/>
    <w:rsid w:val="00B82FDE"/>
    <w:rsid w:val="00B84436"/>
    <w:rsid w:val="00B84E36"/>
    <w:rsid w:val="00B862C7"/>
    <w:rsid w:val="00B87D70"/>
    <w:rsid w:val="00B90A40"/>
    <w:rsid w:val="00B90DFA"/>
    <w:rsid w:val="00B91F10"/>
    <w:rsid w:val="00B92491"/>
    <w:rsid w:val="00B92903"/>
    <w:rsid w:val="00B936BF"/>
    <w:rsid w:val="00B95251"/>
    <w:rsid w:val="00B95309"/>
    <w:rsid w:val="00B95C08"/>
    <w:rsid w:val="00B97045"/>
    <w:rsid w:val="00B97541"/>
    <w:rsid w:val="00BA0776"/>
    <w:rsid w:val="00BA0823"/>
    <w:rsid w:val="00BA0D51"/>
    <w:rsid w:val="00BA0F80"/>
    <w:rsid w:val="00BA14BC"/>
    <w:rsid w:val="00BA1939"/>
    <w:rsid w:val="00BA1B09"/>
    <w:rsid w:val="00BA1C56"/>
    <w:rsid w:val="00BA1E67"/>
    <w:rsid w:val="00BA1F5F"/>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081A"/>
    <w:rsid w:val="00BB14B7"/>
    <w:rsid w:val="00BB2029"/>
    <w:rsid w:val="00BB2D89"/>
    <w:rsid w:val="00BB3A89"/>
    <w:rsid w:val="00BB3B30"/>
    <w:rsid w:val="00BB4D80"/>
    <w:rsid w:val="00BB4FAC"/>
    <w:rsid w:val="00BB56BE"/>
    <w:rsid w:val="00BB7E49"/>
    <w:rsid w:val="00BB7FDF"/>
    <w:rsid w:val="00BC04AC"/>
    <w:rsid w:val="00BC0986"/>
    <w:rsid w:val="00BC1277"/>
    <w:rsid w:val="00BC1427"/>
    <w:rsid w:val="00BC1591"/>
    <w:rsid w:val="00BC1D15"/>
    <w:rsid w:val="00BC1D92"/>
    <w:rsid w:val="00BC2090"/>
    <w:rsid w:val="00BC20C0"/>
    <w:rsid w:val="00BC2A07"/>
    <w:rsid w:val="00BC2B49"/>
    <w:rsid w:val="00BC2CA8"/>
    <w:rsid w:val="00BC2D00"/>
    <w:rsid w:val="00BC3499"/>
    <w:rsid w:val="00BC3F44"/>
    <w:rsid w:val="00BC4B6E"/>
    <w:rsid w:val="00BC4C5C"/>
    <w:rsid w:val="00BC54D0"/>
    <w:rsid w:val="00BC6392"/>
    <w:rsid w:val="00BC67FF"/>
    <w:rsid w:val="00BD0054"/>
    <w:rsid w:val="00BD08E4"/>
    <w:rsid w:val="00BD1C8F"/>
    <w:rsid w:val="00BD2850"/>
    <w:rsid w:val="00BD3D24"/>
    <w:rsid w:val="00BD4017"/>
    <w:rsid w:val="00BD4A6C"/>
    <w:rsid w:val="00BD53CD"/>
    <w:rsid w:val="00BD6004"/>
    <w:rsid w:val="00BD6278"/>
    <w:rsid w:val="00BD6E02"/>
    <w:rsid w:val="00BD6FD8"/>
    <w:rsid w:val="00BD7496"/>
    <w:rsid w:val="00BD78C3"/>
    <w:rsid w:val="00BD7DA9"/>
    <w:rsid w:val="00BD7E3D"/>
    <w:rsid w:val="00BD7F9D"/>
    <w:rsid w:val="00BE0309"/>
    <w:rsid w:val="00BE032A"/>
    <w:rsid w:val="00BE1214"/>
    <w:rsid w:val="00BE1372"/>
    <w:rsid w:val="00BE182E"/>
    <w:rsid w:val="00BE275F"/>
    <w:rsid w:val="00BE292F"/>
    <w:rsid w:val="00BE2BB3"/>
    <w:rsid w:val="00BE2C64"/>
    <w:rsid w:val="00BE4DA4"/>
    <w:rsid w:val="00BE5589"/>
    <w:rsid w:val="00BE5C0D"/>
    <w:rsid w:val="00BE6FDD"/>
    <w:rsid w:val="00BE7FB5"/>
    <w:rsid w:val="00BF059C"/>
    <w:rsid w:val="00BF06E8"/>
    <w:rsid w:val="00BF1D79"/>
    <w:rsid w:val="00BF2A00"/>
    <w:rsid w:val="00BF4426"/>
    <w:rsid w:val="00BF4DEE"/>
    <w:rsid w:val="00BF521A"/>
    <w:rsid w:val="00BF523F"/>
    <w:rsid w:val="00BF5DB9"/>
    <w:rsid w:val="00BF680C"/>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7115"/>
    <w:rsid w:val="00C17CB1"/>
    <w:rsid w:val="00C17D2A"/>
    <w:rsid w:val="00C203CD"/>
    <w:rsid w:val="00C20480"/>
    <w:rsid w:val="00C2086E"/>
    <w:rsid w:val="00C21F3B"/>
    <w:rsid w:val="00C225AA"/>
    <w:rsid w:val="00C23084"/>
    <w:rsid w:val="00C2344E"/>
    <w:rsid w:val="00C25D96"/>
    <w:rsid w:val="00C25E2B"/>
    <w:rsid w:val="00C25F1A"/>
    <w:rsid w:val="00C2600F"/>
    <w:rsid w:val="00C26EEB"/>
    <w:rsid w:val="00C27BD4"/>
    <w:rsid w:val="00C31210"/>
    <w:rsid w:val="00C319EF"/>
    <w:rsid w:val="00C326CC"/>
    <w:rsid w:val="00C3346B"/>
    <w:rsid w:val="00C3524F"/>
    <w:rsid w:val="00C35A4B"/>
    <w:rsid w:val="00C35DBE"/>
    <w:rsid w:val="00C3605B"/>
    <w:rsid w:val="00C4001D"/>
    <w:rsid w:val="00C401EF"/>
    <w:rsid w:val="00C40371"/>
    <w:rsid w:val="00C412CD"/>
    <w:rsid w:val="00C446A0"/>
    <w:rsid w:val="00C45225"/>
    <w:rsid w:val="00C466D8"/>
    <w:rsid w:val="00C4739B"/>
    <w:rsid w:val="00C507A9"/>
    <w:rsid w:val="00C50BAF"/>
    <w:rsid w:val="00C50E13"/>
    <w:rsid w:val="00C50E8B"/>
    <w:rsid w:val="00C51811"/>
    <w:rsid w:val="00C51AA0"/>
    <w:rsid w:val="00C52564"/>
    <w:rsid w:val="00C525B0"/>
    <w:rsid w:val="00C52FEB"/>
    <w:rsid w:val="00C53018"/>
    <w:rsid w:val="00C53978"/>
    <w:rsid w:val="00C53E16"/>
    <w:rsid w:val="00C54834"/>
    <w:rsid w:val="00C54A3B"/>
    <w:rsid w:val="00C54DDC"/>
    <w:rsid w:val="00C550F0"/>
    <w:rsid w:val="00C55E69"/>
    <w:rsid w:val="00C56AD9"/>
    <w:rsid w:val="00C56CE9"/>
    <w:rsid w:val="00C56E04"/>
    <w:rsid w:val="00C56E5D"/>
    <w:rsid w:val="00C57B6C"/>
    <w:rsid w:val="00C60D1E"/>
    <w:rsid w:val="00C6100E"/>
    <w:rsid w:val="00C6168B"/>
    <w:rsid w:val="00C621B3"/>
    <w:rsid w:val="00C6492C"/>
    <w:rsid w:val="00C64F65"/>
    <w:rsid w:val="00C65F61"/>
    <w:rsid w:val="00C66427"/>
    <w:rsid w:val="00C66D2F"/>
    <w:rsid w:val="00C676ED"/>
    <w:rsid w:val="00C67AED"/>
    <w:rsid w:val="00C70442"/>
    <w:rsid w:val="00C7081C"/>
    <w:rsid w:val="00C71087"/>
    <w:rsid w:val="00C71380"/>
    <w:rsid w:val="00C72C05"/>
    <w:rsid w:val="00C73EDA"/>
    <w:rsid w:val="00C73F21"/>
    <w:rsid w:val="00C7421E"/>
    <w:rsid w:val="00C7451C"/>
    <w:rsid w:val="00C74791"/>
    <w:rsid w:val="00C74B71"/>
    <w:rsid w:val="00C754C2"/>
    <w:rsid w:val="00C7687C"/>
    <w:rsid w:val="00C76963"/>
    <w:rsid w:val="00C80B31"/>
    <w:rsid w:val="00C80FB7"/>
    <w:rsid w:val="00C819C2"/>
    <w:rsid w:val="00C81BFC"/>
    <w:rsid w:val="00C823E1"/>
    <w:rsid w:val="00C8276F"/>
    <w:rsid w:val="00C82C41"/>
    <w:rsid w:val="00C83B90"/>
    <w:rsid w:val="00C83D59"/>
    <w:rsid w:val="00C84072"/>
    <w:rsid w:val="00C840B0"/>
    <w:rsid w:val="00C8706A"/>
    <w:rsid w:val="00C875FA"/>
    <w:rsid w:val="00C8798F"/>
    <w:rsid w:val="00C87A5E"/>
    <w:rsid w:val="00C90DC2"/>
    <w:rsid w:val="00C90F4C"/>
    <w:rsid w:val="00C91388"/>
    <w:rsid w:val="00C934F9"/>
    <w:rsid w:val="00C9366F"/>
    <w:rsid w:val="00C94A59"/>
    <w:rsid w:val="00C951D0"/>
    <w:rsid w:val="00C965FD"/>
    <w:rsid w:val="00C96F4C"/>
    <w:rsid w:val="00CA1878"/>
    <w:rsid w:val="00CA1A63"/>
    <w:rsid w:val="00CA1DB7"/>
    <w:rsid w:val="00CA2696"/>
    <w:rsid w:val="00CA2B8E"/>
    <w:rsid w:val="00CA2CC8"/>
    <w:rsid w:val="00CA30BC"/>
    <w:rsid w:val="00CA438B"/>
    <w:rsid w:val="00CA4535"/>
    <w:rsid w:val="00CA7104"/>
    <w:rsid w:val="00CA7524"/>
    <w:rsid w:val="00CA7844"/>
    <w:rsid w:val="00CB030F"/>
    <w:rsid w:val="00CB08AC"/>
    <w:rsid w:val="00CB09BF"/>
    <w:rsid w:val="00CB0A43"/>
    <w:rsid w:val="00CB0D24"/>
    <w:rsid w:val="00CB2958"/>
    <w:rsid w:val="00CB4809"/>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4C3"/>
    <w:rsid w:val="00CC15EB"/>
    <w:rsid w:val="00CC18CF"/>
    <w:rsid w:val="00CC2EFB"/>
    <w:rsid w:val="00CC353C"/>
    <w:rsid w:val="00CC364F"/>
    <w:rsid w:val="00CC3E82"/>
    <w:rsid w:val="00CC5354"/>
    <w:rsid w:val="00CC5638"/>
    <w:rsid w:val="00CC5CFD"/>
    <w:rsid w:val="00CC6DC2"/>
    <w:rsid w:val="00CC7674"/>
    <w:rsid w:val="00CC7789"/>
    <w:rsid w:val="00CD11C2"/>
    <w:rsid w:val="00CD1332"/>
    <w:rsid w:val="00CD2CD2"/>
    <w:rsid w:val="00CD2D55"/>
    <w:rsid w:val="00CD30DC"/>
    <w:rsid w:val="00CD5D14"/>
    <w:rsid w:val="00CD7626"/>
    <w:rsid w:val="00CE124D"/>
    <w:rsid w:val="00CE1335"/>
    <w:rsid w:val="00CE1609"/>
    <w:rsid w:val="00CE2636"/>
    <w:rsid w:val="00CE3916"/>
    <w:rsid w:val="00CE4814"/>
    <w:rsid w:val="00CE61B9"/>
    <w:rsid w:val="00CE6A17"/>
    <w:rsid w:val="00CE7D99"/>
    <w:rsid w:val="00CF0768"/>
    <w:rsid w:val="00CF1AD6"/>
    <w:rsid w:val="00CF25AA"/>
    <w:rsid w:val="00CF26BB"/>
    <w:rsid w:val="00CF2B16"/>
    <w:rsid w:val="00CF46EC"/>
    <w:rsid w:val="00CF4BB2"/>
    <w:rsid w:val="00CF521B"/>
    <w:rsid w:val="00CF5315"/>
    <w:rsid w:val="00CF5471"/>
    <w:rsid w:val="00CF5515"/>
    <w:rsid w:val="00CF71A8"/>
    <w:rsid w:val="00D01910"/>
    <w:rsid w:val="00D01FEF"/>
    <w:rsid w:val="00D03290"/>
    <w:rsid w:val="00D03A0B"/>
    <w:rsid w:val="00D0411D"/>
    <w:rsid w:val="00D06309"/>
    <w:rsid w:val="00D065A7"/>
    <w:rsid w:val="00D07A19"/>
    <w:rsid w:val="00D1078E"/>
    <w:rsid w:val="00D108DD"/>
    <w:rsid w:val="00D10ACB"/>
    <w:rsid w:val="00D1228F"/>
    <w:rsid w:val="00D12693"/>
    <w:rsid w:val="00D12767"/>
    <w:rsid w:val="00D13261"/>
    <w:rsid w:val="00D13EFD"/>
    <w:rsid w:val="00D1410D"/>
    <w:rsid w:val="00D15024"/>
    <w:rsid w:val="00D15275"/>
    <w:rsid w:val="00D15BE2"/>
    <w:rsid w:val="00D1737E"/>
    <w:rsid w:val="00D17932"/>
    <w:rsid w:val="00D17A8C"/>
    <w:rsid w:val="00D2209C"/>
    <w:rsid w:val="00D22726"/>
    <w:rsid w:val="00D24001"/>
    <w:rsid w:val="00D24465"/>
    <w:rsid w:val="00D24C30"/>
    <w:rsid w:val="00D25145"/>
    <w:rsid w:val="00D25ECA"/>
    <w:rsid w:val="00D262DA"/>
    <w:rsid w:val="00D26D8F"/>
    <w:rsid w:val="00D2758D"/>
    <w:rsid w:val="00D30B07"/>
    <w:rsid w:val="00D30E19"/>
    <w:rsid w:val="00D31174"/>
    <w:rsid w:val="00D316BB"/>
    <w:rsid w:val="00D31A57"/>
    <w:rsid w:val="00D32771"/>
    <w:rsid w:val="00D32EC8"/>
    <w:rsid w:val="00D3312E"/>
    <w:rsid w:val="00D33834"/>
    <w:rsid w:val="00D33959"/>
    <w:rsid w:val="00D33962"/>
    <w:rsid w:val="00D34699"/>
    <w:rsid w:val="00D3532A"/>
    <w:rsid w:val="00D35BDE"/>
    <w:rsid w:val="00D35C53"/>
    <w:rsid w:val="00D366A8"/>
    <w:rsid w:val="00D36C0E"/>
    <w:rsid w:val="00D41375"/>
    <w:rsid w:val="00D41C8F"/>
    <w:rsid w:val="00D437F2"/>
    <w:rsid w:val="00D43A4A"/>
    <w:rsid w:val="00D4538B"/>
    <w:rsid w:val="00D4610F"/>
    <w:rsid w:val="00D47155"/>
    <w:rsid w:val="00D47BBD"/>
    <w:rsid w:val="00D47DBC"/>
    <w:rsid w:val="00D50940"/>
    <w:rsid w:val="00D50983"/>
    <w:rsid w:val="00D50D3E"/>
    <w:rsid w:val="00D51175"/>
    <w:rsid w:val="00D51B3D"/>
    <w:rsid w:val="00D52053"/>
    <w:rsid w:val="00D52C13"/>
    <w:rsid w:val="00D53AB5"/>
    <w:rsid w:val="00D53C02"/>
    <w:rsid w:val="00D543A9"/>
    <w:rsid w:val="00D55025"/>
    <w:rsid w:val="00D556E8"/>
    <w:rsid w:val="00D560D5"/>
    <w:rsid w:val="00D560F8"/>
    <w:rsid w:val="00D567BB"/>
    <w:rsid w:val="00D572BC"/>
    <w:rsid w:val="00D57AB0"/>
    <w:rsid w:val="00D57FDC"/>
    <w:rsid w:val="00D60295"/>
    <w:rsid w:val="00D603BD"/>
    <w:rsid w:val="00D60AB3"/>
    <w:rsid w:val="00D60BBA"/>
    <w:rsid w:val="00D60CCC"/>
    <w:rsid w:val="00D6174F"/>
    <w:rsid w:val="00D61C7D"/>
    <w:rsid w:val="00D620EF"/>
    <w:rsid w:val="00D62444"/>
    <w:rsid w:val="00D63EBA"/>
    <w:rsid w:val="00D6406B"/>
    <w:rsid w:val="00D649C3"/>
    <w:rsid w:val="00D64A87"/>
    <w:rsid w:val="00D65ADE"/>
    <w:rsid w:val="00D6603A"/>
    <w:rsid w:val="00D7072C"/>
    <w:rsid w:val="00D7120D"/>
    <w:rsid w:val="00D73905"/>
    <w:rsid w:val="00D73FF8"/>
    <w:rsid w:val="00D749FF"/>
    <w:rsid w:val="00D74DA5"/>
    <w:rsid w:val="00D750A6"/>
    <w:rsid w:val="00D750B6"/>
    <w:rsid w:val="00D751D4"/>
    <w:rsid w:val="00D7594A"/>
    <w:rsid w:val="00D77572"/>
    <w:rsid w:val="00D77B38"/>
    <w:rsid w:val="00D80851"/>
    <w:rsid w:val="00D80E45"/>
    <w:rsid w:val="00D8126E"/>
    <w:rsid w:val="00D81CD4"/>
    <w:rsid w:val="00D824CA"/>
    <w:rsid w:val="00D82EAF"/>
    <w:rsid w:val="00D833C0"/>
    <w:rsid w:val="00D8476D"/>
    <w:rsid w:val="00D85198"/>
    <w:rsid w:val="00D85B53"/>
    <w:rsid w:val="00D85CEB"/>
    <w:rsid w:val="00D86EF4"/>
    <w:rsid w:val="00D87B92"/>
    <w:rsid w:val="00D87FDE"/>
    <w:rsid w:val="00D90186"/>
    <w:rsid w:val="00D909D9"/>
    <w:rsid w:val="00D913F6"/>
    <w:rsid w:val="00D9161D"/>
    <w:rsid w:val="00D920CF"/>
    <w:rsid w:val="00D92258"/>
    <w:rsid w:val="00D925D1"/>
    <w:rsid w:val="00D93C71"/>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23B"/>
    <w:rsid w:val="00DA698B"/>
    <w:rsid w:val="00DA7193"/>
    <w:rsid w:val="00DA7733"/>
    <w:rsid w:val="00DA7903"/>
    <w:rsid w:val="00DA7D8A"/>
    <w:rsid w:val="00DA7D91"/>
    <w:rsid w:val="00DA7FE9"/>
    <w:rsid w:val="00DB0B5B"/>
    <w:rsid w:val="00DB2C29"/>
    <w:rsid w:val="00DB3F07"/>
    <w:rsid w:val="00DB51FE"/>
    <w:rsid w:val="00DB56EC"/>
    <w:rsid w:val="00DB6913"/>
    <w:rsid w:val="00DC0473"/>
    <w:rsid w:val="00DC0D92"/>
    <w:rsid w:val="00DC16C4"/>
    <w:rsid w:val="00DC1840"/>
    <w:rsid w:val="00DC1D0E"/>
    <w:rsid w:val="00DC1D5A"/>
    <w:rsid w:val="00DC2D4C"/>
    <w:rsid w:val="00DC2F28"/>
    <w:rsid w:val="00DC3EAD"/>
    <w:rsid w:val="00DC429F"/>
    <w:rsid w:val="00DC44BB"/>
    <w:rsid w:val="00DC4DBC"/>
    <w:rsid w:val="00DC630F"/>
    <w:rsid w:val="00DC6B7B"/>
    <w:rsid w:val="00DC7538"/>
    <w:rsid w:val="00DD0850"/>
    <w:rsid w:val="00DD0988"/>
    <w:rsid w:val="00DD2175"/>
    <w:rsid w:val="00DD312E"/>
    <w:rsid w:val="00DD3A08"/>
    <w:rsid w:val="00DD43D0"/>
    <w:rsid w:val="00DD46A2"/>
    <w:rsid w:val="00DD4723"/>
    <w:rsid w:val="00DD615E"/>
    <w:rsid w:val="00DD630D"/>
    <w:rsid w:val="00DD6E4B"/>
    <w:rsid w:val="00DD7254"/>
    <w:rsid w:val="00DD7F58"/>
    <w:rsid w:val="00DE0048"/>
    <w:rsid w:val="00DE0C0C"/>
    <w:rsid w:val="00DE2BA4"/>
    <w:rsid w:val="00DE3718"/>
    <w:rsid w:val="00DE4FBF"/>
    <w:rsid w:val="00DE518B"/>
    <w:rsid w:val="00DE5865"/>
    <w:rsid w:val="00DE605C"/>
    <w:rsid w:val="00DE7296"/>
    <w:rsid w:val="00DF01CF"/>
    <w:rsid w:val="00DF026E"/>
    <w:rsid w:val="00DF0696"/>
    <w:rsid w:val="00DF15A8"/>
    <w:rsid w:val="00DF25B5"/>
    <w:rsid w:val="00DF27F0"/>
    <w:rsid w:val="00DF3290"/>
    <w:rsid w:val="00DF4467"/>
    <w:rsid w:val="00DF456A"/>
    <w:rsid w:val="00DF4F76"/>
    <w:rsid w:val="00DF6698"/>
    <w:rsid w:val="00E01DB7"/>
    <w:rsid w:val="00E0235E"/>
    <w:rsid w:val="00E02695"/>
    <w:rsid w:val="00E02C38"/>
    <w:rsid w:val="00E05162"/>
    <w:rsid w:val="00E06A30"/>
    <w:rsid w:val="00E0750D"/>
    <w:rsid w:val="00E07B71"/>
    <w:rsid w:val="00E07D3F"/>
    <w:rsid w:val="00E10B8A"/>
    <w:rsid w:val="00E10DA4"/>
    <w:rsid w:val="00E11E7E"/>
    <w:rsid w:val="00E12016"/>
    <w:rsid w:val="00E13019"/>
    <w:rsid w:val="00E1436D"/>
    <w:rsid w:val="00E14594"/>
    <w:rsid w:val="00E14598"/>
    <w:rsid w:val="00E14717"/>
    <w:rsid w:val="00E14952"/>
    <w:rsid w:val="00E149AF"/>
    <w:rsid w:val="00E14D1D"/>
    <w:rsid w:val="00E154BF"/>
    <w:rsid w:val="00E1595D"/>
    <w:rsid w:val="00E15E3A"/>
    <w:rsid w:val="00E16DB3"/>
    <w:rsid w:val="00E207E1"/>
    <w:rsid w:val="00E20D51"/>
    <w:rsid w:val="00E2124F"/>
    <w:rsid w:val="00E218EE"/>
    <w:rsid w:val="00E21D51"/>
    <w:rsid w:val="00E21D8C"/>
    <w:rsid w:val="00E23FF4"/>
    <w:rsid w:val="00E2443D"/>
    <w:rsid w:val="00E24CD4"/>
    <w:rsid w:val="00E24D5C"/>
    <w:rsid w:val="00E25845"/>
    <w:rsid w:val="00E260BB"/>
    <w:rsid w:val="00E26EDD"/>
    <w:rsid w:val="00E2739D"/>
    <w:rsid w:val="00E2756F"/>
    <w:rsid w:val="00E30DA9"/>
    <w:rsid w:val="00E311CB"/>
    <w:rsid w:val="00E31A57"/>
    <w:rsid w:val="00E31DCB"/>
    <w:rsid w:val="00E32CA8"/>
    <w:rsid w:val="00E32EC4"/>
    <w:rsid w:val="00E33104"/>
    <w:rsid w:val="00E33748"/>
    <w:rsid w:val="00E3397A"/>
    <w:rsid w:val="00E33D62"/>
    <w:rsid w:val="00E33DFB"/>
    <w:rsid w:val="00E348A0"/>
    <w:rsid w:val="00E34BB5"/>
    <w:rsid w:val="00E35AE3"/>
    <w:rsid w:val="00E3681E"/>
    <w:rsid w:val="00E37A59"/>
    <w:rsid w:val="00E40348"/>
    <w:rsid w:val="00E409E4"/>
    <w:rsid w:val="00E415F2"/>
    <w:rsid w:val="00E41BCA"/>
    <w:rsid w:val="00E41FB4"/>
    <w:rsid w:val="00E44559"/>
    <w:rsid w:val="00E469E9"/>
    <w:rsid w:val="00E47B1A"/>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E3D"/>
    <w:rsid w:val="00E620FA"/>
    <w:rsid w:val="00E624DF"/>
    <w:rsid w:val="00E632D4"/>
    <w:rsid w:val="00E64582"/>
    <w:rsid w:val="00E6579D"/>
    <w:rsid w:val="00E664B7"/>
    <w:rsid w:val="00E700B1"/>
    <w:rsid w:val="00E70A9F"/>
    <w:rsid w:val="00E7105F"/>
    <w:rsid w:val="00E7115D"/>
    <w:rsid w:val="00E713C3"/>
    <w:rsid w:val="00E71438"/>
    <w:rsid w:val="00E72A13"/>
    <w:rsid w:val="00E72D47"/>
    <w:rsid w:val="00E738AA"/>
    <w:rsid w:val="00E739BE"/>
    <w:rsid w:val="00E7470F"/>
    <w:rsid w:val="00E7483B"/>
    <w:rsid w:val="00E74AEE"/>
    <w:rsid w:val="00E75C9D"/>
    <w:rsid w:val="00E76092"/>
    <w:rsid w:val="00E76441"/>
    <w:rsid w:val="00E76EBB"/>
    <w:rsid w:val="00E77141"/>
    <w:rsid w:val="00E806C0"/>
    <w:rsid w:val="00E80911"/>
    <w:rsid w:val="00E81253"/>
    <w:rsid w:val="00E822B1"/>
    <w:rsid w:val="00E826D5"/>
    <w:rsid w:val="00E8273B"/>
    <w:rsid w:val="00E8394A"/>
    <w:rsid w:val="00E849EA"/>
    <w:rsid w:val="00E85DA7"/>
    <w:rsid w:val="00E85E4A"/>
    <w:rsid w:val="00E8622F"/>
    <w:rsid w:val="00E868D2"/>
    <w:rsid w:val="00E878B4"/>
    <w:rsid w:val="00E87B47"/>
    <w:rsid w:val="00E90D82"/>
    <w:rsid w:val="00E911AB"/>
    <w:rsid w:val="00E9175E"/>
    <w:rsid w:val="00E92528"/>
    <w:rsid w:val="00E92B93"/>
    <w:rsid w:val="00E92EE2"/>
    <w:rsid w:val="00E93361"/>
    <w:rsid w:val="00E93836"/>
    <w:rsid w:val="00E93893"/>
    <w:rsid w:val="00E93CEF"/>
    <w:rsid w:val="00E93EDA"/>
    <w:rsid w:val="00E94886"/>
    <w:rsid w:val="00E94F43"/>
    <w:rsid w:val="00E95522"/>
    <w:rsid w:val="00E96091"/>
    <w:rsid w:val="00E96139"/>
    <w:rsid w:val="00E97544"/>
    <w:rsid w:val="00E97D5B"/>
    <w:rsid w:val="00E97EC6"/>
    <w:rsid w:val="00EA09F7"/>
    <w:rsid w:val="00EA15EB"/>
    <w:rsid w:val="00EA173F"/>
    <w:rsid w:val="00EA19F5"/>
    <w:rsid w:val="00EA2499"/>
    <w:rsid w:val="00EA3128"/>
    <w:rsid w:val="00EA31BE"/>
    <w:rsid w:val="00EA3A8D"/>
    <w:rsid w:val="00EA424B"/>
    <w:rsid w:val="00EA4DE3"/>
    <w:rsid w:val="00EA55D3"/>
    <w:rsid w:val="00EA5946"/>
    <w:rsid w:val="00EA5A16"/>
    <w:rsid w:val="00EA6B9A"/>
    <w:rsid w:val="00EA7384"/>
    <w:rsid w:val="00EA75AE"/>
    <w:rsid w:val="00EA75F0"/>
    <w:rsid w:val="00EA7932"/>
    <w:rsid w:val="00EB0389"/>
    <w:rsid w:val="00EB0876"/>
    <w:rsid w:val="00EB0902"/>
    <w:rsid w:val="00EB0F4E"/>
    <w:rsid w:val="00EB1592"/>
    <w:rsid w:val="00EB2696"/>
    <w:rsid w:val="00EB417D"/>
    <w:rsid w:val="00EB43F8"/>
    <w:rsid w:val="00EB481E"/>
    <w:rsid w:val="00EB4B6D"/>
    <w:rsid w:val="00EB5F7F"/>
    <w:rsid w:val="00EB5FFD"/>
    <w:rsid w:val="00EB6BDA"/>
    <w:rsid w:val="00EB79E4"/>
    <w:rsid w:val="00EB7ACC"/>
    <w:rsid w:val="00EB7E73"/>
    <w:rsid w:val="00EC1655"/>
    <w:rsid w:val="00EC1C87"/>
    <w:rsid w:val="00EC2583"/>
    <w:rsid w:val="00EC2850"/>
    <w:rsid w:val="00EC2E64"/>
    <w:rsid w:val="00EC3101"/>
    <w:rsid w:val="00EC3604"/>
    <w:rsid w:val="00EC3A12"/>
    <w:rsid w:val="00EC48A5"/>
    <w:rsid w:val="00EC4D6A"/>
    <w:rsid w:val="00EC4E7F"/>
    <w:rsid w:val="00EC5DA2"/>
    <w:rsid w:val="00EC5F15"/>
    <w:rsid w:val="00EC64FC"/>
    <w:rsid w:val="00EC6F32"/>
    <w:rsid w:val="00EC77A0"/>
    <w:rsid w:val="00EC7F3F"/>
    <w:rsid w:val="00ED0C17"/>
    <w:rsid w:val="00ED2184"/>
    <w:rsid w:val="00ED2979"/>
    <w:rsid w:val="00ED313F"/>
    <w:rsid w:val="00ED3A38"/>
    <w:rsid w:val="00ED40B3"/>
    <w:rsid w:val="00ED4ED8"/>
    <w:rsid w:val="00ED51C2"/>
    <w:rsid w:val="00ED5B3F"/>
    <w:rsid w:val="00ED63C3"/>
    <w:rsid w:val="00ED6D96"/>
    <w:rsid w:val="00ED7E06"/>
    <w:rsid w:val="00ED7E20"/>
    <w:rsid w:val="00EE026D"/>
    <w:rsid w:val="00EE02EF"/>
    <w:rsid w:val="00EE0649"/>
    <w:rsid w:val="00EE1153"/>
    <w:rsid w:val="00EE13D9"/>
    <w:rsid w:val="00EE1CFA"/>
    <w:rsid w:val="00EE3235"/>
    <w:rsid w:val="00EE3E5C"/>
    <w:rsid w:val="00EE44B1"/>
    <w:rsid w:val="00EE4D42"/>
    <w:rsid w:val="00EE4E17"/>
    <w:rsid w:val="00EE61F5"/>
    <w:rsid w:val="00EE650E"/>
    <w:rsid w:val="00EE68D0"/>
    <w:rsid w:val="00EE6F6E"/>
    <w:rsid w:val="00EE78BE"/>
    <w:rsid w:val="00EF05E4"/>
    <w:rsid w:val="00EF073C"/>
    <w:rsid w:val="00EF0F16"/>
    <w:rsid w:val="00EF1B5E"/>
    <w:rsid w:val="00EF2928"/>
    <w:rsid w:val="00EF3025"/>
    <w:rsid w:val="00EF592D"/>
    <w:rsid w:val="00EF664B"/>
    <w:rsid w:val="00EF6873"/>
    <w:rsid w:val="00EF68D4"/>
    <w:rsid w:val="00EF7BEB"/>
    <w:rsid w:val="00EF7D77"/>
    <w:rsid w:val="00F00735"/>
    <w:rsid w:val="00F0274E"/>
    <w:rsid w:val="00F027B9"/>
    <w:rsid w:val="00F02BAD"/>
    <w:rsid w:val="00F02EFE"/>
    <w:rsid w:val="00F04CFF"/>
    <w:rsid w:val="00F054ED"/>
    <w:rsid w:val="00F05980"/>
    <w:rsid w:val="00F062F8"/>
    <w:rsid w:val="00F076B6"/>
    <w:rsid w:val="00F10841"/>
    <w:rsid w:val="00F1097A"/>
    <w:rsid w:val="00F10EEB"/>
    <w:rsid w:val="00F11217"/>
    <w:rsid w:val="00F12A70"/>
    <w:rsid w:val="00F137C3"/>
    <w:rsid w:val="00F13F06"/>
    <w:rsid w:val="00F1463D"/>
    <w:rsid w:val="00F15F7C"/>
    <w:rsid w:val="00F16AB9"/>
    <w:rsid w:val="00F17069"/>
    <w:rsid w:val="00F179E5"/>
    <w:rsid w:val="00F17C4C"/>
    <w:rsid w:val="00F20347"/>
    <w:rsid w:val="00F209DB"/>
    <w:rsid w:val="00F236C0"/>
    <w:rsid w:val="00F23962"/>
    <w:rsid w:val="00F2504F"/>
    <w:rsid w:val="00F251CA"/>
    <w:rsid w:val="00F260F4"/>
    <w:rsid w:val="00F26CFE"/>
    <w:rsid w:val="00F312D5"/>
    <w:rsid w:val="00F31368"/>
    <w:rsid w:val="00F3193C"/>
    <w:rsid w:val="00F31D49"/>
    <w:rsid w:val="00F32572"/>
    <w:rsid w:val="00F326CC"/>
    <w:rsid w:val="00F329A0"/>
    <w:rsid w:val="00F33400"/>
    <w:rsid w:val="00F33439"/>
    <w:rsid w:val="00F33881"/>
    <w:rsid w:val="00F33A01"/>
    <w:rsid w:val="00F33B54"/>
    <w:rsid w:val="00F34530"/>
    <w:rsid w:val="00F34B74"/>
    <w:rsid w:val="00F34BC9"/>
    <w:rsid w:val="00F34C6A"/>
    <w:rsid w:val="00F34E02"/>
    <w:rsid w:val="00F36351"/>
    <w:rsid w:val="00F36CA0"/>
    <w:rsid w:val="00F372C8"/>
    <w:rsid w:val="00F37C45"/>
    <w:rsid w:val="00F41009"/>
    <w:rsid w:val="00F44C20"/>
    <w:rsid w:val="00F44D5D"/>
    <w:rsid w:val="00F44D96"/>
    <w:rsid w:val="00F44FDF"/>
    <w:rsid w:val="00F4642B"/>
    <w:rsid w:val="00F469F3"/>
    <w:rsid w:val="00F46EB1"/>
    <w:rsid w:val="00F47C5F"/>
    <w:rsid w:val="00F50B66"/>
    <w:rsid w:val="00F50FD8"/>
    <w:rsid w:val="00F512AA"/>
    <w:rsid w:val="00F5247F"/>
    <w:rsid w:val="00F5402C"/>
    <w:rsid w:val="00F55B3D"/>
    <w:rsid w:val="00F55D07"/>
    <w:rsid w:val="00F571A3"/>
    <w:rsid w:val="00F5729B"/>
    <w:rsid w:val="00F57453"/>
    <w:rsid w:val="00F57C02"/>
    <w:rsid w:val="00F60502"/>
    <w:rsid w:val="00F60A54"/>
    <w:rsid w:val="00F617A1"/>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688"/>
    <w:rsid w:val="00F7523A"/>
    <w:rsid w:val="00F765BB"/>
    <w:rsid w:val="00F76836"/>
    <w:rsid w:val="00F76EDD"/>
    <w:rsid w:val="00F76FB2"/>
    <w:rsid w:val="00F77E86"/>
    <w:rsid w:val="00F80710"/>
    <w:rsid w:val="00F81334"/>
    <w:rsid w:val="00F81342"/>
    <w:rsid w:val="00F8138A"/>
    <w:rsid w:val="00F82C51"/>
    <w:rsid w:val="00F84276"/>
    <w:rsid w:val="00F8561A"/>
    <w:rsid w:val="00F90128"/>
    <w:rsid w:val="00F906F8"/>
    <w:rsid w:val="00F90979"/>
    <w:rsid w:val="00F90B1D"/>
    <w:rsid w:val="00F915E2"/>
    <w:rsid w:val="00F91A5D"/>
    <w:rsid w:val="00F92218"/>
    <w:rsid w:val="00F93353"/>
    <w:rsid w:val="00F94CB4"/>
    <w:rsid w:val="00F95371"/>
    <w:rsid w:val="00F9584F"/>
    <w:rsid w:val="00F96113"/>
    <w:rsid w:val="00F965F1"/>
    <w:rsid w:val="00F9705C"/>
    <w:rsid w:val="00F97A11"/>
    <w:rsid w:val="00FA0446"/>
    <w:rsid w:val="00FA0BF0"/>
    <w:rsid w:val="00FA0C17"/>
    <w:rsid w:val="00FA1E5C"/>
    <w:rsid w:val="00FA2355"/>
    <w:rsid w:val="00FA2C03"/>
    <w:rsid w:val="00FA2CB0"/>
    <w:rsid w:val="00FA34A4"/>
    <w:rsid w:val="00FA3522"/>
    <w:rsid w:val="00FA353D"/>
    <w:rsid w:val="00FA38B4"/>
    <w:rsid w:val="00FA3AEF"/>
    <w:rsid w:val="00FA3EDA"/>
    <w:rsid w:val="00FA594E"/>
    <w:rsid w:val="00FA6340"/>
    <w:rsid w:val="00FA66F4"/>
    <w:rsid w:val="00FB1C1E"/>
    <w:rsid w:val="00FB28E3"/>
    <w:rsid w:val="00FB2D6A"/>
    <w:rsid w:val="00FB2FE4"/>
    <w:rsid w:val="00FB3CAA"/>
    <w:rsid w:val="00FB540F"/>
    <w:rsid w:val="00FB5E03"/>
    <w:rsid w:val="00FB5EA4"/>
    <w:rsid w:val="00FB7E36"/>
    <w:rsid w:val="00FC0258"/>
    <w:rsid w:val="00FC1E1C"/>
    <w:rsid w:val="00FC2CFA"/>
    <w:rsid w:val="00FC31A1"/>
    <w:rsid w:val="00FC3E94"/>
    <w:rsid w:val="00FC451A"/>
    <w:rsid w:val="00FC47E5"/>
    <w:rsid w:val="00FC5057"/>
    <w:rsid w:val="00FC5247"/>
    <w:rsid w:val="00FC54C6"/>
    <w:rsid w:val="00FC5C5F"/>
    <w:rsid w:val="00FC7E2F"/>
    <w:rsid w:val="00FD15DB"/>
    <w:rsid w:val="00FD1E5A"/>
    <w:rsid w:val="00FD2215"/>
    <w:rsid w:val="00FD2EBA"/>
    <w:rsid w:val="00FD370F"/>
    <w:rsid w:val="00FD37BC"/>
    <w:rsid w:val="00FD4970"/>
    <w:rsid w:val="00FD4CA4"/>
    <w:rsid w:val="00FD5C20"/>
    <w:rsid w:val="00FD615E"/>
    <w:rsid w:val="00FD61FD"/>
    <w:rsid w:val="00FD6268"/>
    <w:rsid w:val="00FD6669"/>
    <w:rsid w:val="00FD7138"/>
    <w:rsid w:val="00FD7AD3"/>
    <w:rsid w:val="00FD7C6F"/>
    <w:rsid w:val="00FE10AC"/>
    <w:rsid w:val="00FE2290"/>
    <w:rsid w:val="00FE2B03"/>
    <w:rsid w:val="00FE2B5C"/>
    <w:rsid w:val="00FE3258"/>
    <w:rsid w:val="00FE6276"/>
    <w:rsid w:val="00FE6B12"/>
    <w:rsid w:val="00FE7F95"/>
    <w:rsid w:val="00FF0CC9"/>
    <w:rsid w:val="00FF0F9B"/>
    <w:rsid w:val="00FF1419"/>
    <w:rsid w:val="00FF22D5"/>
    <w:rsid w:val="00FF490C"/>
    <w:rsid w:val="00FF4B9A"/>
    <w:rsid w:val="00FF6A3A"/>
    <w:rsid w:val="00FF7986"/>
    <w:rsid w:val="00FF7B76"/>
    <w:rsid w:val="010C2C96"/>
    <w:rsid w:val="010C5046"/>
    <w:rsid w:val="010D671E"/>
    <w:rsid w:val="01124840"/>
    <w:rsid w:val="01182955"/>
    <w:rsid w:val="011C1FFB"/>
    <w:rsid w:val="011C5532"/>
    <w:rsid w:val="011F1DB8"/>
    <w:rsid w:val="012B351C"/>
    <w:rsid w:val="012D7A79"/>
    <w:rsid w:val="013E35E1"/>
    <w:rsid w:val="016844A4"/>
    <w:rsid w:val="01724F7C"/>
    <w:rsid w:val="01785C2C"/>
    <w:rsid w:val="017A034A"/>
    <w:rsid w:val="01800DA6"/>
    <w:rsid w:val="01802A82"/>
    <w:rsid w:val="018F0ADB"/>
    <w:rsid w:val="01911169"/>
    <w:rsid w:val="01936D79"/>
    <w:rsid w:val="01982A7C"/>
    <w:rsid w:val="019A1914"/>
    <w:rsid w:val="019B1A9C"/>
    <w:rsid w:val="019E7BD8"/>
    <w:rsid w:val="01AA0068"/>
    <w:rsid w:val="01B862EF"/>
    <w:rsid w:val="01C20A07"/>
    <w:rsid w:val="01D34206"/>
    <w:rsid w:val="01DF1969"/>
    <w:rsid w:val="01E17DC1"/>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611E1"/>
    <w:rsid w:val="02B77957"/>
    <w:rsid w:val="02BB0734"/>
    <w:rsid w:val="02C42214"/>
    <w:rsid w:val="02CC6CBE"/>
    <w:rsid w:val="02CD5A24"/>
    <w:rsid w:val="02D25939"/>
    <w:rsid w:val="02DA3C5B"/>
    <w:rsid w:val="02E57F58"/>
    <w:rsid w:val="02E70BC8"/>
    <w:rsid w:val="03024A00"/>
    <w:rsid w:val="03032339"/>
    <w:rsid w:val="030625CB"/>
    <w:rsid w:val="030C6F29"/>
    <w:rsid w:val="030D1D2D"/>
    <w:rsid w:val="0320730B"/>
    <w:rsid w:val="03245DFE"/>
    <w:rsid w:val="032E6D36"/>
    <w:rsid w:val="03344220"/>
    <w:rsid w:val="033928D2"/>
    <w:rsid w:val="03625B00"/>
    <w:rsid w:val="03656611"/>
    <w:rsid w:val="03666FB7"/>
    <w:rsid w:val="0369412B"/>
    <w:rsid w:val="036D6BA3"/>
    <w:rsid w:val="037736BF"/>
    <w:rsid w:val="0388753D"/>
    <w:rsid w:val="03914CEF"/>
    <w:rsid w:val="03AC26DB"/>
    <w:rsid w:val="03AF6A67"/>
    <w:rsid w:val="03B804CE"/>
    <w:rsid w:val="03BA4347"/>
    <w:rsid w:val="03BB37B6"/>
    <w:rsid w:val="03CA3BF8"/>
    <w:rsid w:val="03D06CE8"/>
    <w:rsid w:val="03D3487F"/>
    <w:rsid w:val="03DA050F"/>
    <w:rsid w:val="03DA551E"/>
    <w:rsid w:val="03E1434F"/>
    <w:rsid w:val="03E24779"/>
    <w:rsid w:val="03F60FF6"/>
    <w:rsid w:val="04031645"/>
    <w:rsid w:val="04123DBD"/>
    <w:rsid w:val="0415791F"/>
    <w:rsid w:val="04247E93"/>
    <w:rsid w:val="042D4BCA"/>
    <w:rsid w:val="0438233B"/>
    <w:rsid w:val="04415975"/>
    <w:rsid w:val="04422EA4"/>
    <w:rsid w:val="04453FA6"/>
    <w:rsid w:val="045654C5"/>
    <w:rsid w:val="045841FB"/>
    <w:rsid w:val="045A345F"/>
    <w:rsid w:val="04610B65"/>
    <w:rsid w:val="04635E28"/>
    <w:rsid w:val="046E0340"/>
    <w:rsid w:val="0470433C"/>
    <w:rsid w:val="04795398"/>
    <w:rsid w:val="047D3A77"/>
    <w:rsid w:val="047E4E8C"/>
    <w:rsid w:val="048250A5"/>
    <w:rsid w:val="04965B36"/>
    <w:rsid w:val="04AC5A06"/>
    <w:rsid w:val="04AE7343"/>
    <w:rsid w:val="04B90BB3"/>
    <w:rsid w:val="04C4109A"/>
    <w:rsid w:val="04D26CFA"/>
    <w:rsid w:val="04E847E3"/>
    <w:rsid w:val="04F03E4C"/>
    <w:rsid w:val="04F964FE"/>
    <w:rsid w:val="050F0C3B"/>
    <w:rsid w:val="051038C0"/>
    <w:rsid w:val="05130A9A"/>
    <w:rsid w:val="05202CD7"/>
    <w:rsid w:val="05284567"/>
    <w:rsid w:val="052E0C6F"/>
    <w:rsid w:val="052E677A"/>
    <w:rsid w:val="05320B7C"/>
    <w:rsid w:val="053467E6"/>
    <w:rsid w:val="0537577B"/>
    <w:rsid w:val="05407004"/>
    <w:rsid w:val="055968F8"/>
    <w:rsid w:val="055E2363"/>
    <w:rsid w:val="055E6FD1"/>
    <w:rsid w:val="056475CC"/>
    <w:rsid w:val="05656253"/>
    <w:rsid w:val="05711383"/>
    <w:rsid w:val="057920E8"/>
    <w:rsid w:val="057A271D"/>
    <w:rsid w:val="058968DA"/>
    <w:rsid w:val="05940E2A"/>
    <w:rsid w:val="05994192"/>
    <w:rsid w:val="059F4AC3"/>
    <w:rsid w:val="05A31D76"/>
    <w:rsid w:val="05AD247A"/>
    <w:rsid w:val="05B00D35"/>
    <w:rsid w:val="05BE291C"/>
    <w:rsid w:val="05C41C5F"/>
    <w:rsid w:val="05C562AA"/>
    <w:rsid w:val="05C575C9"/>
    <w:rsid w:val="05C96DAF"/>
    <w:rsid w:val="05CB0777"/>
    <w:rsid w:val="05D53D9D"/>
    <w:rsid w:val="05D64790"/>
    <w:rsid w:val="05D86F60"/>
    <w:rsid w:val="05DA39A6"/>
    <w:rsid w:val="05E1417C"/>
    <w:rsid w:val="05EF05A3"/>
    <w:rsid w:val="05F02461"/>
    <w:rsid w:val="05F42BDE"/>
    <w:rsid w:val="05FC2CC6"/>
    <w:rsid w:val="05FD34E9"/>
    <w:rsid w:val="060E60F1"/>
    <w:rsid w:val="06151530"/>
    <w:rsid w:val="061D6D0E"/>
    <w:rsid w:val="061E78E4"/>
    <w:rsid w:val="062524A0"/>
    <w:rsid w:val="062C1339"/>
    <w:rsid w:val="06396C2F"/>
    <w:rsid w:val="06414FF3"/>
    <w:rsid w:val="064266BC"/>
    <w:rsid w:val="06496457"/>
    <w:rsid w:val="064A03A8"/>
    <w:rsid w:val="0655713A"/>
    <w:rsid w:val="06625D2A"/>
    <w:rsid w:val="06651536"/>
    <w:rsid w:val="066E6FEA"/>
    <w:rsid w:val="067C1790"/>
    <w:rsid w:val="067D6DB8"/>
    <w:rsid w:val="06813F88"/>
    <w:rsid w:val="069271F5"/>
    <w:rsid w:val="06984400"/>
    <w:rsid w:val="06A74C05"/>
    <w:rsid w:val="06B4093A"/>
    <w:rsid w:val="06C34D8E"/>
    <w:rsid w:val="06CE0008"/>
    <w:rsid w:val="06D020E0"/>
    <w:rsid w:val="06ED199B"/>
    <w:rsid w:val="06EE4389"/>
    <w:rsid w:val="06EF716D"/>
    <w:rsid w:val="07010286"/>
    <w:rsid w:val="070241E9"/>
    <w:rsid w:val="07106769"/>
    <w:rsid w:val="071A4087"/>
    <w:rsid w:val="071B04B1"/>
    <w:rsid w:val="07203EF1"/>
    <w:rsid w:val="073D0D2B"/>
    <w:rsid w:val="07480C4F"/>
    <w:rsid w:val="0748696A"/>
    <w:rsid w:val="074B37DE"/>
    <w:rsid w:val="07525D62"/>
    <w:rsid w:val="075F4260"/>
    <w:rsid w:val="076F68F3"/>
    <w:rsid w:val="078134DF"/>
    <w:rsid w:val="07882FBE"/>
    <w:rsid w:val="078B6222"/>
    <w:rsid w:val="07925148"/>
    <w:rsid w:val="079727D2"/>
    <w:rsid w:val="079F7CA9"/>
    <w:rsid w:val="07A1167C"/>
    <w:rsid w:val="07AE108C"/>
    <w:rsid w:val="07B27B3D"/>
    <w:rsid w:val="07BA4CCA"/>
    <w:rsid w:val="07C210D3"/>
    <w:rsid w:val="07C43646"/>
    <w:rsid w:val="07D17825"/>
    <w:rsid w:val="07D46474"/>
    <w:rsid w:val="07ED0962"/>
    <w:rsid w:val="07F60E79"/>
    <w:rsid w:val="0810594A"/>
    <w:rsid w:val="081348AE"/>
    <w:rsid w:val="081B6711"/>
    <w:rsid w:val="081E5651"/>
    <w:rsid w:val="083539DF"/>
    <w:rsid w:val="084D1E2B"/>
    <w:rsid w:val="08547508"/>
    <w:rsid w:val="08615E14"/>
    <w:rsid w:val="088A0187"/>
    <w:rsid w:val="08931EB9"/>
    <w:rsid w:val="08960598"/>
    <w:rsid w:val="08B46DEE"/>
    <w:rsid w:val="08BE644F"/>
    <w:rsid w:val="08BF6A3F"/>
    <w:rsid w:val="08CD18C2"/>
    <w:rsid w:val="08D67A04"/>
    <w:rsid w:val="08DB1649"/>
    <w:rsid w:val="08DE7603"/>
    <w:rsid w:val="08E01623"/>
    <w:rsid w:val="08F911E2"/>
    <w:rsid w:val="08FD1E49"/>
    <w:rsid w:val="090066FB"/>
    <w:rsid w:val="09193480"/>
    <w:rsid w:val="092903B1"/>
    <w:rsid w:val="09392DE8"/>
    <w:rsid w:val="094979EF"/>
    <w:rsid w:val="09564770"/>
    <w:rsid w:val="095E1A3B"/>
    <w:rsid w:val="095F2523"/>
    <w:rsid w:val="096C6A74"/>
    <w:rsid w:val="09712142"/>
    <w:rsid w:val="0976107E"/>
    <w:rsid w:val="09771526"/>
    <w:rsid w:val="09772C47"/>
    <w:rsid w:val="09865AC0"/>
    <w:rsid w:val="0987783C"/>
    <w:rsid w:val="098D4755"/>
    <w:rsid w:val="09941D3F"/>
    <w:rsid w:val="09942912"/>
    <w:rsid w:val="099519E5"/>
    <w:rsid w:val="099D6E4D"/>
    <w:rsid w:val="09A9376A"/>
    <w:rsid w:val="09AE11F7"/>
    <w:rsid w:val="09B84622"/>
    <w:rsid w:val="09B96184"/>
    <w:rsid w:val="09C45552"/>
    <w:rsid w:val="09CE177B"/>
    <w:rsid w:val="09D443EF"/>
    <w:rsid w:val="09DA3055"/>
    <w:rsid w:val="09DB293D"/>
    <w:rsid w:val="09E52755"/>
    <w:rsid w:val="09EA6024"/>
    <w:rsid w:val="09F57C53"/>
    <w:rsid w:val="09FB4055"/>
    <w:rsid w:val="09FB48BE"/>
    <w:rsid w:val="0A017F6F"/>
    <w:rsid w:val="0A0C3321"/>
    <w:rsid w:val="0A0D7F05"/>
    <w:rsid w:val="0A2175C7"/>
    <w:rsid w:val="0A2E2DC6"/>
    <w:rsid w:val="0A2F05B8"/>
    <w:rsid w:val="0A2F6943"/>
    <w:rsid w:val="0A310D95"/>
    <w:rsid w:val="0A442F3E"/>
    <w:rsid w:val="0A570391"/>
    <w:rsid w:val="0A596995"/>
    <w:rsid w:val="0A5B02BB"/>
    <w:rsid w:val="0A6527F0"/>
    <w:rsid w:val="0A67309C"/>
    <w:rsid w:val="0A6A061B"/>
    <w:rsid w:val="0A6C53BD"/>
    <w:rsid w:val="0A7026DC"/>
    <w:rsid w:val="0A7D6CA0"/>
    <w:rsid w:val="0A91410C"/>
    <w:rsid w:val="0A9F4449"/>
    <w:rsid w:val="0AAB1C3E"/>
    <w:rsid w:val="0AAD6510"/>
    <w:rsid w:val="0AB03822"/>
    <w:rsid w:val="0AB511CC"/>
    <w:rsid w:val="0AC74493"/>
    <w:rsid w:val="0AD1042D"/>
    <w:rsid w:val="0AD211EC"/>
    <w:rsid w:val="0AD52C15"/>
    <w:rsid w:val="0AFF7223"/>
    <w:rsid w:val="0B03303B"/>
    <w:rsid w:val="0B177AE4"/>
    <w:rsid w:val="0B1E1622"/>
    <w:rsid w:val="0B1E4234"/>
    <w:rsid w:val="0B210FF4"/>
    <w:rsid w:val="0B214EC8"/>
    <w:rsid w:val="0B4C4CA4"/>
    <w:rsid w:val="0B4C67B5"/>
    <w:rsid w:val="0B4D5F38"/>
    <w:rsid w:val="0B5625FF"/>
    <w:rsid w:val="0B5C0F89"/>
    <w:rsid w:val="0B5C2E5A"/>
    <w:rsid w:val="0B671C59"/>
    <w:rsid w:val="0B6A2060"/>
    <w:rsid w:val="0B6D7F8B"/>
    <w:rsid w:val="0B7456C3"/>
    <w:rsid w:val="0B825193"/>
    <w:rsid w:val="0B8437E7"/>
    <w:rsid w:val="0B844680"/>
    <w:rsid w:val="0B8D3582"/>
    <w:rsid w:val="0B9B252E"/>
    <w:rsid w:val="0BA86BCF"/>
    <w:rsid w:val="0BC504C7"/>
    <w:rsid w:val="0BC52D14"/>
    <w:rsid w:val="0BC6680E"/>
    <w:rsid w:val="0BCC1A50"/>
    <w:rsid w:val="0BD15A0C"/>
    <w:rsid w:val="0BD506F4"/>
    <w:rsid w:val="0BD654CD"/>
    <w:rsid w:val="0BE74C1A"/>
    <w:rsid w:val="0BEF058D"/>
    <w:rsid w:val="0BFB2986"/>
    <w:rsid w:val="0BFD70B9"/>
    <w:rsid w:val="0C010F49"/>
    <w:rsid w:val="0C0254AB"/>
    <w:rsid w:val="0C0517F8"/>
    <w:rsid w:val="0C0C7624"/>
    <w:rsid w:val="0C281F69"/>
    <w:rsid w:val="0C354CA2"/>
    <w:rsid w:val="0C3A499F"/>
    <w:rsid w:val="0C3C1277"/>
    <w:rsid w:val="0C3F652C"/>
    <w:rsid w:val="0C5B1651"/>
    <w:rsid w:val="0C6A2581"/>
    <w:rsid w:val="0C6C1A7E"/>
    <w:rsid w:val="0C7E1018"/>
    <w:rsid w:val="0C7F2301"/>
    <w:rsid w:val="0C7F6489"/>
    <w:rsid w:val="0C815E9E"/>
    <w:rsid w:val="0C981DBF"/>
    <w:rsid w:val="0C984295"/>
    <w:rsid w:val="0C9B54AE"/>
    <w:rsid w:val="0CAE3418"/>
    <w:rsid w:val="0CBB578A"/>
    <w:rsid w:val="0CD342C0"/>
    <w:rsid w:val="0CD636EC"/>
    <w:rsid w:val="0CD80E4F"/>
    <w:rsid w:val="0CE72916"/>
    <w:rsid w:val="0CF7154E"/>
    <w:rsid w:val="0D0F45AD"/>
    <w:rsid w:val="0D2248EA"/>
    <w:rsid w:val="0D374DF0"/>
    <w:rsid w:val="0D3A4CFC"/>
    <w:rsid w:val="0D3F0D33"/>
    <w:rsid w:val="0D401645"/>
    <w:rsid w:val="0D49074A"/>
    <w:rsid w:val="0D5C24F9"/>
    <w:rsid w:val="0D6475DE"/>
    <w:rsid w:val="0D6E42F3"/>
    <w:rsid w:val="0D6F127E"/>
    <w:rsid w:val="0D777DEE"/>
    <w:rsid w:val="0D78660A"/>
    <w:rsid w:val="0D7A67F4"/>
    <w:rsid w:val="0D7B7804"/>
    <w:rsid w:val="0D8205BD"/>
    <w:rsid w:val="0D8E2736"/>
    <w:rsid w:val="0D9C6CDB"/>
    <w:rsid w:val="0DAE7784"/>
    <w:rsid w:val="0DB86A13"/>
    <w:rsid w:val="0DBB21CB"/>
    <w:rsid w:val="0DBB3214"/>
    <w:rsid w:val="0DC71A36"/>
    <w:rsid w:val="0DCA24C6"/>
    <w:rsid w:val="0DCB220A"/>
    <w:rsid w:val="0DCF0056"/>
    <w:rsid w:val="0DE30F5D"/>
    <w:rsid w:val="0DEE0F90"/>
    <w:rsid w:val="0DF70178"/>
    <w:rsid w:val="0E014504"/>
    <w:rsid w:val="0E1171EA"/>
    <w:rsid w:val="0E176264"/>
    <w:rsid w:val="0E254158"/>
    <w:rsid w:val="0E4168D4"/>
    <w:rsid w:val="0E44065A"/>
    <w:rsid w:val="0E4532A6"/>
    <w:rsid w:val="0E486F1E"/>
    <w:rsid w:val="0E4A6C28"/>
    <w:rsid w:val="0E4D0134"/>
    <w:rsid w:val="0E50142D"/>
    <w:rsid w:val="0E535C1B"/>
    <w:rsid w:val="0E65495E"/>
    <w:rsid w:val="0E6F26FB"/>
    <w:rsid w:val="0E72396F"/>
    <w:rsid w:val="0E740ECE"/>
    <w:rsid w:val="0E7C070E"/>
    <w:rsid w:val="0E7D4BB9"/>
    <w:rsid w:val="0E836F21"/>
    <w:rsid w:val="0E85455D"/>
    <w:rsid w:val="0E913E6E"/>
    <w:rsid w:val="0E973A69"/>
    <w:rsid w:val="0E981D86"/>
    <w:rsid w:val="0E9822E8"/>
    <w:rsid w:val="0E997135"/>
    <w:rsid w:val="0E997FE5"/>
    <w:rsid w:val="0E9F5CF3"/>
    <w:rsid w:val="0EA65EF1"/>
    <w:rsid w:val="0EAB581F"/>
    <w:rsid w:val="0EB00912"/>
    <w:rsid w:val="0EB01965"/>
    <w:rsid w:val="0EB633D9"/>
    <w:rsid w:val="0EBC4089"/>
    <w:rsid w:val="0EC224D5"/>
    <w:rsid w:val="0EC40DCA"/>
    <w:rsid w:val="0EC55BF5"/>
    <w:rsid w:val="0ED25BA6"/>
    <w:rsid w:val="0ED472D6"/>
    <w:rsid w:val="0EDF4E7C"/>
    <w:rsid w:val="0EDF78EC"/>
    <w:rsid w:val="0EE44596"/>
    <w:rsid w:val="0EED1247"/>
    <w:rsid w:val="0EF04C39"/>
    <w:rsid w:val="0EF331DC"/>
    <w:rsid w:val="0EFF069D"/>
    <w:rsid w:val="0F1805E2"/>
    <w:rsid w:val="0F23590D"/>
    <w:rsid w:val="0F2C41CE"/>
    <w:rsid w:val="0F3B100B"/>
    <w:rsid w:val="0F413A6B"/>
    <w:rsid w:val="0F511440"/>
    <w:rsid w:val="0F533D34"/>
    <w:rsid w:val="0F53554E"/>
    <w:rsid w:val="0F597D2B"/>
    <w:rsid w:val="0F6B69E6"/>
    <w:rsid w:val="0F6D453B"/>
    <w:rsid w:val="0F700740"/>
    <w:rsid w:val="0F784778"/>
    <w:rsid w:val="0F810E9F"/>
    <w:rsid w:val="0F89215E"/>
    <w:rsid w:val="0F9C4063"/>
    <w:rsid w:val="0FAB1E67"/>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A27E6"/>
    <w:rsid w:val="100A2A84"/>
    <w:rsid w:val="1015521C"/>
    <w:rsid w:val="10190390"/>
    <w:rsid w:val="101B45FA"/>
    <w:rsid w:val="1024738C"/>
    <w:rsid w:val="103074A4"/>
    <w:rsid w:val="10353540"/>
    <w:rsid w:val="103E26EE"/>
    <w:rsid w:val="10421258"/>
    <w:rsid w:val="104E2DB8"/>
    <w:rsid w:val="105F615E"/>
    <w:rsid w:val="10616AEF"/>
    <w:rsid w:val="10697481"/>
    <w:rsid w:val="10761009"/>
    <w:rsid w:val="10784A30"/>
    <w:rsid w:val="107E1D28"/>
    <w:rsid w:val="109346BA"/>
    <w:rsid w:val="109C27AC"/>
    <w:rsid w:val="10A35CFB"/>
    <w:rsid w:val="10A926B4"/>
    <w:rsid w:val="10B56169"/>
    <w:rsid w:val="10B64C68"/>
    <w:rsid w:val="10D67C00"/>
    <w:rsid w:val="10DF46E6"/>
    <w:rsid w:val="10F16032"/>
    <w:rsid w:val="10F36698"/>
    <w:rsid w:val="10F555B9"/>
    <w:rsid w:val="110847AA"/>
    <w:rsid w:val="11093E8E"/>
    <w:rsid w:val="11094750"/>
    <w:rsid w:val="110B0C32"/>
    <w:rsid w:val="110E0640"/>
    <w:rsid w:val="110E22B2"/>
    <w:rsid w:val="11166585"/>
    <w:rsid w:val="11252757"/>
    <w:rsid w:val="11290C5D"/>
    <w:rsid w:val="11381078"/>
    <w:rsid w:val="113832BD"/>
    <w:rsid w:val="1138366C"/>
    <w:rsid w:val="11386B92"/>
    <w:rsid w:val="1142142D"/>
    <w:rsid w:val="115619BD"/>
    <w:rsid w:val="11657599"/>
    <w:rsid w:val="117B632A"/>
    <w:rsid w:val="1182367E"/>
    <w:rsid w:val="118F20F0"/>
    <w:rsid w:val="11AA141F"/>
    <w:rsid w:val="11AB3608"/>
    <w:rsid w:val="11B36E5C"/>
    <w:rsid w:val="11B63D10"/>
    <w:rsid w:val="11BD3153"/>
    <w:rsid w:val="11C03964"/>
    <w:rsid w:val="11C67F9C"/>
    <w:rsid w:val="11CA0EC8"/>
    <w:rsid w:val="11D06FB5"/>
    <w:rsid w:val="11D61453"/>
    <w:rsid w:val="11D861DF"/>
    <w:rsid w:val="11DF131B"/>
    <w:rsid w:val="11DF7916"/>
    <w:rsid w:val="11E85055"/>
    <w:rsid w:val="11EB0245"/>
    <w:rsid w:val="11EB03E8"/>
    <w:rsid w:val="11F35B9A"/>
    <w:rsid w:val="11FB32C0"/>
    <w:rsid w:val="11FC5539"/>
    <w:rsid w:val="12060AC1"/>
    <w:rsid w:val="121D69E7"/>
    <w:rsid w:val="121D6A8E"/>
    <w:rsid w:val="121E62E8"/>
    <w:rsid w:val="12247759"/>
    <w:rsid w:val="122A0EC2"/>
    <w:rsid w:val="122A14A8"/>
    <w:rsid w:val="122A6356"/>
    <w:rsid w:val="122F70E6"/>
    <w:rsid w:val="12353A38"/>
    <w:rsid w:val="12454595"/>
    <w:rsid w:val="124555A0"/>
    <w:rsid w:val="124F6BF8"/>
    <w:rsid w:val="12527B47"/>
    <w:rsid w:val="125604F3"/>
    <w:rsid w:val="125F5D8E"/>
    <w:rsid w:val="12727DA6"/>
    <w:rsid w:val="12731475"/>
    <w:rsid w:val="12831FD8"/>
    <w:rsid w:val="12845D1F"/>
    <w:rsid w:val="12921E76"/>
    <w:rsid w:val="12937E56"/>
    <w:rsid w:val="129505BC"/>
    <w:rsid w:val="129A23CF"/>
    <w:rsid w:val="129F7FD1"/>
    <w:rsid w:val="12A05C8E"/>
    <w:rsid w:val="12A637B6"/>
    <w:rsid w:val="12A721AB"/>
    <w:rsid w:val="12A9508B"/>
    <w:rsid w:val="12AA3981"/>
    <w:rsid w:val="12B84F0D"/>
    <w:rsid w:val="12C059DF"/>
    <w:rsid w:val="12D2740C"/>
    <w:rsid w:val="12E61FC8"/>
    <w:rsid w:val="12EF12CC"/>
    <w:rsid w:val="12F50B90"/>
    <w:rsid w:val="12FC3C3E"/>
    <w:rsid w:val="130100E0"/>
    <w:rsid w:val="13025D0D"/>
    <w:rsid w:val="13096F29"/>
    <w:rsid w:val="131C13A9"/>
    <w:rsid w:val="132847E3"/>
    <w:rsid w:val="133E5DF7"/>
    <w:rsid w:val="134C2116"/>
    <w:rsid w:val="13514005"/>
    <w:rsid w:val="13521337"/>
    <w:rsid w:val="13592639"/>
    <w:rsid w:val="135F6DFD"/>
    <w:rsid w:val="13676827"/>
    <w:rsid w:val="13767A5D"/>
    <w:rsid w:val="137B4C85"/>
    <w:rsid w:val="137F60C1"/>
    <w:rsid w:val="138D1F7C"/>
    <w:rsid w:val="13914897"/>
    <w:rsid w:val="13957A8B"/>
    <w:rsid w:val="1399374C"/>
    <w:rsid w:val="139C5EE1"/>
    <w:rsid w:val="139D681F"/>
    <w:rsid w:val="139F09FA"/>
    <w:rsid w:val="13A17846"/>
    <w:rsid w:val="13A609E7"/>
    <w:rsid w:val="13AD4474"/>
    <w:rsid w:val="13B1147D"/>
    <w:rsid w:val="13B4698A"/>
    <w:rsid w:val="13BD019D"/>
    <w:rsid w:val="13CE63E6"/>
    <w:rsid w:val="13DA680A"/>
    <w:rsid w:val="13E21CD1"/>
    <w:rsid w:val="13E342D2"/>
    <w:rsid w:val="13E346E1"/>
    <w:rsid w:val="13E57A43"/>
    <w:rsid w:val="13FC3E5D"/>
    <w:rsid w:val="14047949"/>
    <w:rsid w:val="140719E6"/>
    <w:rsid w:val="14093A6F"/>
    <w:rsid w:val="14266D5F"/>
    <w:rsid w:val="142733EA"/>
    <w:rsid w:val="145A1D34"/>
    <w:rsid w:val="146042B9"/>
    <w:rsid w:val="14604F96"/>
    <w:rsid w:val="14634C74"/>
    <w:rsid w:val="14656774"/>
    <w:rsid w:val="14762D0E"/>
    <w:rsid w:val="147809E1"/>
    <w:rsid w:val="149A22F6"/>
    <w:rsid w:val="149D1367"/>
    <w:rsid w:val="149E0BD6"/>
    <w:rsid w:val="149F0103"/>
    <w:rsid w:val="14A6546F"/>
    <w:rsid w:val="14B41CB6"/>
    <w:rsid w:val="14BB16C1"/>
    <w:rsid w:val="14BC76E5"/>
    <w:rsid w:val="14BF4344"/>
    <w:rsid w:val="14C352AB"/>
    <w:rsid w:val="14C43015"/>
    <w:rsid w:val="14C72E33"/>
    <w:rsid w:val="14CE3302"/>
    <w:rsid w:val="14D14737"/>
    <w:rsid w:val="14DB56EA"/>
    <w:rsid w:val="14DD64AD"/>
    <w:rsid w:val="14E1675A"/>
    <w:rsid w:val="14E243FA"/>
    <w:rsid w:val="15000605"/>
    <w:rsid w:val="15186E7A"/>
    <w:rsid w:val="151A266A"/>
    <w:rsid w:val="151A2CDD"/>
    <w:rsid w:val="151D5AB3"/>
    <w:rsid w:val="152B59BE"/>
    <w:rsid w:val="15366B31"/>
    <w:rsid w:val="153C0833"/>
    <w:rsid w:val="154A78EE"/>
    <w:rsid w:val="1555138F"/>
    <w:rsid w:val="155852D1"/>
    <w:rsid w:val="155C4C28"/>
    <w:rsid w:val="155D389D"/>
    <w:rsid w:val="156241AD"/>
    <w:rsid w:val="156E7678"/>
    <w:rsid w:val="157F5F3D"/>
    <w:rsid w:val="159A3460"/>
    <w:rsid w:val="15A518E9"/>
    <w:rsid w:val="15B266E7"/>
    <w:rsid w:val="15BD6D37"/>
    <w:rsid w:val="15C1546A"/>
    <w:rsid w:val="15CB1A43"/>
    <w:rsid w:val="15D2294C"/>
    <w:rsid w:val="15D95D02"/>
    <w:rsid w:val="15DE0CCC"/>
    <w:rsid w:val="15DE48AA"/>
    <w:rsid w:val="15E1693C"/>
    <w:rsid w:val="15F076A6"/>
    <w:rsid w:val="15F647D0"/>
    <w:rsid w:val="1600660E"/>
    <w:rsid w:val="161A12E7"/>
    <w:rsid w:val="161B6920"/>
    <w:rsid w:val="16223B81"/>
    <w:rsid w:val="16270BED"/>
    <w:rsid w:val="162E0482"/>
    <w:rsid w:val="16303C30"/>
    <w:rsid w:val="1645537C"/>
    <w:rsid w:val="165D0B20"/>
    <w:rsid w:val="165F29AD"/>
    <w:rsid w:val="16717134"/>
    <w:rsid w:val="16773DA9"/>
    <w:rsid w:val="16783169"/>
    <w:rsid w:val="167F185A"/>
    <w:rsid w:val="16833D6B"/>
    <w:rsid w:val="168827BB"/>
    <w:rsid w:val="16884A5B"/>
    <w:rsid w:val="168855BC"/>
    <w:rsid w:val="168E4861"/>
    <w:rsid w:val="16962C45"/>
    <w:rsid w:val="169D633A"/>
    <w:rsid w:val="16A50D85"/>
    <w:rsid w:val="16AF52BC"/>
    <w:rsid w:val="16C23278"/>
    <w:rsid w:val="16C3321D"/>
    <w:rsid w:val="16CA18BE"/>
    <w:rsid w:val="16D30710"/>
    <w:rsid w:val="16DE5DCD"/>
    <w:rsid w:val="16E3612D"/>
    <w:rsid w:val="16F57D88"/>
    <w:rsid w:val="1701270F"/>
    <w:rsid w:val="170830C2"/>
    <w:rsid w:val="17190EAD"/>
    <w:rsid w:val="17233957"/>
    <w:rsid w:val="17257E6A"/>
    <w:rsid w:val="172B0CA4"/>
    <w:rsid w:val="172B431A"/>
    <w:rsid w:val="172D25D1"/>
    <w:rsid w:val="173C4F5C"/>
    <w:rsid w:val="173C59CD"/>
    <w:rsid w:val="173C6D9B"/>
    <w:rsid w:val="17504B00"/>
    <w:rsid w:val="17533F7B"/>
    <w:rsid w:val="17544559"/>
    <w:rsid w:val="17555A33"/>
    <w:rsid w:val="175D7DCB"/>
    <w:rsid w:val="176E37C0"/>
    <w:rsid w:val="176F63F4"/>
    <w:rsid w:val="177D48F8"/>
    <w:rsid w:val="177D764E"/>
    <w:rsid w:val="17814641"/>
    <w:rsid w:val="178733D8"/>
    <w:rsid w:val="178A0374"/>
    <w:rsid w:val="17A252C5"/>
    <w:rsid w:val="17A34DC3"/>
    <w:rsid w:val="17AC2CDF"/>
    <w:rsid w:val="17AF353E"/>
    <w:rsid w:val="17BE5764"/>
    <w:rsid w:val="17C02955"/>
    <w:rsid w:val="17D0765E"/>
    <w:rsid w:val="17E1659F"/>
    <w:rsid w:val="17F75EA0"/>
    <w:rsid w:val="17F83137"/>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810459"/>
    <w:rsid w:val="18950F85"/>
    <w:rsid w:val="18972B56"/>
    <w:rsid w:val="189917C4"/>
    <w:rsid w:val="18A53A61"/>
    <w:rsid w:val="18A57935"/>
    <w:rsid w:val="18B12020"/>
    <w:rsid w:val="18B262F7"/>
    <w:rsid w:val="18C45EB5"/>
    <w:rsid w:val="18D636B0"/>
    <w:rsid w:val="18DA686A"/>
    <w:rsid w:val="18DE4004"/>
    <w:rsid w:val="18E263FE"/>
    <w:rsid w:val="18E26B60"/>
    <w:rsid w:val="18E36A88"/>
    <w:rsid w:val="18E43848"/>
    <w:rsid w:val="18EF6F6A"/>
    <w:rsid w:val="19101703"/>
    <w:rsid w:val="192155E5"/>
    <w:rsid w:val="192447C5"/>
    <w:rsid w:val="193819F6"/>
    <w:rsid w:val="19385F26"/>
    <w:rsid w:val="19424962"/>
    <w:rsid w:val="19443B37"/>
    <w:rsid w:val="19447ACE"/>
    <w:rsid w:val="19465F9E"/>
    <w:rsid w:val="19501C54"/>
    <w:rsid w:val="195A51EA"/>
    <w:rsid w:val="195E486D"/>
    <w:rsid w:val="1963665A"/>
    <w:rsid w:val="196426B1"/>
    <w:rsid w:val="196569EA"/>
    <w:rsid w:val="198A0B2E"/>
    <w:rsid w:val="198E36B4"/>
    <w:rsid w:val="19945392"/>
    <w:rsid w:val="19950B90"/>
    <w:rsid w:val="199969C7"/>
    <w:rsid w:val="19B22870"/>
    <w:rsid w:val="19C40F6B"/>
    <w:rsid w:val="19C66F6C"/>
    <w:rsid w:val="19D35C0A"/>
    <w:rsid w:val="19DC46BF"/>
    <w:rsid w:val="19DE2365"/>
    <w:rsid w:val="19E06EFC"/>
    <w:rsid w:val="19E757C0"/>
    <w:rsid w:val="19EA439C"/>
    <w:rsid w:val="19F44C93"/>
    <w:rsid w:val="19F8661C"/>
    <w:rsid w:val="19FA5C8A"/>
    <w:rsid w:val="1A027EDB"/>
    <w:rsid w:val="1A107549"/>
    <w:rsid w:val="1A1663D4"/>
    <w:rsid w:val="1A263FDE"/>
    <w:rsid w:val="1A2A4786"/>
    <w:rsid w:val="1A2F2A5E"/>
    <w:rsid w:val="1A402A83"/>
    <w:rsid w:val="1A412A5F"/>
    <w:rsid w:val="1A587316"/>
    <w:rsid w:val="1A671C93"/>
    <w:rsid w:val="1A6F695E"/>
    <w:rsid w:val="1A78055F"/>
    <w:rsid w:val="1A7973D1"/>
    <w:rsid w:val="1A7C5B0B"/>
    <w:rsid w:val="1A95602B"/>
    <w:rsid w:val="1A992AA9"/>
    <w:rsid w:val="1A9B372A"/>
    <w:rsid w:val="1AA55B7F"/>
    <w:rsid w:val="1AAE178F"/>
    <w:rsid w:val="1AB25285"/>
    <w:rsid w:val="1ABC42F1"/>
    <w:rsid w:val="1ABD5800"/>
    <w:rsid w:val="1AF81775"/>
    <w:rsid w:val="1AFD16E0"/>
    <w:rsid w:val="1AFE56C7"/>
    <w:rsid w:val="1B094D8C"/>
    <w:rsid w:val="1B0B04EE"/>
    <w:rsid w:val="1B3237B5"/>
    <w:rsid w:val="1B32716B"/>
    <w:rsid w:val="1B4972A7"/>
    <w:rsid w:val="1B511989"/>
    <w:rsid w:val="1B5418FE"/>
    <w:rsid w:val="1B6805D3"/>
    <w:rsid w:val="1B7B0307"/>
    <w:rsid w:val="1B8841DE"/>
    <w:rsid w:val="1B98518A"/>
    <w:rsid w:val="1BA15FE4"/>
    <w:rsid w:val="1BA42378"/>
    <w:rsid w:val="1BA61A06"/>
    <w:rsid w:val="1BA957E2"/>
    <w:rsid w:val="1BAB226E"/>
    <w:rsid w:val="1BB1659A"/>
    <w:rsid w:val="1BB64B12"/>
    <w:rsid w:val="1BDF0CB3"/>
    <w:rsid w:val="1BE60593"/>
    <w:rsid w:val="1BE72147"/>
    <w:rsid w:val="1BE81287"/>
    <w:rsid w:val="1BF3115B"/>
    <w:rsid w:val="1BF76A7A"/>
    <w:rsid w:val="1BF93BFC"/>
    <w:rsid w:val="1C0D362D"/>
    <w:rsid w:val="1C121A3A"/>
    <w:rsid w:val="1C167667"/>
    <w:rsid w:val="1C1A313F"/>
    <w:rsid w:val="1C266E97"/>
    <w:rsid w:val="1C2B2DDB"/>
    <w:rsid w:val="1C300581"/>
    <w:rsid w:val="1C321D73"/>
    <w:rsid w:val="1C3B3467"/>
    <w:rsid w:val="1C413C84"/>
    <w:rsid w:val="1C4224CA"/>
    <w:rsid w:val="1C43089F"/>
    <w:rsid w:val="1C486B9A"/>
    <w:rsid w:val="1C4A36C8"/>
    <w:rsid w:val="1C570DDB"/>
    <w:rsid w:val="1C6A6813"/>
    <w:rsid w:val="1C7D572F"/>
    <w:rsid w:val="1C8E42F9"/>
    <w:rsid w:val="1CA31D49"/>
    <w:rsid w:val="1CA70991"/>
    <w:rsid w:val="1CAE3FF4"/>
    <w:rsid w:val="1CB00001"/>
    <w:rsid w:val="1CBD4F58"/>
    <w:rsid w:val="1CCE4D04"/>
    <w:rsid w:val="1CD65C5D"/>
    <w:rsid w:val="1CDA105D"/>
    <w:rsid w:val="1CE10CB1"/>
    <w:rsid w:val="1CE17219"/>
    <w:rsid w:val="1CE654FE"/>
    <w:rsid w:val="1CE90CEC"/>
    <w:rsid w:val="1CF7183B"/>
    <w:rsid w:val="1CFC7CE7"/>
    <w:rsid w:val="1D0A638B"/>
    <w:rsid w:val="1D0F2537"/>
    <w:rsid w:val="1D1E1666"/>
    <w:rsid w:val="1D2364DF"/>
    <w:rsid w:val="1D260219"/>
    <w:rsid w:val="1D4A1CE0"/>
    <w:rsid w:val="1D4F1B96"/>
    <w:rsid w:val="1D55052B"/>
    <w:rsid w:val="1D64043C"/>
    <w:rsid w:val="1D6B214C"/>
    <w:rsid w:val="1D6D0733"/>
    <w:rsid w:val="1D715BBC"/>
    <w:rsid w:val="1D7B10C7"/>
    <w:rsid w:val="1D812265"/>
    <w:rsid w:val="1D8704DB"/>
    <w:rsid w:val="1D8D1FD3"/>
    <w:rsid w:val="1D941AC7"/>
    <w:rsid w:val="1D987CBA"/>
    <w:rsid w:val="1D9C098F"/>
    <w:rsid w:val="1D9C5FC4"/>
    <w:rsid w:val="1DA100CA"/>
    <w:rsid w:val="1DAA1F7E"/>
    <w:rsid w:val="1DBB675A"/>
    <w:rsid w:val="1DBD2F9A"/>
    <w:rsid w:val="1DC0455E"/>
    <w:rsid w:val="1DC22763"/>
    <w:rsid w:val="1DCE3FFE"/>
    <w:rsid w:val="1DD832F6"/>
    <w:rsid w:val="1DD83933"/>
    <w:rsid w:val="1DDB45A9"/>
    <w:rsid w:val="1DE70C5B"/>
    <w:rsid w:val="1DE73511"/>
    <w:rsid w:val="1DF94C86"/>
    <w:rsid w:val="1E0B50F4"/>
    <w:rsid w:val="1E102152"/>
    <w:rsid w:val="1E283E02"/>
    <w:rsid w:val="1E460348"/>
    <w:rsid w:val="1E4A29F5"/>
    <w:rsid w:val="1E5135A1"/>
    <w:rsid w:val="1E516D5B"/>
    <w:rsid w:val="1E52442C"/>
    <w:rsid w:val="1E644095"/>
    <w:rsid w:val="1E7A27EB"/>
    <w:rsid w:val="1E7E3792"/>
    <w:rsid w:val="1E834016"/>
    <w:rsid w:val="1E851A73"/>
    <w:rsid w:val="1E886A65"/>
    <w:rsid w:val="1EA255E0"/>
    <w:rsid w:val="1EA87ECC"/>
    <w:rsid w:val="1EA94235"/>
    <w:rsid w:val="1EAF3C67"/>
    <w:rsid w:val="1EBB1A4A"/>
    <w:rsid w:val="1EC61CE4"/>
    <w:rsid w:val="1EC633BA"/>
    <w:rsid w:val="1EE259DB"/>
    <w:rsid w:val="1EE4183B"/>
    <w:rsid w:val="1EE75A1B"/>
    <w:rsid w:val="1EF20D52"/>
    <w:rsid w:val="1F112940"/>
    <w:rsid w:val="1F200118"/>
    <w:rsid w:val="1F275E44"/>
    <w:rsid w:val="1F2968FE"/>
    <w:rsid w:val="1F346147"/>
    <w:rsid w:val="1F3A5D79"/>
    <w:rsid w:val="1F473ECD"/>
    <w:rsid w:val="1F61582F"/>
    <w:rsid w:val="1F6571E7"/>
    <w:rsid w:val="1F6F453F"/>
    <w:rsid w:val="1F7B1D02"/>
    <w:rsid w:val="1F7C2C50"/>
    <w:rsid w:val="1F8C6473"/>
    <w:rsid w:val="1F972CE6"/>
    <w:rsid w:val="1F994EA3"/>
    <w:rsid w:val="1F9C32DD"/>
    <w:rsid w:val="1FBD6756"/>
    <w:rsid w:val="1FC3430B"/>
    <w:rsid w:val="1FC63586"/>
    <w:rsid w:val="1FC63B1B"/>
    <w:rsid w:val="1FE864AB"/>
    <w:rsid w:val="1FF354D1"/>
    <w:rsid w:val="1FFA7348"/>
    <w:rsid w:val="1FFC2901"/>
    <w:rsid w:val="1FFF2EF5"/>
    <w:rsid w:val="200529AD"/>
    <w:rsid w:val="20062098"/>
    <w:rsid w:val="200B5B4F"/>
    <w:rsid w:val="2018599A"/>
    <w:rsid w:val="2020147D"/>
    <w:rsid w:val="202D110C"/>
    <w:rsid w:val="20325711"/>
    <w:rsid w:val="2033143A"/>
    <w:rsid w:val="203634F7"/>
    <w:rsid w:val="20471356"/>
    <w:rsid w:val="20594D80"/>
    <w:rsid w:val="205E4D68"/>
    <w:rsid w:val="206435D7"/>
    <w:rsid w:val="206D35F1"/>
    <w:rsid w:val="206D466F"/>
    <w:rsid w:val="206E723A"/>
    <w:rsid w:val="20702A7E"/>
    <w:rsid w:val="2071563A"/>
    <w:rsid w:val="20787351"/>
    <w:rsid w:val="2079128E"/>
    <w:rsid w:val="208A5CA8"/>
    <w:rsid w:val="208D4A74"/>
    <w:rsid w:val="209D78C6"/>
    <w:rsid w:val="20A72B6F"/>
    <w:rsid w:val="20AA0ECB"/>
    <w:rsid w:val="20B36581"/>
    <w:rsid w:val="20B60893"/>
    <w:rsid w:val="20B66441"/>
    <w:rsid w:val="20B77B53"/>
    <w:rsid w:val="20BA2C6B"/>
    <w:rsid w:val="20BA463F"/>
    <w:rsid w:val="20BB2F53"/>
    <w:rsid w:val="20BD1651"/>
    <w:rsid w:val="20BD1763"/>
    <w:rsid w:val="20BF6BA7"/>
    <w:rsid w:val="20C20828"/>
    <w:rsid w:val="20C330DB"/>
    <w:rsid w:val="20CC7A11"/>
    <w:rsid w:val="20D76576"/>
    <w:rsid w:val="20DC73A0"/>
    <w:rsid w:val="20E223C4"/>
    <w:rsid w:val="20E536B6"/>
    <w:rsid w:val="20EF7AA3"/>
    <w:rsid w:val="20FA2DBA"/>
    <w:rsid w:val="21040F03"/>
    <w:rsid w:val="210752C6"/>
    <w:rsid w:val="210A1FC8"/>
    <w:rsid w:val="21111320"/>
    <w:rsid w:val="21132B7C"/>
    <w:rsid w:val="21150C97"/>
    <w:rsid w:val="212719AD"/>
    <w:rsid w:val="214701FF"/>
    <w:rsid w:val="214A321C"/>
    <w:rsid w:val="214F69C3"/>
    <w:rsid w:val="21597BE7"/>
    <w:rsid w:val="21606118"/>
    <w:rsid w:val="21760F63"/>
    <w:rsid w:val="21832276"/>
    <w:rsid w:val="2188584E"/>
    <w:rsid w:val="21943617"/>
    <w:rsid w:val="219D5CF4"/>
    <w:rsid w:val="21D708FC"/>
    <w:rsid w:val="21DF0EC4"/>
    <w:rsid w:val="21E64786"/>
    <w:rsid w:val="21EC5D9B"/>
    <w:rsid w:val="21EC6AEC"/>
    <w:rsid w:val="21EE7310"/>
    <w:rsid w:val="21F962CD"/>
    <w:rsid w:val="22040412"/>
    <w:rsid w:val="22135B75"/>
    <w:rsid w:val="22226E2D"/>
    <w:rsid w:val="22250FCC"/>
    <w:rsid w:val="222C2F4E"/>
    <w:rsid w:val="222F68A5"/>
    <w:rsid w:val="223A1B30"/>
    <w:rsid w:val="223B0106"/>
    <w:rsid w:val="22460F9B"/>
    <w:rsid w:val="225215FB"/>
    <w:rsid w:val="225E44DE"/>
    <w:rsid w:val="22682ABA"/>
    <w:rsid w:val="226D1E72"/>
    <w:rsid w:val="227475A2"/>
    <w:rsid w:val="227576FF"/>
    <w:rsid w:val="228618EC"/>
    <w:rsid w:val="228864DE"/>
    <w:rsid w:val="22AB2187"/>
    <w:rsid w:val="22AE5BAD"/>
    <w:rsid w:val="22AF4D88"/>
    <w:rsid w:val="22CD7AC4"/>
    <w:rsid w:val="22E14913"/>
    <w:rsid w:val="22EE7610"/>
    <w:rsid w:val="22F61DC1"/>
    <w:rsid w:val="22F914EA"/>
    <w:rsid w:val="22FA40FC"/>
    <w:rsid w:val="23067F40"/>
    <w:rsid w:val="231430D2"/>
    <w:rsid w:val="231A4909"/>
    <w:rsid w:val="231D7CF3"/>
    <w:rsid w:val="231E592E"/>
    <w:rsid w:val="231E7BD2"/>
    <w:rsid w:val="2327191F"/>
    <w:rsid w:val="23273E23"/>
    <w:rsid w:val="232E371D"/>
    <w:rsid w:val="23384115"/>
    <w:rsid w:val="2347179E"/>
    <w:rsid w:val="23540162"/>
    <w:rsid w:val="235422BB"/>
    <w:rsid w:val="23603B5C"/>
    <w:rsid w:val="236B5AB5"/>
    <w:rsid w:val="236D6242"/>
    <w:rsid w:val="23704D42"/>
    <w:rsid w:val="23795955"/>
    <w:rsid w:val="237E1306"/>
    <w:rsid w:val="237F1759"/>
    <w:rsid w:val="23803936"/>
    <w:rsid w:val="238169E6"/>
    <w:rsid w:val="238925F8"/>
    <w:rsid w:val="23A00778"/>
    <w:rsid w:val="23A55874"/>
    <w:rsid w:val="23B86C1E"/>
    <w:rsid w:val="23C7201E"/>
    <w:rsid w:val="23CE2493"/>
    <w:rsid w:val="23E372C7"/>
    <w:rsid w:val="23F37570"/>
    <w:rsid w:val="23FF389D"/>
    <w:rsid w:val="24051444"/>
    <w:rsid w:val="24084291"/>
    <w:rsid w:val="240932EA"/>
    <w:rsid w:val="24106390"/>
    <w:rsid w:val="24136872"/>
    <w:rsid w:val="24164AB9"/>
    <w:rsid w:val="2422188D"/>
    <w:rsid w:val="24250EB0"/>
    <w:rsid w:val="242669EB"/>
    <w:rsid w:val="24275BFF"/>
    <w:rsid w:val="242F3163"/>
    <w:rsid w:val="243144DD"/>
    <w:rsid w:val="24385779"/>
    <w:rsid w:val="2439048D"/>
    <w:rsid w:val="24390703"/>
    <w:rsid w:val="243C7260"/>
    <w:rsid w:val="243D1B12"/>
    <w:rsid w:val="244467AE"/>
    <w:rsid w:val="244B06CE"/>
    <w:rsid w:val="24595C73"/>
    <w:rsid w:val="245E0670"/>
    <w:rsid w:val="2462713B"/>
    <w:rsid w:val="24634BD4"/>
    <w:rsid w:val="246D4098"/>
    <w:rsid w:val="246F4775"/>
    <w:rsid w:val="247165EE"/>
    <w:rsid w:val="24722BBA"/>
    <w:rsid w:val="247709AC"/>
    <w:rsid w:val="247923A6"/>
    <w:rsid w:val="247D495B"/>
    <w:rsid w:val="2482408A"/>
    <w:rsid w:val="24915DE6"/>
    <w:rsid w:val="24952391"/>
    <w:rsid w:val="24967284"/>
    <w:rsid w:val="249F3EE3"/>
    <w:rsid w:val="24A0662D"/>
    <w:rsid w:val="24A221EB"/>
    <w:rsid w:val="24A252AF"/>
    <w:rsid w:val="24B4024C"/>
    <w:rsid w:val="24B84316"/>
    <w:rsid w:val="24C16969"/>
    <w:rsid w:val="24C84772"/>
    <w:rsid w:val="24C94374"/>
    <w:rsid w:val="24D460A8"/>
    <w:rsid w:val="24D52451"/>
    <w:rsid w:val="24D80201"/>
    <w:rsid w:val="24D8566C"/>
    <w:rsid w:val="24EC3B78"/>
    <w:rsid w:val="24F133E8"/>
    <w:rsid w:val="24F471BD"/>
    <w:rsid w:val="24FC01F0"/>
    <w:rsid w:val="2500512F"/>
    <w:rsid w:val="25075C22"/>
    <w:rsid w:val="2513335E"/>
    <w:rsid w:val="251958FB"/>
    <w:rsid w:val="2524326C"/>
    <w:rsid w:val="25395CD6"/>
    <w:rsid w:val="253B090B"/>
    <w:rsid w:val="25434D4D"/>
    <w:rsid w:val="25467A6A"/>
    <w:rsid w:val="254D6D91"/>
    <w:rsid w:val="25575A0D"/>
    <w:rsid w:val="256A5217"/>
    <w:rsid w:val="257A56A1"/>
    <w:rsid w:val="257B0359"/>
    <w:rsid w:val="2581650E"/>
    <w:rsid w:val="259C3E27"/>
    <w:rsid w:val="259D3570"/>
    <w:rsid w:val="25A434FE"/>
    <w:rsid w:val="25A612D4"/>
    <w:rsid w:val="25A76945"/>
    <w:rsid w:val="25AB1780"/>
    <w:rsid w:val="25AE2A70"/>
    <w:rsid w:val="25B071DC"/>
    <w:rsid w:val="25B21673"/>
    <w:rsid w:val="25B34B3F"/>
    <w:rsid w:val="25B97A00"/>
    <w:rsid w:val="25BB0565"/>
    <w:rsid w:val="25BC078D"/>
    <w:rsid w:val="25CE3F53"/>
    <w:rsid w:val="25EB3977"/>
    <w:rsid w:val="25F76A2E"/>
    <w:rsid w:val="25FF490E"/>
    <w:rsid w:val="26045BA5"/>
    <w:rsid w:val="2608147E"/>
    <w:rsid w:val="2616589F"/>
    <w:rsid w:val="261B1965"/>
    <w:rsid w:val="261D5681"/>
    <w:rsid w:val="261E1EAF"/>
    <w:rsid w:val="2622515D"/>
    <w:rsid w:val="263006FF"/>
    <w:rsid w:val="2632779F"/>
    <w:rsid w:val="26343C0E"/>
    <w:rsid w:val="263F46CF"/>
    <w:rsid w:val="2648160D"/>
    <w:rsid w:val="264D54A2"/>
    <w:rsid w:val="26546311"/>
    <w:rsid w:val="265970D6"/>
    <w:rsid w:val="266A7F06"/>
    <w:rsid w:val="2672473F"/>
    <w:rsid w:val="267628A6"/>
    <w:rsid w:val="267642F1"/>
    <w:rsid w:val="267E0CF9"/>
    <w:rsid w:val="26930A96"/>
    <w:rsid w:val="26994EDC"/>
    <w:rsid w:val="26A154E9"/>
    <w:rsid w:val="26A250CF"/>
    <w:rsid w:val="26B600FB"/>
    <w:rsid w:val="26BC749F"/>
    <w:rsid w:val="26C65259"/>
    <w:rsid w:val="26D65B56"/>
    <w:rsid w:val="26DC3482"/>
    <w:rsid w:val="26E65B25"/>
    <w:rsid w:val="26E84D2B"/>
    <w:rsid w:val="26EC063F"/>
    <w:rsid w:val="27050675"/>
    <w:rsid w:val="2708144A"/>
    <w:rsid w:val="271040C1"/>
    <w:rsid w:val="27110DDA"/>
    <w:rsid w:val="27127E66"/>
    <w:rsid w:val="27195161"/>
    <w:rsid w:val="271C2021"/>
    <w:rsid w:val="27385D11"/>
    <w:rsid w:val="274E7CB5"/>
    <w:rsid w:val="274F1F02"/>
    <w:rsid w:val="274F4827"/>
    <w:rsid w:val="27512E91"/>
    <w:rsid w:val="27630444"/>
    <w:rsid w:val="276F21FD"/>
    <w:rsid w:val="27727E31"/>
    <w:rsid w:val="27762FBF"/>
    <w:rsid w:val="277A0090"/>
    <w:rsid w:val="278A5388"/>
    <w:rsid w:val="278C5C0D"/>
    <w:rsid w:val="279244D2"/>
    <w:rsid w:val="279B2893"/>
    <w:rsid w:val="279B7BA8"/>
    <w:rsid w:val="27A30394"/>
    <w:rsid w:val="27A54E69"/>
    <w:rsid w:val="27A650A2"/>
    <w:rsid w:val="27AB6A48"/>
    <w:rsid w:val="27D36066"/>
    <w:rsid w:val="27D605AC"/>
    <w:rsid w:val="27D82D80"/>
    <w:rsid w:val="27D90366"/>
    <w:rsid w:val="27EA246C"/>
    <w:rsid w:val="27EC51D1"/>
    <w:rsid w:val="27F2052B"/>
    <w:rsid w:val="2800211B"/>
    <w:rsid w:val="280276BA"/>
    <w:rsid w:val="280D010C"/>
    <w:rsid w:val="28353194"/>
    <w:rsid w:val="283748DE"/>
    <w:rsid w:val="2842661D"/>
    <w:rsid w:val="28461DD4"/>
    <w:rsid w:val="284A39DF"/>
    <w:rsid w:val="28592B32"/>
    <w:rsid w:val="285D0806"/>
    <w:rsid w:val="28640251"/>
    <w:rsid w:val="286F7AFC"/>
    <w:rsid w:val="28767569"/>
    <w:rsid w:val="287C5A7F"/>
    <w:rsid w:val="28940FA3"/>
    <w:rsid w:val="28994FB0"/>
    <w:rsid w:val="289F1006"/>
    <w:rsid w:val="28B84925"/>
    <w:rsid w:val="28BC3ACC"/>
    <w:rsid w:val="28C25180"/>
    <w:rsid w:val="28CD3212"/>
    <w:rsid w:val="28D215E5"/>
    <w:rsid w:val="28D8743F"/>
    <w:rsid w:val="28FA031C"/>
    <w:rsid w:val="28FB5098"/>
    <w:rsid w:val="28FC354A"/>
    <w:rsid w:val="290D6A87"/>
    <w:rsid w:val="290D6A89"/>
    <w:rsid w:val="291259B4"/>
    <w:rsid w:val="29171209"/>
    <w:rsid w:val="291A7232"/>
    <w:rsid w:val="29206950"/>
    <w:rsid w:val="2923219A"/>
    <w:rsid w:val="29271D87"/>
    <w:rsid w:val="292C2CE7"/>
    <w:rsid w:val="2943618E"/>
    <w:rsid w:val="29442273"/>
    <w:rsid w:val="294A57BC"/>
    <w:rsid w:val="294D0EDE"/>
    <w:rsid w:val="29524C95"/>
    <w:rsid w:val="29542371"/>
    <w:rsid w:val="295B4611"/>
    <w:rsid w:val="2966697A"/>
    <w:rsid w:val="297010F4"/>
    <w:rsid w:val="29741B2A"/>
    <w:rsid w:val="2975147B"/>
    <w:rsid w:val="297A02CA"/>
    <w:rsid w:val="297C42B2"/>
    <w:rsid w:val="2988011B"/>
    <w:rsid w:val="298A7624"/>
    <w:rsid w:val="29976295"/>
    <w:rsid w:val="29A1563D"/>
    <w:rsid w:val="29A65BB9"/>
    <w:rsid w:val="29AF672C"/>
    <w:rsid w:val="29B24A91"/>
    <w:rsid w:val="29C0237F"/>
    <w:rsid w:val="29C2645F"/>
    <w:rsid w:val="29C56187"/>
    <w:rsid w:val="29F11D4E"/>
    <w:rsid w:val="29F93DD5"/>
    <w:rsid w:val="2A0030F5"/>
    <w:rsid w:val="2A007F4D"/>
    <w:rsid w:val="2A014651"/>
    <w:rsid w:val="2A0506A0"/>
    <w:rsid w:val="2A0531B5"/>
    <w:rsid w:val="2A0565D5"/>
    <w:rsid w:val="2A065CAC"/>
    <w:rsid w:val="2A075FF1"/>
    <w:rsid w:val="2A0A0D9A"/>
    <w:rsid w:val="2A0E7FF9"/>
    <w:rsid w:val="2A0F0545"/>
    <w:rsid w:val="2A122F64"/>
    <w:rsid w:val="2A25266A"/>
    <w:rsid w:val="2A2811FA"/>
    <w:rsid w:val="2A2C2886"/>
    <w:rsid w:val="2A2D6E09"/>
    <w:rsid w:val="2A344036"/>
    <w:rsid w:val="2A3C5105"/>
    <w:rsid w:val="2A4552C3"/>
    <w:rsid w:val="2A5305C7"/>
    <w:rsid w:val="2A6837BA"/>
    <w:rsid w:val="2A727492"/>
    <w:rsid w:val="2A756A71"/>
    <w:rsid w:val="2A7E0F37"/>
    <w:rsid w:val="2A8559E6"/>
    <w:rsid w:val="2A8F6F3F"/>
    <w:rsid w:val="2A901C2B"/>
    <w:rsid w:val="2A9C1B90"/>
    <w:rsid w:val="2A9F3C29"/>
    <w:rsid w:val="2AAE6795"/>
    <w:rsid w:val="2AB32CF4"/>
    <w:rsid w:val="2AB91FEA"/>
    <w:rsid w:val="2AD05C33"/>
    <w:rsid w:val="2AD267CC"/>
    <w:rsid w:val="2AE2161C"/>
    <w:rsid w:val="2AE9447E"/>
    <w:rsid w:val="2AFC2AE6"/>
    <w:rsid w:val="2B14781C"/>
    <w:rsid w:val="2B164C68"/>
    <w:rsid w:val="2B1D0329"/>
    <w:rsid w:val="2B1D7991"/>
    <w:rsid w:val="2B365002"/>
    <w:rsid w:val="2B3B6E94"/>
    <w:rsid w:val="2B435E63"/>
    <w:rsid w:val="2B4469C1"/>
    <w:rsid w:val="2B4F5B82"/>
    <w:rsid w:val="2B515A4F"/>
    <w:rsid w:val="2B570107"/>
    <w:rsid w:val="2B621BF5"/>
    <w:rsid w:val="2B630075"/>
    <w:rsid w:val="2B685155"/>
    <w:rsid w:val="2B692B5C"/>
    <w:rsid w:val="2B8F51B1"/>
    <w:rsid w:val="2B9D67E1"/>
    <w:rsid w:val="2B9F51DE"/>
    <w:rsid w:val="2BA27ADE"/>
    <w:rsid w:val="2BA33D69"/>
    <w:rsid w:val="2BA7398D"/>
    <w:rsid w:val="2BAC4459"/>
    <w:rsid w:val="2BB2781C"/>
    <w:rsid w:val="2BB37DD8"/>
    <w:rsid w:val="2BBD6854"/>
    <w:rsid w:val="2BBF3CF6"/>
    <w:rsid w:val="2BC8348A"/>
    <w:rsid w:val="2BCD3D8D"/>
    <w:rsid w:val="2BD25B64"/>
    <w:rsid w:val="2BD66D4A"/>
    <w:rsid w:val="2BDD6532"/>
    <w:rsid w:val="2BDE16A6"/>
    <w:rsid w:val="2BF634B3"/>
    <w:rsid w:val="2BF65315"/>
    <w:rsid w:val="2BFE0842"/>
    <w:rsid w:val="2C0563DF"/>
    <w:rsid w:val="2C0D771E"/>
    <w:rsid w:val="2C197811"/>
    <w:rsid w:val="2C1C20B2"/>
    <w:rsid w:val="2C1C393A"/>
    <w:rsid w:val="2C225E33"/>
    <w:rsid w:val="2C2C398B"/>
    <w:rsid w:val="2C2E43F5"/>
    <w:rsid w:val="2C2E5B5A"/>
    <w:rsid w:val="2C3063A5"/>
    <w:rsid w:val="2C422201"/>
    <w:rsid w:val="2C457A6B"/>
    <w:rsid w:val="2C4626FE"/>
    <w:rsid w:val="2C543547"/>
    <w:rsid w:val="2C6000BC"/>
    <w:rsid w:val="2C633505"/>
    <w:rsid w:val="2C764BB0"/>
    <w:rsid w:val="2C7C732D"/>
    <w:rsid w:val="2C8E045B"/>
    <w:rsid w:val="2C9D2F6E"/>
    <w:rsid w:val="2CA028D8"/>
    <w:rsid w:val="2CA1592F"/>
    <w:rsid w:val="2CA22633"/>
    <w:rsid w:val="2CA4032A"/>
    <w:rsid w:val="2CAB5C3E"/>
    <w:rsid w:val="2CB2077D"/>
    <w:rsid w:val="2CB973C4"/>
    <w:rsid w:val="2CBE3E5B"/>
    <w:rsid w:val="2CBE5AD8"/>
    <w:rsid w:val="2CC327BE"/>
    <w:rsid w:val="2CCB06D5"/>
    <w:rsid w:val="2CD72DF0"/>
    <w:rsid w:val="2CE05000"/>
    <w:rsid w:val="2CFE206D"/>
    <w:rsid w:val="2D08702F"/>
    <w:rsid w:val="2D093793"/>
    <w:rsid w:val="2D1233EE"/>
    <w:rsid w:val="2D3B1A61"/>
    <w:rsid w:val="2D4979AE"/>
    <w:rsid w:val="2D622606"/>
    <w:rsid w:val="2D733457"/>
    <w:rsid w:val="2D88553C"/>
    <w:rsid w:val="2D8957F2"/>
    <w:rsid w:val="2D8E39EF"/>
    <w:rsid w:val="2D917DB2"/>
    <w:rsid w:val="2DAD145A"/>
    <w:rsid w:val="2DB1787A"/>
    <w:rsid w:val="2DB753F1"/>
    <w:rsid w:val="2DC3563E"/>
    <w:rsid w:val="2DC8275F"/>
    <w:rsid w:val="2DCA67CB"/>
    <w:rsid w:val="2DDC38A4"/>
    <w:rsid w:val="2DDD39D0"/>
    <w:rsid w:val="2DDD402A"/>
    <w:rsid w:val="2DE8380B"/>
    <w:rsid w:val="2DFD7F99"/>
    <w:rsid w:val="2DFE338A"/>
    <w:rsid w:val="2E111C41"/>
    <w:rsid w:val="2E115812"/>
    <w:rsid w:val="2E1E7826"/>
    <w:rsid w:val="2E2B45F6"/>
    <w:rsid w:val="2E317F3A"/>
    <w:rsid w:val="2E324646"/>
    <w:rsid w:val="2E357B89"/>
    <w:rsid w:val="2E3C6A58"/>
    <w:rsid w:val="2E491A04"/>
    <w:rsid w:val="2E4A062B"/>
    <w:rsid w:val="2E4C2DB0"/>
    <w:rsid w:val="2E503A6F"/>
    <w:rsid w:val="2E642E7C"/>
    <w:rsid w:val="2E65509F"/>
    <w:rsid w:val="2E6B4307"/>
    <w:rsid w:val="2E7569C8"/>
    <w:rsid w:val="2E757257"/>
    <w:rsid w:val="2E887E60"/>
    <w:rsid w:val="2E8A51D9"/>
    <w:rsid w:val="2E951740"/>
    <w:rsid w:val="2E9F5560"/>
    <w:rsid w:val="2EA32FC7"/>
    <w:rsid w:val="2EC34F02"/>
    <w:rsid w:val="2EE3269E"/>
    <w:rsid w:val="2EE50876"/>
    <w:rsid w:val="2EEB2D22"/>
    <w:rsid w:val="2EEB508A"/>
    <w:rsid w:val="2EEF7A6B"/>
    <w:rsid w:val="2EF35C02"/>
    <w:rsid w:val="2EF37A30"/>
    <w:rsid w:val="2EFC54CF"/>
    <w:rsid w:val="2F0C22DF"/>
    <w:rsid w:val="2F0C6CC1"/>
    <w:rsid w:val="2F0F6299"/>
    <w:rsid w:val="2F1F5E73"/>
    <w:rsid w:val="2F297A0F"/>
    <w:rsid w:val="2F2D4335"/>
    <w:rsid w:val="2F2F3457"/>
    <w:rsid w:val="2F326AD7"/>
    <w:rsid w:val="2F351401"/>
    <w:rsid w:val="2F36517B"/>
    <w:rsid w:val="2F374462"/>
    <w:rsid w:val="2F3A0746"/>
    <w:rsid w:val="2F4157CA"/>
    <w:rsid w:val="2F4F49C8"/>
    <w:rsid w:val="2F5E236A"/>
    <w:rsid w:val="2F7C80BB"/>
    <w:rsid w:val="2F7D2448"/>
    <w:rsid w:val="2F7D6077"/>
    <w:rsid w:val="2F890F26"/>
    <w:rsid w:val="2F892A83"/>
    <w:rsid w:val="2F914A98"/>
    <w:rsid w:val="2FAC3343"/>
    <w:rsid w:val="2FAE0498"/>
    <w:rsid w:val="2FB7592E"/>
    <w:rsid w:val="2FBB3CC4"/>
    <w:rsid w:val="2FBD7037"/>
    <w:rsid w:val="2FBF1818"/>
    <w:rsid w:val="2FBF5DAF"/>
    <w:rsid w:val="2FC76584"/>
    <w:rsid w:val="2FC76C2F"/>
    <w:rsid w:val="2FD067F9"/>
    <w:rsid w:val="2FD43C00"/>
    <w:rsid w:val="2FD75F88"/>
    <w:rsid w:val="2FD927E4"/>
    <w:rsid w:val="2FDE7F5F"/>
    <w:rsid w:val="2FE30138"/>
    <w:rsid w:val="2FE93FB2"/>
    <w:rsid w:val="30067394"/>
    <w:rsid w:val="300866EE"/>
    <w:rsid w:val="30097368"/>
    <w:rsid w:val="300E2502"/>
    <w:rsid w:val="302225B6"/>
    <w:rsid w:val="30323279"/>
    <w:rsid w:val="30336BB7"/>
    <w:rsid w:val="303402FA"/>
    <w:rsid w:val="303438A9"/>
    <w:rsid w:val="304E5D9F"/>
    <w:rsid w:val="305020CD"/>
    <w:rsid w:val="30582162"/>
    <w:rsid w:val="305962BE"/>
    <w:rsid w:val="30621351"/>
    <w:rsid w:val="3066745B"/>
    <w:rsid w:val="306C0C44"/>
    <w:rsid w:val="3072406D"/>
    <w:rsid w:val="3079775E"/>
    <w:rsid w:val="307F501C"/>
    <w:rsid w:val="30831440"/>
    <w:rsid w:val="3093575F"/>
    <w:rsid w:val="30962BE9"/>
    <w:rsid w:val="30B10D3B"/>
    <w:rsid w:val="30B635A8"/>
    <w:rsid w:val="30B95467"/>
    <w:rsid w:val="30BF7B47"/>
    <w:rsid w:val="30C107BB"/>
    <w:rsid w:val="30D40121"/>
    <w:rsid w:val="30DB0A08"/>
    <w:rsid w:val="30EE5F15"/>
    <w:rsid w:val="30FA7003"/>
    <w:rsid w:val="30FE742F"/>
    <w:rsid w:val="31003D11"/>
    <w:rsid w:val="310400D0"/>
    <w:rsid w:val="31101A10"/>
    <w:rsid w:val="31105362"/>
    <w:rsid w:val="31167642"/>
    <w:rsid w:val="311A50A9"/>
    <w:rsid w:val="311C6E8A"/>
    <w:rsid w:val="31337DED"/>
    <w:rsid w:val="31406FE3"/>
    <w:rsid w:val="31586037"/>
    <w:rsid w:val="315E5060"/>
    <w:rsid w:val="31666481"/>
    <w:rsid w:val="317A520D"/>
    <w:rsid w:val="31863CE6"/>
    <w:rsid w:val="3191467E"/>
    <w:rsid w:val="31915E58"/>
    <w:rsid w:val="31993333"/>
    <w:rsid w:val="31A67FFB"/>
    <w:rsid w:val="31B00187"/>
    <w:rsid w:val="31B10FD7"/>
    <w:rsid w:val="31BC1074"/>
    <w:rsid w:val="31C07379"/>
    <w:rsid w:val="31CA37B5"/>
    <w:rsid w:val="31D74458"/>
    <w:rsid w:val="31D86C9C"/>
    <w:rsid w:val="31DD10CA"/>
    <w:rsid w:val="31DE4047"/>
    <w:rsid w:val="31E522E6"/>
    <w:rsid w:val="31E622F8"/>
    <w:rsid w:val="31E74B3F"/>
    <w:rsid w:val="31EB2FE1"/>
    <w:rsid w:val="31EB61D0"/>
    <w:rsid w:val="32044518"/>
    <w:rsid w:val="32045F7A"/>
    <w:rsid w:val="32154C9B"/>
    <w:rsid w:val="32350D48"/>
    <w:rsid w:val="323E5792"/>
    <w:rsid w:val="323F2DBF"/>
    <w:rsid w:val="32457FC4"/>
    <w:rsid w:val="325A5918"/>
    <w:rsid w:val="325F7B08"/>
    <w:rsid w:val="326571C3"/>
    <w:rsid w:val="326671D7"/>
    <w:rsid w:val="3267043F"/>
    <w:rsid w:val="3273555E"/>
    <w:rsid w:val="327E3E2B"/>
    <w:rsid w:val="32833846"/>
    <w:rsid w:val="328E1775"/>
    <w:rsid w:val="329C546E"/>
    <w:rsid w:val="32A900D9"/>
    <w:rsid w:val="32AB075E"/>
    <w:rsid w:val="32B67EA8"/>
    <w:rsid w:val="32DD3D03"/>
    <w:rsid w:val="32DF6972"/>
    <w:rsid w:val="32E12C59"/>
    <w:rsid w:val="32EB6E88"/>
    <w:rsid w:val="32F0674A"/>
    <w:rsid w:val="33145FBC"/>
    <w:rsid w:val="331E587B"/>
    <w:rsid w:val="33222B35"/>
    <w:rsid w:val="332B40B2"/>
    <w:rsid w:val="332C690B"/>
    <w:rsid w:val="332D2637"/>
    <w:rsid w:val="33394A74"/>
    <w:rsid w:val="334119DE"/>
    <w:rsid w:val="335072D3"/>
    <w:rsid w:val="336E12FB"/>
    <w:rsid w:val="33784CD4"/>
    <w:rsid w:val="338334E0"/>
    <w:rsid w:val="3396429C"/>
    <w:rsid w:val="339A067B"/>
    <w:rsid w:val="339A1840"/>
    <w:rsid w:val="339A4F58"/>
    <w:rsid w:val="33A56B5C"/>
    <w:rsid w:val="33A6417A"/>
    <w:rsid w:val="33A71FBA"/>
    <w:rsid w:val="33A94F4C"/>
    <w:rsid w:val="33AB6A2B"/>
    <w:rsid w:val="33C70CDA"/>
    <w:rsid w:val="33E633F0"/>
    <w:rsid w:val="33ED7D27"/>
    <w:rsid w:val="33F82A12"/>
    <w:rsid w:val="33FB3647"/>
    <w:rsid w:val="34056D0A"/>
    <w:rsid w:val="34087F11"/>
    <w:rsid w:val="34255290"/>
    <w:rsid w:val="34304091"/>
    <w:rsid w:val="34337579"/>
    <w:rsid w:val="34362C0A"/>
    <w:rsid w:val="34486194"/>
    <w:rsid w:val="344F34FB"/>
    <w:rsid w:val="34550914"/>
    <w:rsid w:val="34555A90"/>
    <w:rsid w:val="346933EF"/>
    <w:rsid w:val="346C6F59"/>
    <w:rsid w:val="34706CD0"/>
    <w:rsid w:val="347264BB"/>
    <w:rsid w:val="34881304"/>
    <w:rsid w:val="34930CC7"/>
    <w:rsid w:val="349F262A"/>
    <w:rsid w:val="34A32499"/>
    <w:rsid w:val="34B40FAF"/>
    <w:rsid w:val="34BF5566"/>
    <w:rsid w:val="34C208C3"/>
    <w:rsid w:val="34CB5A03"/>
    <w:rsid w:val="34D32F61"/>
    <w:rsid w:val="34D7557B"/>
    <w:rsid w:val="34E22D79"/>
    <w:rsid w:val="34E4672C"/>
    <w:rsid w:val="34E478F6"/>
    <w:rsid w:val="34EC597A"/>
    <w:rsid w:val="34F25A3D"/>
    <w:rsid w:val="34F65429"/>
    <w:rsid w:val="350A0037"/>
    <w:rsid w:val="351D347B"/>
    <w:rsid w:val="35236E85"/>
    <w:rsid w:val="35316ADD"/>
    <w:rsid w:val="353640EF"/>
    <w:rsid w:val="353F2148"/>
    <w:rsid w:val="35430C24"/>
    <w:rsid w:val="35440D49"/>
    <w:rsid w:val="354A2942"/>
    <w:rsid w:val="35545073"/>
    <w:rsid w:val="356C3AF7"/>
    <w:rsid w:val="356D2A92"/>
    <w:rsid w:val="356E0822"/>
    <w:rsid w:val="356F70BE"/>
    <w:rsid w:val="35796219"/>
    <w:rsid w:val="357E4924"/>
    <w:rsid w:val="357F059C"/>
    <w:rsid w:val="35884BC3"/>
    <w:rsid w:val="359B02ED"/>
    <w:rsid w:val="35A9795A"/>
    <w:rsid w:val="35AC2418"/>
    <w:rsid w:val="35B757CB"/>
    <w:rsid w:val="35C21836"/>
    <w:rsid w:val="35CA2236"/>
    <w:rsid w:val="35D903C5"/>
    <w:rsid w:val="35E30C82"/>
    <w:rsid w:val="35F11141"/>
    <w:rsid w:val="35F14768"/>
    <w:rsid w:val="36042ECA"/>
    <w:rsid w:val="36060737"/>
    <w:rsid w:val="36077B54"/>
    <w:rsid w:val="360D5BA8"/>
    <w:rsid w:val="36207AC5"/>
    <w:rsid w:val="36272C9D"/>
    <w:rsid w:val="362B29F8"/>
    <w:rsid w:val="362E6997"/>
    <w:rsid w:val="36314450"/>
    <w:rsid w:val="36321FF8"/>
    <w:rsid w:val="363631D6"/>
    <w:rsid w:val="363757EE"/>
    <w:rsid w:val="363A7105"/>
    <w:rsid w:val="363B221C"/>
    <w:rsid w:val="364748F2"/>
    <w:rsid w:val="36705D62"/>
    <w:rsid w:val="36711624"/>
    <w:rsid w:val="367162EC"/>
    <w:rsid w:val="36756EF5"/>
    <w:rsid w:val="36905601"/>
    <w:rsid w:val="36921F96"/>
    <w:rsid w:val="36965535"/>
    <w:rsid w:val="369D0EC6"/>
    <w:rsid w:val="36A3118C"/>
    <w:rsid w:val="36A856CC"/>
    <w:rsid w:val="36B22E6E"/>
    <w:rsid w:val="36B857E4"/>
    <w:rsid w:val="36BC4C4E"/>
    <w:rsid w:val="36C60C21"/>
    <w:rsid w:val="36C942C1"/>
    <w:rsid w:val="36D92F69"/>
    <w:rsid w:val="36E12AF9"/>
    <w:rsid w:val="36E531DA"/>
    <w:rsid w:val="36E57B09"/>
    <w:rsid w:val="37076A9B"/>
    <w:rsid w:val="371B2546"/>
    <w:rsid w:val="3724157D"/>
    <w:rsid w:val="3734642A"/>
    <w:rsid w:val="37356D35"/>
    <w:rsid w:val="373E4A93"/>
    <w:rsid w:val="37455FA0"/>
    <w:rsid w:val="37493A61"/>
    <w:rsid w:val="37575408"/>
    <w:rsid w:val="37596AF9"/>
    <w:rsid w:val="37645D5E"/>
    <w:rsid w:val="377045A5"/>
    <w:rsid w:val="377644C8"/>
    <w:rsid w:val="377A2FE2"/>
    <w:rsid w:val="378F7C23"/>
    <w:rsid w:val="37931D11"/>
    <w:rsid w:val="379716F7"/>
    <w:rsid w:val="379F49D5"/>
    <w:rsid w:val="37A32FBF"/>
    <w:rsid w:val="37A64CDE"/>
    <w:rsid w:val="37AD17D5"/>
    <w:rsid w:val="37B4396B"/>
    <w:rsid w:val="37B8715D"/>
    <w:rsid w:val="37BA328B"/>
    <w:rsid w:val="37D27ED7"/>
    <w:rsid w:val="37E11E05"/>
    <w:rsid w:val="37E33CA6"/>
    <w:rsid w:val="37E85E95"/>
    <w:rsid w:val="37EC5862"/>
    <w:rsid w:val="37F45447"/>
    <w:rsid w:val="37F747D6"/>
    <w:rsid w:val="37FD3E8B"/>
    <w:rsid w:val="38186634"/>
    <w:rsid w:val="38186965"/>
    <w:rsid w:val="381E48A0"/>
    <w:rsid w:val="3820363A"/>
    <w:rsid w:val="38232879"/>
    <w:rsid w:val="38281018"/>
    <w:rsid w:val="382C6CAD"/>
    <w:rsid w:val="382D20F9"/>
    <w:rsid w:val="382E0700"/>
    <w:rsid w:val="384D2BD3"/>
    <w:rsid w:val="385C1CFE"/>
    <w:rsid w:val="385F02D5"/>
    <w:rsid w:val="3867258C"/>
    <w:rsid w:val="38731364"/>
    <w:rsid w:val="387732A6"/>
    <w:rsid w:val="387A4397"/>
    <w:rsid w:val="387B358C"/>
    <w:rsid w:val="387D1B06"/>
    <w:rsid w:val="387D3ED4"/>
    <w:rsid w:val="387E2D8D"/>
    <w:rsid w:val="38831870"/>
    <w:rsid w:val="38837174"/>
    <w:rsid w:val="388F5960"/>
    <w:rsid w:val="38A15C6B"/>
    <w:rsid w:val="38A65E3F"/>
    <w:rsid w:val="38AA37B9"/>
    <w:rsid w:val="38BA23E6"/>
    <w:rsid w:val="38BC6FCA"/>
    <w:rsid w:val="38C37C42"/>
    <w:rsid w:val="38D12C91"/>
    <w:rsid w:val="38DA5BE2"/>
    <w:rsid w:val="38E01351"/>
    <w:rsid w:val="38E349E7"/>
    <w:rsid w:val="38EA7903"/>
    <w:rsid w:val="38F048BA"/>
    <w:rsid w:val="38F73FA5"/>
    <w:rsid w:val="38F90A7D"/>
    <w:rsid w:val="39012407"/>
    <w:rsid w:val="390635D7"/>
    <w:rsid w:val="390D09CF"/>
    <w:rsid w:val="390F6BF8"/>
    <w:rsid w:val="391136F4"/>
    <w:rsid w:val="392326BF"/>
    <w:rsid w:val="392A0B1F"/>
    <w:rsid w:val="39331983"/>
    <w:rsid w:val="394443D5"/>
    <w:rsid w:val="3948157E"/>
    <w:rsid w:val="395555D4"/>
    <w:rsid w:val="395B3B87"/>
    <w:rsid w:val="395E51BC"/>
    <w:rsid w:val="396122F5"/>
    <w:rsid w:val="396167D3"/>
    <w:rsid w:val="396C044E"/>
    <w:rsid w:val="397357E1"/>
    <w:rsid w:val="3974291A"/>
    <w:rsid w:val="397B54A2"/>
    <w:rsid w:val="397C3D6C"/>
    <w:rsid w:val="398C51A8"/>
    <w:rsid w:val="398F3288"/>
    <w:rsid w:val="39902E32"/>
    <w:rsid w:val="39CA0C6B"/>
    <w:rsid w:val="39CC721E"/>
    <w:rsid w:val="39CE22D2"/>
    <w:rsid w:val="39D82886"/>
    <w:rsid w:val="39DD0211"/>
    <w:rsid w:val="39DD5C82"/>
    <w:rsid w:val="39E0408B"/>
    <w:rsid w:val="39E201AD"/>
    <w:rsid w:val="39EB26A4"/>
    <w:rsid w:val="39FAAB32"/>
    <w:rsid w:val="39FD052B"/>
    <w:rsid w:val="39FD7296"/>
    <w:rsid w:val="39FE3050"/>
    <w:rsid w:val="3A050A61"/>
    <w:rsid w:val="3A1717A2"/>
    <w:rsid w:val="3A1C6C50"/>
    <w:rsid w:val="3A2C0D88"/>
    <w:rsid w:val="3A3A0F35"/>
    <w:rsid w:val="3A5B03D7"/>
    <w:rsid w:val="3A662076"/>
    <w:rsid w:val="3A7663FB"/>
    <w:rsid w:val="3A7F6F62"/>
    <w:rsid w:val="3A8920E3"/>
    <w:rsid w:val="3A8A6F26"/>
    <w:rsid w:val="3A8B18ED"/>
    <w:rsid w:val="3A9B3770"/>
    <w:rsid w:val="3AB40EBA"/>
    <w:rsid w:val="3AB41012"/>
    <w:rsid w:val="3ABF0340"/>
    <w:rsid w:val="3AC058C7"/>
    <w:rsid w:val="3AC47EC3"/>
    <w:rsid w:val="3ACA05E3"/>
    <w:rsid w:val="3ACE2164"/>
    <w:rsid w:val="3ACF19A3"/>
    <w:rsid w:val="3B066C9A"/>
    <w:rsid w:val="3B1B31C9"/>
    <w:rsid w:val="3B2457DA"/>
    <w:rsid w:val="3B293484"/>
    <w:rsid w:val="3B2957E3"/>
    <w:rsid w:val="3B2E0C51"/>
    <w:rsid w:val="3B333DDD"/>
    <w:rsid w:val="3B385567"/>
    <w:rsid w:val="3B3B21C1"/>
    <w:rsid w:val="3B3C6203"/>
    <w:rsid w:val="3B3D0E85"/>
    <w:rsid w:val="3B3F12DA"/>
    <w:rsid w:val="3B403B20"/>
    <w:rsid w:val="3B434D6B"/>
    <w:rsid w:val="3B4469DE"/>
    <w:rsid w:val="3B496C1B"/>
    <w:rsid w:val="3B4D44E3"/>
    <w:rsid w:val="3B514A99"/>
    <w:rsid w:val="3B5261C9"/>
    <w:rsid w:val="3B674CA9"/>
    <w:rsid w:val="3B68169C"/>
    <w:rsid w:val="3B7A3CDF"/>
    <w:rsid w:val="3B8319A0"/>
    <w:rsid w:val="3B961032"/>
    <w:rsid w:val="3BA17842"/>
    <w:rsid w:val="3BA411C8"/>
    <w:rsid w:val="3BA7014B"/>
    <w:rsid w:val="3BAF2423"/>
    <w:rsid w:val="3BB35415"/>
    <w:rsid w:val="3BB5440F"/>
    <w:rsid w:val="3BBC230F"/>
    <w:rsid w:val="3BC83523"/>
    <w:rsid w:val="3BC86522"/>
    <w:rsid w:val="3BE13D5E"/>
    <w:rsid w:val="3BE32424"/>
    <w:rsid w:val="3BE81096"/>
    <w:rsid w:val="3BEF0F0F"/>
    <w:rsid w:val="3BEF707C"/>
    <w:rsid w:val="3BF3295B"/>
    <w:rsid w:val="3C0E44D4"/>
    <w:rsid w:val="3C213FA8"/>
    <w:rsid w:val="3C227775"/>
    <w:rsid w:val="3C2735D4"/>
    <w:rsid w:val="3C2A6480"/>
    <w:rsid w:val="3C2B327D"/>
    <w:rsid w:val="3C2F0B9F"/>
    <w:rsid w:val="3C305D6E"/>
    <w:rsid w:val="3C340109"/>
    <w:rsid w:val="3C382266"/>
    <w:rsid w:val="3C391DD4"/>
    <w:rsid w:val="3C3E3C63"/>
    <w:rsid w:val="3C43718E"/>
    <w:rsid w:val="3C463576"/>
    <w:rsid w:val="3C472A0E"/>
    <w:rsid w:val="3C5E23E6"/>
    <w:rsid w:val="3C5F1085"/>
    <w:rsid w:val="3C63529D"/>
    <w:rsid w:val="3C6436EA"/>
    <w:rsid w:val="3C657A3E"/>
    <w:rsid w:val="3C6727DF"/>
    <w:rsid w:val="3C6E6FCF"/>
    <w:rsid w:val="3C8325F9"/>
    <w:rsid w:val="3C834E15"/>
    <w:rsid w:val="3C8D4BE6"/>
    <w:rsid w:val="3CA02607"/>
    <w:rsid w:val="3CAB7D63"/>
    <w:rsid w:val="3CAD4591"/>
    <w:rsid w:val="3CC527C1"/>
    <w:rsid w:val="3CCA0754"/>
    <w:rsid w:val="3CCC58A2"/>
    <w:rsid w:val="3CDA0620"/>
    <w:rsid w:val="3CE04B7A"/>
    <w:rsid w:val="3CE3763E"/>
    <w:rsid w:val="3CEA37D7"/>
    <w:rsid w:val="3CF71419"/>
    <w:rsid w:val="3CFA508D"/>
    <w:rsid w:val="3D0A3F6B"/>
    <w:rsid w:val="3D0C0C45"/>
    <w:rsid w:val="3D170712"/>
    <w:rsid w:val="3D1721C0"/>
    <w:rsid w:val="3D1C61CA"/>
    <w:rsid w:val="3D227735"/>
    <w:rsid w:val="3D28077F"/>
    <w:rsid w:val="3D2940F9"/>
    <w:rsid w:val="3D573277"/>
    <w:rsid w:val="3D605F73"/>
    <w:rsid w:val="3D6A1B4C"/>
    <w:rsid w:val="3D6D6539"/>
    <w:rsid w:val="3D7E29F6"/>
    <w:rsid w:val="3D8C1AA8"/>
    <w:rsid w:val="3DA2705B"/>
    <w:rsid w:val="3DA53539"/>
    <w:rsid w:val="3DB0458E"/>
    <w:rsid w:val="3DB35694"/>
    <w:rsid w:val="3DB43634"/>
    <w:rsid w:val="3DB71B33"/>
    <w:rsid w:val="3DB911D4"/>
    <w:rsid w:val="3DCA4D98"/>
    <w:rsid w:val="3DDB632B"/>
    <w:rsid w:val="3DDF227B"/>
    <w:rsid w:val="3DE577D0"/>
    <w:rsid w:val="3DE9500F"/>
    <w:rsid w:val="3DFE29BC"/>
    <w:rsid w:val="3E0A013E"/>
    <w:rsid w:val="3E13386A"/>
    <w:rsid w:val="3E2829A8"/>
    <w:rsid w:val="3E284CAD"/>
    <w:rsid w:val="3E32264F"/>
    <w:rsid w:val="3E3D6BE8"/>
    <w:rsid w:val="3E4D5AA5"/>
    <w:rsid w:val="3E4F4D95"/>
    <w:rsid w:val="3E5C1C0B"/>
    <w:rsid w:val="3E5D1382"/>
    <w:rsid w:val="3E605D7B"/>
    <w:rsid w:val="3E613884"/>
    <w:rsid w:val="3E640B33"/>
    <w:rsid w:val="3E671F5B"/>
    <w:rsid w:val="3E680161"/>
    <w:rsid w:val="3E696B7E"/>
    <w:rsid w:val="3E6B55A3"/>
    <w:rsid w:val="3E707498"/>
    <w:rsid w:val="3E7567DF"/>
    <w:rsid w:val="3E782FDC"/>
    <w:rsid w:val="3E7B0AF2"/>
    <w:rsid w:val="3E8F178D"/>
    <w:rsid w:val="3E906406"/>
    <w:rsid w:val="3E91532E"/>
    <w:rsid w:val="3E9970E7"/>
    <w:rsid w:val="3EA352FB"/>
    <w:rsid w:val="3EA4146C"/>
    <w:rsid w:val="3EAD648A"/>
    <w:rsid w:val="3EBB4AEE"/>
    <w:rsid w:val="3EC33289"/>
    <w:rsid w:val="3EC97967"/>
    <w:rsid w:val="3ECA0657"/>
    <w:rsid w:val="3ECC0FDD"/>
    <w:rsid w:val="3ECF6094"/>
    <w:rsid w:val="3EDE6D1E"/>
    <w:rsid w:val="3EE55C57"/>
    <w:rsid w:val="3EE77CC4"/>
    <w:rsid w:val="3F036EB6"/>
    <w:rsid w:val="3F0F4CF3"/>
    <w:rsid w:val="3F0F7AE2"/>
    <w:rsid w:val="3F186F17"/>
    <w:rsid w:val="3F2269B3"/>
    <w:rsid w:val="3F236909"/>
    <w:rsid w:val="3F316D95"/>
    <w:rsid w:val="3F3D6303"/>
    <w:rsid w:val="3F3E75F0"/>
    <w:rsid w:val="3F544847"/>
    <w:rsid w:val="3F5453E8"/>
    <w:rsid w:val="3F566811"/>
    <w:rsid w:val="3F5A7FC0"/>
    <w:rsid w:val="3F5C181C"/>
    <w:rsid w:val="3F5D36FC"/>
    <w:rsid w:val="3F634BD5"/>
    <w:rsid w:val="3F6B59AE"/>
    <w:rsid w:val="3F732B39"/>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536EBD"/>
    <w:rsid w:val="405B1F66"/>
    <w:rsid w:val="4066620A"/>
    <w:rsid w:val="406978DD"/>
    <w:rsid w:val="406B5E40"/>
    <w:rsid w:val="40741E03"/>
    <w:rsid w:val="407D2537"/>
    <w:rsid w:val="40821699"/>
    <w:rsid w:val="408E7728"/>
    <w:rsid w:val="40922062"/>
    <w:rsid w:val="409C6247"/>
    <w:rsid w:val="40B969ED"/>
    <w:rsid w:val="40D14E28"/>
    <w:rsid w:val="40D82B71"/>
    <w:rsid w:val="40DD0AB7"/>
    <w:rsid w:val="40E32783"/>
    <w:rsid w:val="40EB65DD"/>
    <w:rsid w:val="40EF658B"/>
    <w:rsid w:val="40F20AB7"/>
    <w:rsid w:val="40F468BD"/>
    <w:rsid w:val="41155C7D"/>
    <w:rsid w:val="411D2572"/>
    <w:rsid w:val="411F3F16"/>
    <w:rsid w:val="41220CE1"/>
    <w:rsid w:val="41307274"/>
    <w:rsid w:val="41313857"/>
    <w:rsid w:val="4137363C"/>
    <w:rsid w:val="413919D8"/>
    <w:rsid w:val="413C0683"/>
    <w:rsid w:val="4149513D"/>
    <w:rsid w:val="414C289C"/>
    <w:rsid w:val="41556A1E"/>
    <w:rsid w:val="4162705B"/>
    <w:rsid w:val="41684027"/>
    <w:rsid w:val="41691A55"/>
    <w:rsid w:val="41756B8B"/>
    <w:rsid w:val="418270C8"/>
    <w:rsid w:val="41846666"/>
    <w:rsid w:val="418F5CEE"/>
    <w:rsid w:val="41956FC3"/>
    <w:rsid w:val="41984EBF"/>
    <w:rsid w:val="419D59DD"/>
    <w:rsid w:val="419F2EA3"/>
    <w:rsid w:val="41A120E9"/>
    <w:rsid w:val="41A55979"/>
    <w:rsid w:val="41AF5D96"/>
    <w:rsid w:val="41B34155"/>
    <w:rsid w:val="41B80FEA"/>
    <w:rsid w:val="41BB789D"/>
    <w:rsid w:val="41C37A62"/>
    <w:rsid w:val="41CB2E95"/>
    <w:rsid w:val="41CE5D6F"/>
    <w:rsid w:val="41CE5E80"/>
    <w:rsid w:val="41D47CA6"/>
    <w:rsid w:val="41D9224B"/>
    <w:rsid w:val="41DA7E07"/>
    <w:rsid w:val="41DB3703"/>
    <w:rsid w:val="41DD216B"/>
    <w:rsid w:val="41DE58F1"/>
    <w:rsid w:val="41E626FC"/>
    <w:rsid w:val="41F84C3F"/>
    <w:rsid w:val="42020CB8"/>
    <w:rsid w:val="42053DF6"/>
    <w:rsid w:val="42077BE9"/>
    <w:rsid w:val="42101F23"/>
    <w:rsid w:val="421E7EC4"/>
    <w:rsid w:val="42267A5C"/>
    <w:rsid w:val="422A25DF"/>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AD499A"/>
    <w:rsid w:val="42B545E4"/>
    <w:rsid w:val="42C11271"/>
    <w:rsid w:val="42C53FC1"/>
    <w:rsid w:val="42D163E8"/>
    <w:rsid w:val="42D24020"/>
    <w:rsid w:val="42D74CB5"/>
    <w:rsid w:val="42DC3FE9"/>
    <w:rsid w:val="42F36C4D"/>
    <w:rsid w:val="430742C8"/>
    <w:rsid w:val="431710BE"/>
    <w:rsid w:val="43406365"/>
    <w:rsid w:val="435278F3"/>
    <w:rsid w:val="43652ADE"/>
    <w:rsid w:val="4367719E"/>
    <w:rsid w:val="436B02D7"/>
    <w:rsid w:val="436F2539"/>
    <w:rsid w:val="43720472"/>
    <w:rsid w:val="437602C4"/>
    <w:rsid w:val="43796616"/>
    <w:rsid w:val="43A655CA"/>
    <w:rsid w:val="43AB3053"/>
    <w:rsid w:val="43AF6312"/>
    <w:rsid w:val="43B20353"/>
    <w:rsid w:val="43B60B7C"/>
    <w:rsid w:val="43BB792D"/>
    <w:rsid w:val="43C912ED"/>
    <w:rsid w:val="43CE0EF2"/>
    <w:rsid w:val="43D057F1"/>
    <w:rsid w:val="43D1414A"/>
    <w:rsid w:val="43D26B6F"/>
    <w:rsid w:val="43D67E4D"/>
    <w:rsid w:val="43DD67D9"/>
    <w:rsid w:val="43DF56DB"/>
    <w:rsid w:val="43E21A42"/>
    <w:rsid w:val="43F12F34"/>
    <w:rsid w:val="43F61EFF"/>
    <w:rsid w:val="43F6705C"/>
    <w:rsid w:val="43F74C76"/>
    <w:rsid w:val="43FB7B69"/>
    <w:rsid w:val="44053304"/>
    <w:rsid w:val="440C0538"/>
    <w:rsid w:val="440E0A54"/>
    <w:rsid w:val="44141688"/>
    <w:rsid w:val="44175663"/>
    <w:rsid w:val="442A3260"/>
    <w:rsid w:val="443A68E8"/>
    <w:rsid w:val="44417472"/>
    <w:rsid w:val="44493192"/>
    <w:rsid w:val="444C7891"/>
    <w:rsid w:val="44504583"/>
    <w:rsid w:val="44546900"/>
    <w:rsid w:val="445A7412"/>
    <w:rsid w:val="445B5C59"/>
    <w:rsid w:val="44615D4D"/>
    <w:rsid w:val="446263B0"/>
    <w:rsid w:val="446933DB"/>
    <w:rsid w:val="447366BE"/>
    <w:rsid w:val="447C21A2"/>
    <w:rsid w:val="447E71DD"/>
    <w:rsid w:val="448133F2"/>
    <w:rsid w:val="44897E0A"/>
    <w:rsid w:val="4490797F"/>
    <w:rsid w:val="44A24CE2"/>
    <w:rsid w:val="44A4446D"/>
    <w:rsid w:val="44AC6AA0"/>
    <w:rsid w:val="44C02FBC"/>
    <w:rsid w:val="44C9166B"/>
    <w:rsid w:val="44CF1F14"/>
    <w:rsid w:val="44D43250"/>
    <w:rsid w:val="44D477D8"/>
    <w:rsid w:val="44DB79B8"/>
    <w:rsid w:val="44E32F81"/>
    <w:rsid w:val="44E70967"/>
    <w:rsid w:val="44E76148"/>
    <w:rsid w:val="44EF65A4"/>
    <w:rsid w:val="44F37C69"/>
    <w:rsid w:val="450353C6"/>
    <w:rsid w:val="450665E4"/>
    <w:rsid w:val="4509333F"/>
    <w:rsid w:val="450E401D"/>
    <w:rsid w:val="45116BFC"/>
    <w:rsid w:val="451848C2"/>
    <w:rsid w:val="45185DAE"/>
    <w:rsid w:val="451A4682"/>
    <w:rsid w:val="45273624"/>
    <w:rsid w:val="452A7E19"/>
    <w:rsid w:val="4535604E"/>
    <w:rsid w:val="453E671E"/>
    <w:rsid w:val="45516ED2"/>
    <w:rsid w:val="45534F41"/>
    <w:rsid w:val="45610A71"/>
    <w:rsid w:val="457158CA"/>
    <w:rsid w:val="45764D5C"/>
    <w:rsid w:val="45783A8C"/>
    <w:rsid w:val="458D1EE2"/>
    <w:rsid w:val="45975583"/>
    <w:rsid w:val="45A23E4F"/>
    <w:rsid w:val="45A864FE"/>
    <w:rsid w:val="45BA2A70"/>
    <w:rsid w:val="45BF007D"/>
    <w:rsid w:val="45C110D3"/>
    <w:rsid w:val="45D04FEF"/>
    <w:rsid w:val="45D33485"/>
    <w:rsid w:val="45EE5900"/>
    <w:rsid w:val="45F65185"/>
    <w:rsid w:val="46092E53"/>
    <w:rsid w:val="462214B8"/>
    <w:rsid w:val="462D5FEF"/>
    <w:rsid w:val="462E6024"/>
    <w:rsid w:val="46423B27"/>
    <w:rsid w:val="464B0531"/>
    <w:rsid w:val="464C3A05"/>
    <w:rsid w:val="464E0FC6"/>
    <w:rsid w:val="46511E10"/>
    <w:rsid w:val="465448F2"/>
    <w:rsid w:val="465E3098"/>
    <w:rsid w:val="46623D1B"/>
    <w:rsid w:val="46672F35"/>
    <w:rsid w:val="466C3BF2"/>
    <w:rsid w:val="466D4269"/>
    <w:rsid w:val="46753A27"/>
    <w:rsid w:val="46862C38"/>
    <w:rsid w:val="468B615B"/>
    <w:rsid w:val="46943FE6"/>
    <w:rsid w:val="469C5366"/>
    <w:rsid w:val="46B10DAF"/>
    <w:rsid w:val="46BE554E"/>
    <w:rsid w:val="46C45D65"/>
    <w:rsid w:val="46D07416"/>
    <w:rsid w:val="46D22372"/>
    <w:rsid w:val="46D43205"/>
    <w:rsid w:val="46E23D71"/>
    <w:rsid w:val="46E74CC0"/>
    <w:rsid w:val="46F24A9C"/>
    <w:rsid w:val="46F94ACB"/>
    <w:rsid w:val="47015186"/>
    <w:rsid w:val="470D0168"/>
    <w:rsid w:val="470D4174"/>
    <w:rsid w:val="4715699E"/>
    <w:rsid w:val="47221EC0"/>
    <w:rsid w:val="472649FE"/>
    <w:rsid w:val="472A79E0"/>
    <w:rsid w:val="472C105B"/>
    <w:rsid w:val="47354F5E"/>
    <w:rsid w:val="4736137F"/>
    <w:rsid w:val="473769F4"/>
    <w:rsid w:val="473D5031"/>
    <w:rsid w:val="47436F93"/>
    <w:rsid w:val="47497CED"/>
    <w:rsid w:val="474E3CA6"/>
    <w:rsid w:val="474F2EE8"/>
    <w:rsid w:val="47585BA0"/>
    <w:rsid w:val="475A1D2F"/>
    <w:rsid w:val="475A7944"/>
    <w:rsid w:val="476147F4"/>
    <w:rsid w:val="476436A4"/>
    <w:rsid w:val="47754C2E"/>
    <w:rsid w:val="47823144"/>
    <w:rsid w:val="478821C8"/>
    <w:rsid w:val="478B13A5"/>
    <w:rsid w:val="478F23A2"/>
    <w:rsid w:val="479876C5"/>
    <w:rsid w:val="47A2298A"/>
    <w:rsid w:val="47AC49D7"/>
    <w:rsid w:val="47C00975"/>
    <w:rsid w:val="47C30CFF"/>
    <w:rsid w:val="47D538BF"/>
    <w:rsid w:val="47EC3BCC"/>
    <w:rsid w:val="47EF48E2"/>
    <w:rsid w:val="47FE5712"/>
    <w:rsid w:val="48056817"/>
    <w:rsid w:val="48071009"/>
    <w:rsid w:val="48160910"/>
    <w:rsid w:val="481D2E0A"/>
    <w:rsid w:val="482917DE"/>
    <w:rsid w:val="48312257"/>
    <w:rsid w:val="48314497"/>
    <w:rsid w:val="48454B43"/>
    <w:rsid w:val="484E2F53"/>
    <w:rsid w:val="484E459F"/>
    <w:rsid w:val="485174E3"/>
    <w:rsid w:val="48636ED0"/>
    <w:rsid w:val="486E0331"/>
    <w:rsid w:val="4873740A"/>
    <w:rsid w:val="48762D41"/>
    <w:rsid w:val="4877279F"/>
    <w:rsid w:val="48832C3B"/>
    <w:rsid w:val="489176F0"/>
    <w:rsid w:val="48A01DC6"/>
    <w:rsid w:val="48AC5A6A"/>
    <w:rsid w:val="48AE7B29"/>
    <w:rsid w:val="48B34240"/>
    <w:rsid w:val="48BD60A8"/>
    <w:rsid w:val="48C16368"/>
    <w:rsid w:val="48C85917"/>
    <w:rsid w:val="48D05068"/>
    <w:rsid w:val="48D72399"/>
    <w:rsid w:val="48D926AD"/>
    <w:rsid w:val="48DA400F"/>
    <w:rsid w:val="48DC03DD"/>
    <w:rsid w:val="48F2474B"/>
    <w:rsid w:val="4900376F"/>
    <w:rsid w:val="49031DE2"/>
    <w:rsid w:val="49046090"/>
    <w:rsid w:val="490578A2"/>
    <w:rsid w:val="490B6702"/>
    <w:rsid w:val="4924152D"/>
    <w:rsid w:val="4924574C"/>
    <w:rsid w:val="492B380B"/>
    <w:rsid w:val="49306605"/>
    <w:rsid w:val="4932429E"/>
    <w:rsid w:val="493317E9"/>
    <w:rsid w:val="4933521B"/>
    <w:rsid w:val="49344B77"/>
    <w:rsid w:val="49515037"/>
    <w:rsid w:val="49525A0B"/>
    <w:rsid w:val="495441DE"/>
    <w:rsid w:val="49590D13"/>
    <w:rsid w:val="496603CB"/>
    <w:rsid w:val="49722813"/>
    <w:rsid w:val="49727215"/>
    <w:rsid w:val="49752438"/>
    <w:rsid w:val="4978796D"/>
    <w:rsid w:val="497E3FC3"/>
    <w:rsid w:val="49825179"/>
    <w:rsid w:val="49827172"/>
    <w:rsid w:val="49857B3C"/>
    <w:rsid w:val="49891345"/>
    <w:rsid w:val="498F3090"/>
    <w:rsid w:val="499049E3"/>
    <w:rsid w:val="49A30128"/>
    <w:rsid w:val="49B01BAE"/>
    <w:rsid w:val="49B4583D"/>
    <w:rsid w:val="49B54250"/>
    <w:rsid w:val="49B61DD3"/>
    <w:rsid w:val="49B8517B"/>
    <w:rsid w:val="49B854B2"/>
    <w:rsid w:val="49C2169A"/>
    <w:rsid w:val="49C41D97"/>
    <w:rsid w:val="49C42A10"/>
    <w:rsid w:val="49C76AA2"/>
    <w:rsid w:val="49CD79A4"/>
    <w:rsid w:val="49D62A28"/>
    <w:rsid w:val="49DF3699"/>
    <w:rsid w:val="49EB61F2"/>
    <w:rsid w:val="49EC674C"/>
    <w:rsid w:val="49EC7055"/>
    <w:rsid w:val="49F47F64"/>
    <w:rsid w:val="49FD7E22"/>
    <w:rsid w:val="4A007AA5"/>
    <w:rsid w:val="4A0E2BA8"/>
    <w:rsid w:val="4A111BFA"/>
    <w:rsid w:val="4A267576"/>
    <w:rsid w:val="4A280B0E"/>
    <w:rsid w:val="4A2C3C74"/>
    <w:rsid w:val="4A2D7BC9"/>
    <w:rsid w:val="4A327B46"/>
    <w:rsid w:val="4A3845C5"/>
    <w:rsid w:val="4A3B2897"/>
    <w:rsid w:val="4A3B2DB5"/>
    <w:rsid w:val="4A4044A1"/>
    <w:rsid w:val="4A4554B8"/>
    <w:rsid w:val="4A4B3F70"/>
    <w:rsid w:val="4A51261B"/>
    <w:rsid w:val="4A543304"/>
    <w:rsid w:val="4A5D123E"/>
    <w:rsid w:val="4A5F2B0E"/>
    <w:rsid w:val="4A6075A3"/>
    <w:rsid w:val="4A6514DB"/>
    <w:rsid w:val="4A664A90"/>
    <w:rsid w:val="4A753438"/>
    <w:rsid w:val="4A80341B"/>
    <w:rsid w:val="4A811C9F"/>
    <w:rsid w:val="4A816144"/>
    <w:rsid w:val="4A8A1046"/>
    <w:rsid w:val="4A98092D"/>
    <w:rsid w:val="4A9B3DA6"/>
    <w:rsid w:val="4AA11A7B"/>
    <w:rsid w:val="4AAB13E0"/>
    <w:rsid w:val="4AB604A6"/>
    <w:rsid w:val="4AD32458"/>
    <w:rsid w:val="4AD75D13"/>
    <w:rsid w:val="4ADD7BD1"/>
    <w:rsid w:val="4AE01685"/>
    <w:rsid w:val="4AE67BDD"/>
    <w:rsid w:val="4AF41A83"/>
    <w:rsid w:val="4AF64EB3"/>
    <w:rsid w:val="4AF854A5"/>
    <w:rsid w:val="4AFB026D"/>
    <w:rsid w:val="4AFE02EB"/>
    <w:rsid w:val="4B0B061E"/>
    <w:rsid w:val="4B116C3A"/>
    <w:rsid w:val="4B1A31D2"/>
    <w:rsid w:val="4B1F2755"/>
    <w:rsid w:val="4B21349F"/>
    <w:rsid w:val="4B2947A3"/>
    <w:rsid w:val="4B3656CC"/>
    <w:rsid w:val="4B424673"/>
    <w:rsid w:val="4B43687B"/>
    <w:rsid w:val="4B4C4C91"/>
    <w:rsid w:val="4B4F585E"/>
    <w:rsid w:val="4B5066D3"/>
    <w:rsid w:val="4B524F5F"/>
    <w:rsid w:val="4B556C18"/>
    <w:rsid w:val="4B5B00CB"/>
    <w:rsid w:val="4B5C0112"/>
    <w:rsid w:val="4B5C2A02"/>
    <w:rsid w:val="4B5D1505"/>
    <w:rsid w:val="4B5D2F0E"/>
    <w:rsid w:val="4B670EEB"/>
    <w:rsid w:val="4B6A4402"/>
    <w:rsid w:val="4B6C76C1"/>
    <w:rsid w:val="4B700715"/>
    <w:rsid w:val="4B7837FE"/>
    <w:rsid w:val="4B842536"/>
    <w:rsid w:val="4B857330"/>
    <w:rsid w:val="4B8D6483"/>
    <w:rsid w:val="4B9426D6"/>
    <w:rsid w:val="4B9F7B27"/>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A14AC"/>
    <w:rsid w:val="4C4C2ECA"/>
    <w:rsid w:val="4C5114DD"/>
    <w:rsid w:val="4C5B4E2F"/>
    <w:rsid w:val="4C64188F"/>
    <w:rsid w:val="4C6B203A"/>
    <w:rsid w:val="4C9D15DC"/>
    <w:rsid w:val="4C9D5333"/>
    <w:rsid w:val="4CB94893"/>
    <w:rsid w:val="4CD40156"/>
    <w:rsid w:val="4CD97F00"/>
    <w:rsid w:val="4CE507BB"/>
    <w:rsid w:val="4CE84B1E"/>
    <w:rsid w:val="4CF84925"/>
    <w:rsid w:val="4CFB7174"/>
    <w:rsid w:val="4D0230A4"/>
    <w:rsid w:val="4D0541DC"/>
    <w:rsid w:val="4D0828E9"/>
    <w:rsid w:val="4D083099"/>
    <w:rsid w:val="4D08524C"/>
    <w:rsid w:val="4D1413B4"/>
    <w:rsid w:val="4D16583F"/>
    <w:rsid w:val="4D17385C"/>
    <w:rsid w:val="4D254CDD"/>
    <w:rsid w:val="4D4B4412"/>
    <w:rsid w:val="4D503413"/>
    <w:rsid w:val="4D510E2B"/>
    <w:rsid w:val="4D6A54AB"/>
    <w:rsid w:val="4D815267"/>
    <w:rsid w:val="4D8C0894"/>
    <w:rsid w:val="4D8F1DE7"/>
    <w:rsid w:val="4D983C7F"/>
    <w:rsid w:val="4D9D0D26"/>
    <w:rsid w:val="4DA20DFB"/>
    <w:rsid w:val="4DAD5859"/>
    <w:rsid w:val="4DB85C63"/>
    <w:rsid w:val="4DB9274D"/>
    <w:rsid w:val="4DCA0A14"/>
    <w:rsid w:val="4DD76D6F"/>
    <w:rsid w:val="4DE15ABD"/>
    <w:rsid w:val="4DE91693"/>
    <w:rsid w:val="4DEE3FB3"/>
    <w:rsid w:val="4DF20E52"/>
    <w:rsid w:val="4DF52C1C"/>
    <w:rsid w:val="4DFE09DF"/>
    <w:rsid w:val="4DFF3390"/>
    <w:rsid w:val="4E0144FA"/>
    <w:rsid w:val="4E035DB6"/>
    <w:rsid w:val="4E055215"/>
    <w:rsid w:val="4E0A289D"/>
    <w:rsid w:val="4E0B0488"/>
    <w:rsid w:val="4E0B62AA"/>
    <w:rsid w:val="4E10399C"/>
    <w:rsid w:val="4E2D7F67"/>
    <w:rsid w:val="4E393586"/>
    <w:rsid w:val="4E444909"/>
    <w:rsid w:val="4E604970"/>
    <w:rsid w:val="4E691FCA"/>
    <w:rsid w:val="4E70427F"/>
    <w:rsid w:val="4E7B161E"/>
    <w:rsid w:val="4E8C412A"/>
    <w:rsid w:val="4E9E5ADF"/>
    <w:rsid w:val="4E9F52CA"/>
    <w:rsid w:val="4EB44996"/>
    <w:rsid w:val="4EBA01BB"/>
    <w:rsid w:val="4EC1374B"/>
    <w:rsid w:val="4ECD2946"/>
    <w:rsid w:val="4ED147C1"/>
    <w:rsid w:val="4ED374D0"/>
    <w:rsid w:val="4EDB0170"/>
    <w:rsid w:val="4EE27D7A"/>
    <w:rsid w:val="4EE5726A"/>
    <w:rsid w:val="4EE95170"/>
    <w:rsid w:val="4EED6AB4"/>
    <w:rsid w:val="4EEE4967"/>
    <w:rsid w:val="4EFA563B"/>
    <w:rsid w:val="4EFF10AB"/>
    <w:rsid w:val="4F0711B8"/>
    <w:rsid w:val="4F0D1F32"/>
    <w:rsid w:val="4F105E49"/>
    <w:rsid w:val="4F1A4447"/>
    <w:rsid w:val="4F1E452A"/>
    <w:rsid w:val="4F32541F"/>
    <w:rsid w:val="4F3A6287"/>
    <w:rsid w:val="4F3B2C0D"/>
    <w:rsid w:val="4F3F0431"/>
    <w:rsid w:val="4F404EE0"/>
    <w:rsid w:val="4F503EC3"/>
    <w:rsid w:val="4F65431D"/>
    <w:rsid w:val="4F83000A"/>
    <w:rsid w:val="4F9B16D6"/>
    <w:rsid w:val="4FA856E5"/>
    <w:rsid w:val="4FB01DB0"/>
    <w:rsid w:val="4FC44ABC"/>
    <w:rsid w:val="4FD33681"/>
    <w:rsid w:val="4FDD4119"/>
    <w:rsid w:val="4FDF5DEF"/>
    <w:rsid w:val="4FE06B2A"/>
    <w:rsid w:val="4FE859C5"/>
    <w:rsid w:val="4FE87012"/>
    <w:rsid w:val="4FEC47F8"/>
    <w:rsid w:val="4FF4044F"/>
    <w:rsid w:val="4FFA2EC3"/>
    <w:rsid w:val="501244E2"/>
    <w:rsid w:val="502D57C0"/>
    <w:rsid w:val="503451F3"/>
    <w:rsid w:val="50397B2D"/>
    <w:rsid w:val="50440A06"/>
    <w:rsid w:val="505644F6"/>
    <w:rsid w:val="50785C87"/>
    <w:rsid w:val="508250F6"/>
    <w:rsid w:val="50963EF0"/>
    <w:rsid w:val="509E3987"/>
    <w:rsid w:val="50A06EBA"/>
    <w:rsid w:val="50A92DDB"/>
    <w:rsid w:val="50B93817"/>
    <w:rsid w:val="50BE405E"/>
    <w:rsid w:val="50C6577B"/>
    <w:rsid w:val="50C75459"/>
    <w:rsid w:val="50CA2BBB"/>
    <w:rsid w:val="50D16BC1"/>
    <w:rsid w:val="50D77449"/>
    <w:rsid w:val="50E2074A"/>
    <w:rsid w:val="50E85246"/>
    <w:rsid w:val="50FD0AD7"/>
    <w:rsid w:val="510A147E"/>
    <w:rsid w:val="51123DFB"/>
    <w:rsid w:val="51150696"/>
    <w:rsid w:val="511600C5"/>
    <w:rsid w:val="51165E00"/>
    <w:rsid w:val="511729C7"/>
    <w:rsid w:val="511E4130"/>
    <w:rsid w:val="511F0A79"/>
    <w:rsid w:val="51215BB8"/>
    <w:rsid w:val="51235A2B"/>
    <w:rsid w:val="513B53D4"/>
    <w:rsid w:val="513C181E"/>
    <w:rsid w:val="51462300"/>
    <w:rsid w:val="51496907"/>
    <w:rsid w:val="514F5C6A"/>
    <w:rsid w:val="51576E2F"/>
    <w:rsid w:val="515C7FB9"/>
    <w:rsid w:val="515D4403"/>
    <w:rsid w:val="516D6307"/>
    <w:rsid w:val="517065DD"/>
    <w:rsid w:val="517270B8"/>
    <w:rsid w:val="51792B6A"/>
    <w:rsid w:val="517A55E8"/>
    <w:rsid w:val="517C5C51"/>
    <w:rsid w:val="5182302A"/>
    <w:rsid w:val="518F2363"/>
    <w:rsid w:val="51963BA3"/>
    <w:rsid w:val="519F7FAC"/>
    <w:rsid w:val="51A018B7"/>
    <w:rsid w:val="51A14737"/>
    <w:rsid w:val="51A2158E"/>
    <w:rsid w:val="51A8382E"/>
    <w:rsid w:val="51A87469"/>
    <w:rsid w:val="51AB4F07"/>
    <w:rsid w:val="51B67F42"/>
    <w:rsid w:val="51BB6817"/>
    <w:rsid w:val="51C96605"/>
    <w:rsid w:val="51CA475C"/>
    <w:rsid w:val="51CE5C4C"/>
    <w:rsid w:val="51D756BE"/>
    <w:rsid w:val="51DD57B6"/>
    <w:rsid w:val="51DF350E"/>
    <w:rsid w:val="51DF412A"/>
    <w:rsid w:val="51E34CC5"/>
    <w:rsid w:val="51FA173F"/>
    <w:rsid w:val="51FF3157"/>
    <w:rsid w:val="520B2C6D"/>
    <w:rsid w:val="52133C34"/>
    <w:rsid w:val="52140036"/>
    <w:rsid w:val="521F224C"/>
    <w:rsid w:val="522638BE"/>
    <w:rsid w:val="5229322C"/>
    <w:rsid w:val="522A0C52"/>
    <w:rsid w:val="522A1EF5"/>
    <w:rsid w:val="523D30C4"/>
    <w:rsid w:val="52403BF9"/>
    <w:rsid w:val="524150BF"/>
    <w:rsid w:val="5248662E"/>
    <w:rsid w:val="524D1DE7"/>
    <w:rsid w:val="52586AC4"/>
    <w:rsid w:val="527B219E"/>
    <w:rsid w:val="528449E8"/>
    <w:rsid w:val="52871B8B"/>
    <w:rsid w:val="52876BEF"/>
    <w:rsid w:val="528B2294"/>
    <w:rsid w:val="528B637A"/>
    <w:rsid w:val="52987A13"/>
    <w:rsid w:val="52995E1D"/>
    <w:rsid w:val="52A37469"/>
    <w:rsid w:val="52BC333B"/>
    <w:rsid w:val="52CE1A3C"/>
    <w:rsid w:val="52CF270B"/>
    <w:rsid w:val="52D4020B"/>
    <w:rsid w:val="52E54444"/>
    <w:rsid w:val="52F45CCD"/>
    <w:rsid w:val="52FF4BFF"/>
    <w:rsid w:val="53030788"/>
    <w:rsid w:val="530D327B"/>
    <w:rsid w:val="53170583"/>
    <w:rsid w:val="531B78A4"/>
    <w:rsid w:val="53234FBA"/>
    <w:rsid w:val="532663CB"/>
    <w:rsid w:val="533C7CC3"/>
    <w:rsid w:val="533F64D8"/>
    <w:rsid w:val="534731E7"/>
    <w:rsid w:val="534E4A4F"/>
    <w:rsid w:val="535432FF"/>
    <w:rsid w:val="53596866"/>
    <w:rsid w:val="536870CF"/>
    <w:rsid w:val="53840791"/>
    <w:rsid w:val="538728EC"/>
    <w:rsid w:val="538D5A45"/>
    <w:rsid w:val="53930A17"/>
    <w:rsid w:val="539D6FCE"/>
    <w:rsid w:val="53A17B6E"/>
    <w:rsid w:val="53A345E8"/>
    <w:rsid w:val="53AA69EC"/>
    <w:rsid w:val="53B94E28"/>
    <w:rsid w:val="53BA2060"/>
    <w:rsid w:val="53BD66C9"/>
    <w:rsid w:val="53EC2534"/>
    <w:rsid w:val="53EC4262"/>
    <w:rsid w:val="53F97037"/>
    <w:rsid w:val="540353D1"/>
    <w:rsid w:val="54060F9D"/>
    <w:rsid w:val="540B2184"/>
    <w:rsid w:val="540F235E"/>
    <w:rsid w:val="54213DCB"/>
    <w:rsid w:val="54222B22"/>
    <w:rsid w:val="542C7A98"/>
    <w:rsid w:val="54367746"/>
    <w:rsid w:val="543B63E2"/>
    <w:rsid w:val="544615F0"/>
    <w:rsid w:val="544909BE"/>
    <w:rsid w:val="544E2DBF"/>
    <w:rsid w:val="544E3809"/>
    <w:rsid w:val="545C145C"/>
    <w:rsid w:val="545D2C15"/>
    <w:rsid w:val="545E7B26"/>
    <w:rsid w:val="54605FBD"/>
    <w:rsid w:val="5463724D"/>
    <w:rsid w:val="54652DF3"/>
    <w:rsid w:val="54676070"/>
    <w:rsid w:val="546E0797"/>
    <w:rsid w:val="54761046"/>
    <w:rsid w:val="547F5C9A"/>
    <w:rsid w:val="54825E65"/>
    <w:rsid w:val="54892033"/>
    <w:rsid w:val="548A5B56"/>
    <w:rsid w:val="548B1819"/>
    <w:rsid w:val="54A86A7C"/>
    <w:rsid w:val="54AF16DE"/>
    <w:rsid w:val="54B50CF1"/>
    <w:rsid w:val="54B95EEC"/>
    <w:rsid w:val="54BF164F"/>
    <w:rsid w:val="54C0394D"/>
    <w:rsid w:val="54CE39BB"/>
    <w:rsid w:val="54D166F6"/>
    <w:rsid w:val="54D51186"/>
    <w:rsid w:val="54D71321"/>
    <w:rsid w:val="54D90BDE"/>
    <w:rsid w:val="54DA747E"/>
    <w:rsid w:val="54E131E2"/>
    <w:rsid w:val="54F43303"/>
    <w:rsid w:val="54F457BC"/>
    <w:rsid w:val="54FC2BCD"/>
    <w:rsid w:val="55131FEC"/>
    <w:rsid w:val="551630FC"/>
    <w:rsid w:val="5523557D"/>
    <w:rsid w:val="55301446"/>
    <w:rsid w:val="5539030F"/>
    <w:rsid w:val="554307FE"/>
    <w:rsid w:val="554C05D6"/>
    <w:rsid w:val="555F1B75"/>
    <w:rsid w:val="556A47BF"/>
    <w:rsid w:val="55733F59"/>
    <w:rsid w:val="55863FAB"/>
    <w:rsid w:val="559A3850"/>
    <w:rsid w:val="55A03D0C"/>
    <w:rsid w:val="55B81E3A"/>
    <w:rsid w:val="55C4407D"/>
    <w:rsid w:val="55C62557"/>
    <w:rsid w:val="55CC6981"/>
    <w:rsid w:val="55D02071"/>
    <w:rsid w:val="55D2248F"/>
    <w:rsid w:val="55D226E7"/>
    <w:rsid w:val="55DE46F8"/>
    <w:rsid w:val="55DF4042"/>
    <w:rsid w:val="55E85F28"/>
    <w:rsid w:val="55F15FDB"/>
    <w:rsid w:val="55F86847"/>
    <w:rsid w:val="55F97623"/>
    <w:rsid w:val="56217B10"/>
    <w:rsid w:val="56394636"/>
    <w:rsid w:val="564718FB"/>
    <w:rsid w:val="564D42F2"/>
    <w:rsid w:val="565B4EAE"/>
    <w:rsid w:val="565F6532"/>
    <w:rsid w:val="5662423A"/>
    <w:rsid w:val="56647180"/>
    <w:rsid w:val="566E7783"/>
    <w:rsid w:val="56723AD9"/>
    <w:rsid w:val="567574D3"/>
    <w:rsid w:val="56853787"/>
    <w:rsid w:val="569128DB"/>
    <w:rsid w:val="56980CBC"/>
    <w:rsid w:val="56983D2A"/>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70F38FB"/>
    <w:rsid w:val="57265041"/>
    <w:rsid w:val="57317A2D"/>
    <w:rsid w:val="573343D5"/>
    <w:rsid w:val="57480C7E"/>
    <w:rsid w:val="574E044C"/>
    <w:rsid w:val="577919F1"/>
    <w:rsid w:val="57837719"/>
    <w:rsid w:val="578F06BB"/>
    <w:rsid w:val="578F77B5"/>
    <w:rsid w:val="579537F7"/>
    <w:rsid w:val="579C19DA"/>
    <w:rsid w:val="57AA72A2"/>
    <w:rsid w:val="57AD5472"/>
    <w:rsid w:val="57C14AD0"/>
    <w:rsid w:val="57C2283E"/>
    <w:rsid w:val="57CA10D2"/>
    <w:rsid w:val="57CD6833"/>
    <w:rsid w:val="57E120BC"/>
    <w:rsid w:val="57FD013B"/>
    <w:rsid w:val="57FF729E"/>
    <w:rsid w:val="58062E58"/>
    <w:rsid w:val="58106CA6"/>
    <w:rsid w:val="58130A39"/>
    <w:rsid w:val="5814199B"/>
    <w:rsid w:val="581553C8"/>
    <w:rsid w:val="58176D45"/>
    <w:rsid w:val="58207C92"/>
    <w:rsid w:val="58247D50"/>
    <w:rsid w:val="58381E6A"/>
    <w:rsid w:val="583C62B7"/>
    <w:rsid w:val="5848185C"/>
    <w:rsid w:val="584F7D5F"/>
    <w:rsid w:val="585B1210"/>
    <w:rsid w:val="585E5941"/>
    <w:rsid w:val="585E782A"/>
    <w:rsid w:val="58656967"/>
    <w:rsid w:val="587A37B8"/>
    <w:rsid w:val="587E014A"/>
    <w:rsid w:val="5887397A"/>
    <w:rsid w:val="588D33E6"/>
    <w:rsid w:val="589A7317"/>
    <w:rsid w:val="58A04617"/>
    <w:rsid w:val="58A545FC"/>
    <w:rsid w:val="58B038B4"/>
    <w:rsid w:val="58C42F9A"/>
    <w:rsid w:val="58C779E0"/>
    <w:rsid w:val="58CA623D"/>
    <w:rsid w:val="58E53FCB"/>
    <w:rsid w:val="58EA2C4B"/>
    <w:rsid w:val="58F10149"/>
    <w:rsid w:val="58F7366B"/>
    <w:rsid w:val="59004584"/>
    <w:rsid w:val="59042F7C"/>
    <w:rsid w:val="591050F0"/>
    <w:rsid w:val="592430C6"/>
    <w:rsid w:val="59264D2A"/>
    <w:rsid w:val="59402925"/>
    <w:rsid w:val="5940688D"/>
    <w:rsid w:val="59446117"/>
    <w:rsid w:val="594D0BDB"/>
    <w:rsid w:val="59592ED1"/>
    <w:rsid w:val="59610D60"/>
    <w:rsid w:val="59635C60"/>
    <w:rsid w:val="596541E5"/>
    <w:rsid w:val="596C0F43"/>
    <w:rsid w:val="596D77E3"/>
    <w:rsid w:val="59744FD4"/>
    <w:rsid w:val="599C00A2"/>
    <w:rsid w:val="599F418D"/>
    <w:rsid w:val="59A01770"/>
    <w:rsid w:val="59A86678"/>
    <w:rsid w:val="59AC47FE"/>
    <w:rsid w:val="59B23C9A"/>
    <w:rsid w:val="59B94819"/>
    <w:rsid w:val="59C84333"/>
    <w:rsid w:val="59DE28FC"/>
    <w:rsid w:val="59E05471"/>
    <w:rsid w:val="59EC3189"/>
    <w:rsid w:val="59EE5448"/>
    <w:rsid w:val="59F304B9"/>
    <w:rsid w:val="5A0229EB"/>
    <w:rsid w:val="5A06741F"/>
    <w:rsid w:val="5A0B34F7"/>
    <w:rsid w:val="5A0D5EFA"/>
    <w:rsid w:val="5A100BCE"/>
    <w:rsid w:val="5A100EB5"/>
    <w:rsid w:val="5A114CC0"/>
    <w:rsid w:val="5A1D7EF7"/>
    <w:rsid w:val="5A2815BE"/>
    <w:rsid w:val="5A2E3986"/>
    <w:rsid w:val="5A356DD6"/>
    <w:rsid w:val="5A382C39"/>
    <w:rsid w:val="5A3C0583"/>
    <w:rsid w:val="5A42051E"/>
    <w:rsid w:val="5A445430"/>
    <w:rsid w:val="5A4E0741"/>
    <w:rsid w:val="5A534FF7"/>
    <w:rsid w:val="5A6B2DA3"/>
    <w:rsid w:val="5A6D0771"/>
    <w:rsid w:val="5A6D2FB5"/>
    <w:rsid w:val="5A787E0A"/>
    <w:rsid w:val="5A8265BB"/>
    <w:rsid w:val="5A890355"/>
    <w:rsid w:val="5A9601DB"/>
    <w:rsid w:val="5AB16789"/>
    <w:rsid w:val="5AB80165"/>
    <w:rsid w:val="5AC616A0"/>
    <w:rsid w:val="5AD259D8"/>
    <w:rsid w:val="5AD97181"/>
    <w:rsid w:val="5AE218F8"/>
    <w:rsid w:val="5AEB60C3"/>
    <w:rsid w:val="5AF93E8D"/>
    <w:rsid w:val="5AFE2F42"/>
    <w:rsid w:val="5B036C0E"/>
    <w:rsid w:val="5B0A4061"/>
    <w:rsid w:val="5B0C5FBD"/>
    <w:rsid w:val="5B1B000A"/>
    <w:rsid w:val="5B1C6576"/>
    <w:rsid w:val="5B2100D5"/>
    <w:rsid w:val="5B2C792B"/>
    <w:rsid w:val="5B364D0C"/>
    <w:rsid w:val="5B4640CB"/>
    <w:rsid w:val="5B464B7E"/>
    <w:rsid w:val="5B4A13C2"/>
    <w:rsid w:val="5B6A2342"/>
    <w:rsid w:val="5B6E69CA"/>
    <w:rsid w:val="5B6F606C"/>
    <w:rsid w:val="5B710FC8"/>
    <w:rsid w:val="5B716D64"/>
    <w:rsid w:val="5B743C52"/>
    <w:rsid w:val="5B772B5D"/>
    <w:rsid w:val="5B7B067C"/>
    <w:rsid w:val="5B8453BF"/>
    <w:rsid w:val="5B890F47"/>
    <w:rsid w:val="5B9A3F92"/>
    <w:rsid w:val="5B9B465A"/>
    <w:rsid w:val="5B9E2B29"/>
    <w:rsid w:val="5BA036A9"/>
    <w:rsid w:val="5BA5170C"/>
    <w:rsid w:val="5BA861E5"/>
    <w:rsid w:val="5BAC7567"/>
    <w:rsid w:val="5BBE2742"/>
    <w:rsid w:val="5BC551D7"/>
    <w:rsid w:val="5BCF5FD7"/>
    <w:rsid w:val="5BD64CF3"/>
    <w:rsid w:val="5BD77AF6"/>
    <w:rsid w:val="5BFB2A09"/>
    <w:rsid w:val="5BFB638B"/>
    <w:rsid w:val="5C014C14"/>
    <w:rsid w:val="5C0F6CB9"/>
    <w:rsid w:val="5C16288F"/>
    <w:rsid w:val="5C207758"/>
    <w:rsid w:val="5C2969DD"/>
    <w:rsid w:val="5C334253"/>
    <w:rsid w:val="5C3613D5"/>
    <w:rsid w:val="5C517365"/>
    <w:rsid w:val="5C5A7340"/>
    <w:rsid w:val="5C617983"/>
    <w:rsid w:val="5C6F147B"/>
    <w:rsid w:val="5C764E25"/>
    <w:rsid w:val="5C7C3DBC"/>
    <w:rsid w:val="5C9763F1"/>
    <w:rsid w:val="5C9E7C2E"/>
    <w:rsid w:val="5CA15D23"/>
    <w:rsid w:val="5CAC4F60"/>
    <w:rsid w:val="5CAC5175"/>
    <w:rsid w:val="5CC334F6"/>
    <w:rsid w:val="5CC3793F"/>
    <w:rsid w:val="5CC61D78"/>
    <w:rsid w:val="5CCC07B0"/>
    <w:rsid w:val="5CD90705"/>
    <w:rsid w:val="5CE15E71"/>
    <w:rsid w:val="5CEB1B81"/>
    <w:rsid w:val="5CEC2D02"/>
    <w:rsid w:val="5CEE257E"/>
    <w:rsid w:val="5CF86D3C"/>
    <w:rsid w:val="5D0015BF"/>
    <w:rsid w:val="5D06031B"/>
    <w:rsid w:val="5D0C3DC7"/>
    <w:rsid w:val="5D193471"/>
    <w:rsid w:val="5D1E77D4"/>
    <w:rsid w:val="5D256FD3"/>
    <w:rsid w:val="5D3025FF"/>
    <w:rsid w:val="5D324075"/>
    <w:rsid w:val="5D3F4041"/>
    <w:rsid w:val="5D4261AF"/>
    <w:rsid w:val="5D4C134D"/>
    <w:rsid w:val="5D6111F2"/>
    <w:rsid w:val="5D6E6F86"/>
    <w:rsid w:val="5D77069D"/>
    <w:rsid w:val="5D83481E"/>
    <w:rsid w:val="5D8A3A67"/>
    <w:rsid w:val="5D9F4100"/>
    <w:rsid w:val="5DAD189A"/>
    <w:rsid w:val="5DB00D3B"/>
    <w:rsid w:val="5DC243DB"/>
    <w:rsid w:val="5DCF5FA1"/>
    <w:rsid w:val="5DD30236"/>
    <w:rsid w:val="5DDD7DB4"/>
    <w:rsid w:val="5DE72BB9"/>
    <w:rsid w:val="5DF17B97"/>
    <w:rsid w:val="5DFE49EE"/>
    <w:rsid w:val="5DFF737F"/>
    <w:rsid w:val="5E00208A"/>
    <w:rsid w:val="5E0A43F8"/>
    <w:rsid w:val="5E0C5298"/>
    <w:rsid w:val="5E1272FB"/>
    <w:rsid w:val="5E150433"/>
    <w:rsid w:val="5E1702B0"/>
    <w:rsid w:val="5E1C1670"/>
    <w:rsid w:val="5E232808"/>
    <w:rsid w:val="5E3B61F4"/>
    <w:rsid w:val="5E3D49CC"/>
    <w:rsid w:val="5E442AFD"/>
    <w:rsid w:val="5E4E152D"/>
    <w:rsid w:val="5E5100E1"/>
    <w:rsid w:val="5E532D1B"/>
    <w:rsid w:val="5E591204"/>
    <w:rsid w:val="5E6663C5"/>
    <w:rsid w:val="5E690D5E"/>
    <w:rsid w:val="5E746F2A"/>
    <w:rsid w:val="5E775B99"/>
    <w:rsid w:val="5E8D32BA"/>
    <w:rsid w:val="5EA93002"/>
    <w:rsid w:val="5EB13B1E"/>
    <w:rsid w:val="5EBA5148"/>
    <w:rsid w:val="5EBC21A5"/>
    <w:rsid w:val="5EC81CA5"/>
    <w:rsid w:val="5ECE6451"/>
    <w:rsid w:val="5ED460B2"/>
    <w:rsid w:val="5ED8022F"/>
    <w:rsid w:val="5ED91797"/>
    <w:rsid w:val="5EDF206B"/>
    <w:rsid w:val="5EEB40CF"/>
    <w:rsid w:val="5EF8260C"/>
    <w:rsid w:val="5EFC246C"/>
    <w:rsid w:val="5F061CD1"/>
    <w:rsid w:val="5F132FF0"/>
    <w:rsid w:val="5F1E30E5"/>
    <w:rsid w:val="5F296C7A"/>
    <w:rsid w:val="5F306901"/>
    <w:rsid w:val="5F377813"/>
    <w:rsid w:val="5F39549A"/>
    <w:rsid w:val="5F3D7AAC"/>
    <w:rsid w:val="5F4E354E"/>
    <w:rsid w:val="5F661D01"/>
    <w:rsid w:val="5F71439A"/>
    <w:rsid w:val="5F7BCED7"/>
    <w:rsid w:val="5F7F22C1"/>
    <w:rsid w:val="5F812EE3"/>
    <w:rsid w:val="5F8E39E6"/>
    <w:rsid w:val="5F922566"/>
    <w:rsid w:val="5F9A7B6B"/>
    <w:rsid w:val="5FA07CA1"/>
    <w:rsid w:val="5FAA70C2"/>
    <w:rsid w:val="5FAB1230"/>
    <w:rsid w:val="5FAE3BCD"/>
    <w:rsid w:val="5FB454E8"/>
    <w:rsid w:val="5FC376E3"/>
    <w:rsid w:val="5FC559AB"/>
    <w:rsid w:val="5FC876E1"/>
    <w:rsid w:val="5FCD0F39"/>
    <w:rsid w:val="5FD70898"/>
    <w:rsid w:val="5FDB1CEF"/>
    <w:rsid w:val="6000247B"/>
    <w:rsid w:val="60026C59"/>
    <w:rsid w:val="600D2427"/>
    <w:rsid w:val="601F0A73"/>
    <w:rsid w:val="60396256"/>
    <w:rsid w:val="604416A4"/>
    <w:rsid w:val="60465395"/>
    <w:rsid w:val="60477519"/>
    <w:rsid w:val="604A1623"/>
    <w:rsid w:val="60575B6D"/>
    <w:rsid w:val="606E2515"/>
    <w:rsid w:val="606E6BE4"/>
    <w:rsid w:val="607D6C21"/>
    <w:rsid w:val="6086096B"/>
    <w:rsid w:val="608C7161"/>
    <w:rsid w:val="60910B2A"/>
    <w:rsid w:val="609A1105"/>
    <w:rsid w:val="609D4872"/>
    <w:rsid w:val="60A95C74"/>
    <w:rsid w:val="60BB50C1"/>
    <w:rsid w:val="60C44D75"/>
    <w:rsid w:val="60C54619"/>
    <w:rsid w:val="60CC3323"/>
    <w:rsid w:val="60CE267F"/>
    <w:rsid w:val="60D115A4"/>
    <w:rsid w:val="60D35802"/>
    <w:rsid w:val="60E0624B"/>
    <w:rsid w:val="60E066C5"/>
    <w:rsid w:val="60E1532B"/>
    <w:rsid w:val="60E42908"/>
    <w:rsid w:val="60EB1E1F"/>
    <w:rsid w:val="60EC1F9E"/>
    <w:rsid w:val="60F0283F"/>
    <w:rsid w:val="610067DF"/>
    <w:rsid w:val="610805B6"/>
    <w:rsid w:val="61105C30"/>
    <w:rsid w:val="61114DB3"/>
    <w:rsid w:val="61154AB0"/>
    <w:rsid w:val="611B075B"/>
    <w:rsid w:val="611C0A48"/>
    <w:rsid w:val="61202836"/>
    <w:rsid w:val="612C1086"/>
    <w:rsid w:val="61330DFC"/>
    <w:rsid w:val="613A76B5"/>
    <w:rsid w:val="613E7918"/>
    <w:rsid w:val="61420DBB"/>
    <w:rsid w:val="61443667"/>
    <w:rsid w:val="61452033"/>
    <w:rsid w:val="6148394B"/>
    <w:rsid w:val="614A6ACB"/>
    <w:rsid w:val="61512A94"/>
    <w:rsid w:val="616630C6"/>
    <w:rsid w:val="61665F39"/>
    <w:rsid w:val="616B0236"/>
    <w:rsid w:val="617B16A8"/>
    <w:rsid w:val="619028A6"/>
    <w:rsid w:val="61943E48"/>
    <w:rsid w:val="61A82072"/>
    <w:rsid w:val="61B0024D"/>
    <w:rsid w:val="61B22B22"/>
    <w:rsid w:val="61BC65D1"/>
    <w:rsid w:val="61C675E9"/>
    <w:rsid w:val="61CB5C30"/>
    <w:rsid w:val="61D35271"/>
    <w:rsid w:val="61D758F4"/>
    <w:rsid w:val="61D80FC7"/>
    <w:rsid w:val="61E33148"/>
    <w:rsid w:val="61EB1D46"/>
    <w:rsid w:val="61FF1DCD"/>
    <w:rsid w:val="62015D11"/>
    <w:rsid w:val="620F5E0E"/>
    <w:rsid w:val="6215352D"/>
    <w:rsid w:val="621619FB"/>
    <w:rsid w:val="622324D6"/>
    <w:rsid w:val="62246687"/>
    <w:rsid w:val="62264FF6"/>
    <w:rsid w:val="62355ABE"/>
    <w:rsid w:val="625379F3"/>
    <w:rsid w:val="62546789"/>
    <w:rsid w:val="625F1916"/>
    <w:rsid w:val="626058A9"/>
    <w:rsid w:val="627002FC"/>
    <w:rsid w:val="627A4079"/>
    <w:rsid w:val="629B46A2"/>
    <w:rsid w:val="62AC2443"/>
    <w:rsid w:val="62B0741E"/>
    <w:rsid w:val="62B91FBD"/>
    <w:rsid w:val="62BE7C14"/>
    <w:rsid w:val="62C165DD"/>
    <w:rsid w:val="62C659BD"/>
    <w:rsid w:val="62CB7263"/>
    <w:rsid w:val="62D11B87"/>
    <w:rsid w:val="62DA0E37"/>
    <w:rsid w:val="62DB4EDF"/>
    <w:rsid w:val="62DD1B78"/>
    <w:rsid w:val="62DE182A"/>
    <w:rsid w:val="62E32931"/>
    <w:rsid w:val="62E609AF"/>
    <w:rsid w:val="62EE2350"/>
    <w:rsid w:val="62F62D17"/>
    <w:rsid w:val="63076198"/>
    <w:rsid w:val="63197191"/>
    <w:rsid w:val="632F1AEC"/>
    <w:rsid w:val="6332257C"/>
    <w:rsid w:val="633D269D"/>
    <w:rsid w:val="633F7B08"/>
    <w:rsid w:val="63534332"/>
    <w:rsid w:val="635C2933"/>
    <w:rsid w:val="635C3D24"/>
    <w:rsid w:val="635E2BE0"/>
    <w:rsid w:val="63636EB0"/>
    <w:rsid w:val="636C3444"/>
    <w:rsid w:val="63777076"/>
    <w:rsid w:val="6379766A"/>
    <w:rsid w:val="637E241F"/>
    <w:rsid w:val="63836FE7"/>
    <w:rsid w:val="63840FA0"/>
    <w:rsid w:val="63896440"/>
    <w:rsid w:val="63907C89"/>
    <w:rsid w:val="6398788F"/>
    <w:rsid w:val="63A07392"/>
    <w:rsid w:val="63A15013"/>
    <w:rsid w:val="63A71D99"/>
    <w:rsid w:val="63A857C6"/>
    <w:rsid w:val="63B87FF7"/>
    <w:rsid w:val="63C079C8"/>
    <w:rsid w:val="63C41718"/>
    <w:rsid w:val="63C50CA4"/>
    <w:rsid w:val="63D53F5A"/>
    <w:rsid w:val="63DA198A"/>
    <w:rsid w:val="63EC42CE"/>
    <w:rsid w:val="63F26395"/>
    <w:rsid w:val="63FB6398"/>
    <w:rsid w:val="63FD3C8B"/>
    <w:rsid w:val="63FE2017"/>
    <w:rsid w:val="64086BE0"/>
    <w:rsid w:val="640E1042"/>
    <w:rsid w:val="64103871"/>
    <w:rsid w:val="64210CCB"/>
    <w:rsid w:val="64414AEB"/>
    <w:rsid w:val="6446311F"/>
    <w:rsid w:val="6449081E"/>
    <w:rsid w:val="644D16E1"/>
    <w:rsid w:val="6455400F"/>
    <w:rsid w:val="64572E6D"/>
    <w:rsid w:val="64593DFA"/>
    <w:rsid w:val="645B1206"/>
    <w:rsid w:val="645E5D2E"/>
    <w:rsid w:val="646D06C4"/>
    <w:rsid w:val="646E2EB8"/>
    <w:rsid w:val="647E7E08"/>
    <w:rsid w:val="64830F69"/>
    <w:rsid w:val="64931F11"/>
    <w:rsid w:val="649A0ABA"/>
    <w:rsid w:val="64AB6DAD"/>
    <w:rsid w:val="64AC1F09"/>
    <w:rsid w:val="64AC4B27"/>
    <w:rsid w:val="64AF3FF1"/>
    <w:rsid w:val="64B23CB6"/>
    <w:rsid w:val="64BC17BB"/>
    <w:rsid w:val="64BD2338"/>
    <w:rsid w:val="64C4071B"/>
    <w:rsid w:val="64C427EC"/>
    <w:rsid w:val="64C6511B"/>
    <w:rsid w:val="64D77EEC"/>
    <w:rsid w:val="64DA391C"/>
    <w:rsid w:val="64F1178E"/>
    <w:rsid w:val="64FC5F3B"/>
    <w:rsid w:val="650C3FBF"/>
    <w:rsid w:val="65111636"/>
    <w:rsid w:val="651D0BB5"/>
    <w:rsid w:val="652C1CD6"/>
    <w:rsid w:val="652D1935"/>
    <w:rsid w:val="65404114"/>
    <w:rsid w:val="655532F7"/>
    <w:rsid w:val="65783306"/>
    <w:rsid w:val="657866C4"/>
    <w:rsid w:val="658247E4"/>
    <w:rsid w:val="65827F06"/>
    <w:rsid w:val="658C75DF"/>
    <w:rsid w:val="659770B8"/>
    <w:rsid w:val="659C3613"/>
    <w:rsid w:val="659D195E"/>
    <w:rsid w:val="659F0550"/>
    <w:rsid w:val="65A37DBC"/>
    <w:rsid w:val="65AB71D2"/>
    <w:rsid w:val="65AD3140"/>
    <w:rsid w:val="65B17851"/>
    <w:rsid w:val="65B540D9"/>
    <w:rsid w:val="65C1767E"/>
    <w:rsid w:val="65D122BF"/>
    <w:rsid w:val="65D57E0E"/>
    <w:rsid w:val="65D61B1A"/>
    <w:rsid w:val="65D7651B"/>
    <w:rsid w:val="65E3601A"/>
    <w:rsid w:val="65E62ED8"/>
    <w:rsid w:val="65E816C2"/>
    <w:rsid w:val="65EB6C6F"/>
    <w:rsid w:val="65F10948"/>
    <w:rsid w:val="65F35F04"/>
    <w:rsid w:val="6601485A"/>
    <w:rsid w:val="66046B4E"/>
    <w:rsid w:val="6607117A"/>
    <w:rsid w:val="6615758F"/>
    <w:rsid w:val="66196ECC"/>
    <w:rsid w:val="66200F58"/>
    <w:rsid w:val="66272E52"/>
    <w:rsid w:val="663E460A"/>
    <w:rsid w:val="6657159A"/>
    <w:rsid w:val="665D343F"/>
    <w:rsid w:val="66644753"/>
    <w:rsid w:val="66694836"/>
    <w:rsid w:val="666E4B39"/>
    <w:rsid w:val="66727DB4"/>
    <w:rsid w:val="66760BD7"/>
    <w:rsid w:val="66770C98"/>
    <w:rsid w:val="66782D0F"/>
    <w:rsid w:val="669361A9"/>
    <w:rsid w:val="669E28FB"/>
    <w:rsid w:val="66A3333B"/>
    <w:rsid w:val="66A43DB4"/>
    <w:rsid w:val="66A71C88"/>
    <w:rsid w:val="66E73E8A"/>
    <w:rsid w:val="66EE6FD6"/>
    <w:rsid w:val="6701175A"/>
    <w:rsid w:val="6703713B"/>
    <w:rsid w:val="670F2CA0"/>
    <w:rsid w:val="671F4472"/>
    <w:rsid w:val="67257173"/>
    <w:rsid w:val="672F1E85"/>
    <w:rsid w:val="675C3547"/>
    <w:rsid w:val="676736B6"/>
    <w:rsid w:val="67703AE6"/>
    <w:rsid w:val="67714005"/>
    <w:rsid w:val="677364EC"/>
    <w:rsid w:val="67750ABD"/>
    <w:rsid w:val="678122F4"/>
    <w:rsid w:val="678D34E0"/>
    <w:rsid w:val="678D736E"/>
    <w:rsid w:val="678E2725"/>
    <w:rsid w:val="679B08DF"/>
    <w:rsid w:val="67A40605"/>
    <w:rsid w:val="67A7026C"/>
    <w:rsid w:val="67CF0021"/>
    <w:rsid w:val="67D742CB"/>
    <w:rsid w:val="67DE0D83"/>
    <w:rsid w:val="67DF1078"/>
    <w:rsid w:val="67EC7DE2"/>
    <w:rsid w:val="67EF03F0"/>
    <w:rsid w:val="67F85E08"/>
    <w:rsid w:val="67FD29F7"/>
    <w:rsid w:val="68027B8F"/>
    <w:rsid w:val="680728BA"/>
    <w:rsid w:val="680817AE"/>
    <w:rsid w:val="681E0A58"/>
    <w:rsid w:val="68206398"/>
    <w:rsid w:val="682279B0"/>
    <w:rsid w:val="68231AA6"/>
    <w:rsid w:val="6832387B"/>
    <w:rsid w:val="683B523E"/>
    <w:rsid w:val="684405CC"/>
    <w:rsid w:val="68496D13"/>
    <w:rsid w:val="68503BF2"/>
    <w:rsid w:val="685066A3"/>
    <w:rsid w:val="68513875"/>
    <w:rsid w:val="68541203"/>
    <w:rsid w:val="68692696"/>
    <w:rsid w:val="688C6CCB"/>
    <w:rsid w:val="688D2B33"/>
    <w:rsid w:val="689C79FC"/>
    <w:rsid w:val="689D6171"/>
    <w:rsid w:val="689E075E"/>
    <w:rsid w:val="68A70438"/>
    <w:rsid w:val="68A87DD3"/>
    <w:rsid w:val="68AA72DB"/>
    <w:rsid w:val="68AD4BCE"/>
    <w:rsid w:val="68CC3DE0"/>
    <w:rsid w:val="68D62923"/>
    <w:rsid w:val="68E324DC"/>
    <w:rsid w:val="68E343C2"/>
    <w:rsid w:val="68F6776E"/>
    <w:rsid w:val="69004F74"/>
    <w:rsid w:val="69061BEF"/>
    <w:rsid w:val="690A2A6D"/>
    <w:rsid w:val="69142C71"/>
    <w:rsid w:val="69172F0A"/>
    <w:rsid w:val="69214729"/>
    <w:rsid w:val="6922067B"/>
    <w:rsid w:val="69321A61"/>
    <w:rsid w:val="694A4E99"/>
    <w:rsid w:val="69520496"/>
    <w:rsid w:val="695C6610"/>
    <w:rsid w:val="696449B4"/>
    <w:rsid w:val="69695B9C"/>
    <w:rsid w:val="696A640D"/>
    <w:rsid w:val="696C2BC7"/>
    <w:rsid w:val="696E4943"/>
    <w:rsid w:val="697164A6"/>
    <w:rsid w:val="69792ADF"/>
    <w:rsid w:val="69997176"/>
    <w:rsid w:val="699A2A0E"/>
    <w:rsid w:val="699C354E"/>
    <w:rsid w:val="69A311FE"/>
    <w:rsid w:val="69B311E0"/>
    <w:rsid w:val="69C92579"/>
    <w:rsid w:val="69CB25F8"/>
    <w:rsid w:val="69D503B0"/>
    <w:rsid w:val="69DF1C8C"/>
    <w:rsid w:val="69E42E40"/>
    <w:rsid w:val="69E9611D"/>
    <w:rsid w:val="69F149EA"/>
    <w:rsid w:val="69F70C0B"/>
    <w:rsid w:val="69FE5BB5"/>
    <w:rsid w:val="6A0C66E5"/>
    <w:rsid w:val="6A137278"/>
    <w:rsid w:val="6A15629A"/>
    <w:rsid w:val="6A1B4786"/>
    <w:rsid w:val="6A25691C"/>
    <w:rsid w:val="6A294057"/>
    <w:rsid w:val="6A2E0A72"/>
    <w:rsid w:val="6A2E45BB"/>
    <w:rsid w:val="6A362A0F"/>
    <w:rsid w:val="6A377507"/>
    <w:rsid w:val="6A55282D"/>
    <w:rsid w:val="6A602333"/>
    <w:rsid w:val="6A6447E5"/>
    <w:rsid w:val="6A76433A"/>
    <w:rsid w:val="6A7A4451"/>
    <w:rsid w:val="6A7D22D8"/>
    <w:rsid w:val="6A81547A"/>
    <w:rsid w:val="6A917936"/>
    <w:rsid w:val="6A930F1A"/>
    <w:rsid w:val="6A9339C4"/>
    <w:rsid w:val="6A94212E"/>
    <w:rsid w:val="6A9D0F09"/>
    <w:rsid w:val="6AAF7B96"/>
    <w:rsid w:val="6AB271BF"/>
    <w:rsid w:val="6AB303A3"/>
    <w:rsid w:val="6AB44861"/>
    <w:rsid w:val="6AB978A5"/>
    <w:rsid w:val="6ACF11A8"/>
    <w:rsid w:val="6AD47CD9"/>
    <w:rsid w:val="6ADA325C"/>
    <w:rsid w:val="6ADD01AA"/>
    <w:rsid w:val="6AF25534"/>
    <w:rsid w:val="6AF76936"/>
    <w:rsid w:val="6AF9322F"/>
    <w:rsid w:val="6AFB08D2"/>
    <w:rsid w:val="6B0344BB"/>
    <w:rsid w:val="6B0530ED"/>
    <w:rsid w:val="6B277907"/>
    <w:rsid w:val="6B296584"/>
    <w:rsid w:val="6B322D81"/>
    <w:rsid w:val="6B340849"/>
    <w:rsid w:val="6B3928B6"/>
    <w:rsid w:val="6B462CE0"/>
    <w:rsid w:val="6B4F273B"/>
    <w:rsid w:val="6B514E1B"/>
    <w:rsid w:val="6B577EAB"/>
    <w:rsid w:val="6B6432ED"/>
    <w:rsid w:val="6B785296"/>
    <w:rsid w:val="6B786F8B"/>
    <w:rsid w:val="6B866978"/>
    <w:rsid w:val="6B891E19"/>
    <w:rsid w:val="6B8F2018"/>
    <w:rsid w:val="6B941FCC"/>
    <w:rsid w:val="6B9D3663"/>
    <w:rsid w:val="6B9E2231"/>
    <w:rsid w:val="6BA935C4"/>
    <w:rsid w:val="6BB601F3"/>
    <w:rsid w:val="6BBD384A"/>
    <w:rsid w:val="6BC43F1F"/>
    <w:rsid w:val="6BC6761F"/>
    <w:rsid w:val="6BC91D6E"/>
    <w:rsid w:val="6BD839B0"/>
    <w:rsid w:val="6BDB5C94"/>
    <w:rsid w:val="6BDB6090"/>
    <w:rsid w:val="6BDC1899"/>
    <w:rsid w:val="6BE42896"/>
    <w:rsid w:val="6BED3CC8"/>
    <w:rsid w:val="6BF07518"/>
    <w:rsid w:val="6BF91AB4"/>
    <w:rsid w:val="6C040C2B"/>
    <w:rsid w:val="6C046802"/>
    <w:rsid w:val="6C122656"/>
    <w:rsid w:val="6C1B696A"/>
    <w:rsid w:val="6C285280"/>
    <w:rsid w:val="6C2B4CD0"/>
    <w:rsid w:val="6C394A87"/>
    <w:rsid w:val="6C396A79"/>
    <w:rsid w:val="6C3B6833"/>
    <w:rsid w:val="6C3E677A"/>
    <w:rsid w:val="6C4F610C"/>
    <w:rsid w:val="6C7B5E0B"/>
    <w:rsid w:val="6C7F69A8"/>
    <w:rsid w:val="6C8456D5"/>
    <w:rsid w:val="6C8E5586"/>
    <w:rsid w:val="6C9C4FB4"/>
    <w:rsid w:val="6C9E52CA"/>
    <w:rsid w:val="6CA21347"/>
    <w:rsid w:val="6CAC757A"/>
    <w:rsid w:val="6CB12C8C"/>
    <w:rsid w:val="6CB32FFA"/>
    <w:rsid w:val="6CB973DE"/>
    <w:rsid w:val="6CC3557E"/>
    <w:rsid w:val="6CC96B43"/>
    <w:rsid w:val="6CD86545"/>
    <w:rsid w:val="6CDE1346"/>
    <w:rsid w:val="6CEA65C7"/>
    <w:rsid w:val="6CEB4A4A"/>
    <w:rsid w:val="6CF648CC"/>
    <w:rsid w:val="6D0336F9"/>
    <w:rsid w:val="6D037407"/>
    <w:rsid w:val="6D056FFD"/>
    <w:rsid w:val="6D064EC8"/>
    <w:rsid w:val="6D24745D"/>
    <w:rsid w:val="6D260C96"/>
    <w:rsid w:val="6D36300F"/>
    <w:rsid w:val="6D413F66"/>
    <w:rsid w:val="6D434685"/>
    <w:rsid w:val="6D4836EB"/>
    <w:rsid w:val="6D680F99"/>
    <w:rsid w:val="6D6F0E9F"/>
    <w:rsid w:val="6D6F764D"/>
    <w:rsid w:val="6D872517"/>
    <w:rsid w:val="6D9F0301"/>
    <w:rsid w:val="6DB678CB"/>
    <w:rsid w:val="6DBD23B8"/>
    <w:rsid w:val="6DC242FF"/>
    <w:rsid w:val="6DC30087"/>
    <w:rsid w:val="6DDF30E4"/>
    <w:rsid w:val="6DEC597F"/>
    <w:rsid w:val="6DF450FF"/>
    <w:rsid w:val="6DF46255"/>
    <w:rsid w:val="6DFC5EAD"/>
    <w:rsid w:val="6DFD7CD4"/>
    <w:rsid w:val="6E1A4D22"/>
    <w:rsid w:val="6E282A37"/>
    <w:rsid w:val="6E2C0D58"/>
    <w:rsid w:val="6E2D02DD"/>
    <w:rsid w:val="6E2E476A"/>
    <w:rsid w:val="6E37612F"/>
    <w:rsid w:val="6E4C5B50"/>
    <w:rsid w:val="6E642863"/>
    <w:rsid w:val="6E6D7CE0"/>
    <w:rsid w:val="6E923D3F"/>
    <w:rsid w:val="6EA16762"/>
    <w:rsid w:val="6EA36ACE"/>
    <w:rsid w:val="6EAF0BF3"/>
    <w:rsid w:val="6EB02F99"/>
    <w:rsid w:val="6EBE1A41"/>
    <w:rsid w:val="6EC0731A"/>
    <w:rsid w:val="6EC201A9"/>
    <w:rsid w:val="6EC529FD"/>
    <w:rsid w:val="6EF07EC9"/>
    <w:rsid w:val="6EFB632C"/>
    <w:rsid w:val="6F0714A5"/>
    <w:rsid w:val="6F0E30D9"/>
    <w:rsid w:val="6F183C2E"/>
    <w:rsid w:val="6F1A7F51"/>
    <w:rsid w:val="6F264D12"/>
    <w:rsid w:val="6F290204"/>
    <w:rsid w:val="6F2C7DCC"/>
    <w:rsid w:val="6F2D30A9"/>
    <w:rsid w:val="6F322600"/>
    <w:rsid w:val="6F3327D0"/>
    <w:rsid w:val="6F33787F"/>
    <w:rsid w:val="6F345DA1"/>
    <w:rsid w:val="6F35675E"/>
    <w:rsid w:val="6F435BBB"/>
    <w:rsid w:val="6F45623B"/>
    <w:rsid w:val="6F460A3C"/>
    <w:rsid w:val="6F461E62"/>
    <w:rsid w:val="6F4A0249"/>
    <w:rsid w:val="6F5233AC"/>
    <w:rsid w:val="6F536E13"/>
    <w:rsid w:val="6F7D735D"/>
    <w:rsid w:val="6F7F634F"/>
    <w:rsid w:val="6F817ABF"/>
    <w:rsid w:val="6F852C45"/>
    <w:rsid w:val="6F861E4D"/>
    <w:rsid w:val="6F9B66B7"/>
    <w:rsid w:val="6F9F2391"/>
    <w:rsid w:val="6FAF7B43"/>
    <w:rsid w:val="6FB552C1"/>
    <w:rsid w:val="6FB813DA"/>
    <w:rsid w:val="6FBD2CF9"/>
    <w:rsid w:val="6FC43F33"/>
    <w:rsid w:val="6FCA5E05"/>
    <w:rsid w:val="6FD511D2"/>
    <w:rsid w:val="6FF87E02"/>
    <w:rsid w:val="6FFE0C27"/>
    <w:rsid w:val="6FFE1FB6"/>
    <w:rsid w:val="6FFE8C61"/>
    <w:rsid w:val="6FFF1D0E"/>
    <w:rsid w:val="70023EF4"/>
    <w:rsid w:val="700C0DDB"/>
    <w:rsid w:val="700C30E5"/>
    <w:rsid w:val="701266E6"/>
    <w:rsid w:val="70234C2A"/>
    <w:rsid w:val="702E6608"/>
    <w:rsid w:val="7031537B"/>
    <w:rsid w:val="7035627A"/>
    <w:rsid w:val="703774A1"/>
    <w:rsid w:val="703C60B0"/>
    <w:rsid w:val="7049004D"/>
    <w:rsid w:val="704D6F6E"/>
    <w:rsid w:val="704E6356"/>
    <w:rsid w:val="70536C3C"/>
    <w:rsid w:val="705B5C8B"/>
    <w:rsid w:val="706106E9"/>
    <w:rsid w:val="706C21D0"/>
    <w:rsid w:val="706F6846"/>
    <w:rsid w:val="70716992"/>
    <w:rsid w:val="70816334"/>
    <w:rsid w:val="709A06F7"/>
    <w:rsid w:val="709C5A9C"/>
    <w:rsid w:val="709F599B"/>
    <w:rsid w:val="70A02966"/>
    <w:rsid w:val="70A316C1"/>
    <w:rsid w:val="70A64BAB"/>
    <w:rsid w:val="70A72179"/>
    <w:rsid w:val="70B369E3"/>
    <w:rsid w:val="70BF18F1"/>
    <w:rsid w:val="70C44BE7"/>
    <w:rsid w:val="70C65C06"/>
    <w:rsid w:val="70C942BC"/>
    <w:rsid w:val="70CE1848"/>
    <w:rsid w:val="70D94197"/>
    <w:rsid w:val="70EC3566"/>
    <w:rsid w:val="70F43CF9"/>
    <w:rsid w:val="70FF6A13"/>
    <w:rsid w:val="7115523A"/>
    <w:rsid w:val="711B525A"/>
    <w:rsid w:val="712D47C3"/>
    <w:rsid w:val="712E0FDD"/>
    <w:rsid w:val="7133503F"/>
    <w:rsid w:val="7138443C"/>
    <w:rsid w:val="713C3926"/>
    <w:rsid w:val="71495716"/>
    <w:rsid w:val="715E10D1"/>
    <w:rsid w:val="716B13F9"/>
    <w:rsid w:val="716B6DA7"/>
    <w:rsid w:val="7170132E"/>
    <w:rsid w:val="717F6036"/>
    <w:rsid w:val="718423DB"/>
    <w:rsid w:val="71A102E1"/>
    <w:rsid w:val="71A62743"/>
    <w:rsid w:val="71AB0D49"/>
    <w:rsid w:val="71B11300"/>
    <w:rsid w:val="71B41465"/>
    <w:rsid w:val="71BC7EA6"/>
    <w:rsid w:val="71C52FA3"/>
    <w:rsid w:val="71C54CF1"/>
    <w:rsid w:val="71C8300F"/>
    <w:rsid w:val="71C903BF"/>
    <w:rsid w:val="71C94930"/>
    <w:rsid w:val="71DD3962"/>
    <w:rsid w:val="71F540EF"/>
    <w:rsid w:val="71FE397F"/>
    <w:rsid w:val="71FF7992"/>
    <w:rsid w:val="72107D9F"/>
    <w:rsid w:val="72122369"/>
    <w:rsid w:val="721643D1"/>
    <w:rsid w:val="72263B15"/>
    <w:rsid w:val="72402198"/>
    <w:rsid w:val="72412528"/>
    <w:rsid w:val="724128C6"/>
    <w:rsid w:val="724441A8"/>
    <w:rsid w:val="724D02ED"/>
    <w:rsid w:val="724F0348"/>
    <w:rsid w:val="72595B49"/>
    <w:rsid w:val="726F6D5C"/>
    <w:rsid w:val="7275483D"/>
    <w:rsid w:val="72765C32"/>
    <w:rsid w:val="728E5B8B"/>
    <w:rsid w:val="72906E04"/>
    <w:rsid w:val="729F1235"/>
    <w:rsid w:val="729F77E1"/>
    <w:rsid w:val="72A102BB"/>
    <w:rsid w:val="72B410C8"/>
    <w:rsid w:val="72B478D1"/>
    <w:rsid w:val="72B47B95"/>
    <w:rsid w:val="72B53423"/>
    <w:rsid w:val="72BF79CF"/>
    <w:rsid w:val="72C7434F"/>
    <w:rsid w:val="72DE2745"/>
    <w:rsid w:val="72E054B1"/>
    <w:rsid w:val="72E104EE"/>
    <w:rsid w:val="72E607CB"/>
    <w:rsid w:val="72E824FD"/>
    <w:rsid w:val="72EA4FFC"/>
    <w:rsid w:val="72FE7918"/>
    <w:rsid w:val="73047A73"/>
    <w:rsid w:val="73114E7C"/>
    <w:rsid w:val="73156D94"/>
    <w:rsid w:val="7318429A"/>
    <w:rsid w:val="732B2982"/>
    <w:rsid w:val="732D5CDB"/>
    <w:rsid w:val="73334648"/>
    <w:rsid w:val="734D4252"/>
    <w:rsid w:val="73555484"/>
    <w:rsid w:val="736562BD"/>
    <w:rsid w:val="737B6E01"/>
    <w:rsid w:val="738B68E0"/>
    <w:rsid w:val="738D3F2F"/>
    <w:rsid w:val="7391660C"/>
    <w:rsid w:val="739E52C3"/>
    <w:rsid w:val="73A45FC4"/>
    <w:rsid w:val="73AA6454"/>
    <w:rsid w:val="73AB73FF"/>
    <w:rsid w:val="73BA22CA"/>
    <w:rsid w:val="73C26A0C"/>
    <w:rsid w:val="73CE552C"/>
    <w:rsid w:val="73DA682A"/>
    <w:rsid w:val="73F50B4E"/>
    <w:rsid w:val="74196000"/>
    <w:rsid w:val="7425633E"/>
    <w:rsid w:val="7427607C"/>
    <w:rsid w:val="744228E5"/>
    <w:rsid w:val="74433E84"/>
    <w:rsid w:val="74586E75"/>
    <w:rsid w:val="746077C0"/>
    <w:rsid w:val="747A4689"/>
    <w:rsid w:val="748616D3"/>
    <w:rsid w:val="749909AF"/>
    <w:rsid w:val="74A04908"/>
    <w:rsid w:val="74A940DE"/>
    <w:rsid w:val="74AC43EA"/>
    <w:rsid w:val="74B72E19"/>
    <w:rsid w:val="74BA5741"/>
    <w:rsid w:val="74C462AD"/>
    <w:rsid w:val="74C46333"/>
    <w:rsid w:val="74C9141D"/>
    <w:rsid w:val="74DA056B"/>
    <w:rsid w:val="74EA4752"/>
    <w:rsid w:val="74EA6CC5"/>
    <w:rsid w:val="74EE476F"/>
    <w:rsid w:val="74F6547D"/>
    <w:rsid w:val="74FA1A86"/>
    <w:rsid w:val="750C07C0"/>
    <w:rsid w:val="750E7294"/>
    <w:rsid w:val="75120509"/>
    <w:rsid w:val="7512566A"/>
    <w:rsid w:val="75150800"/>
    <w:rsid w:val="75201419"/>
    <w:rsid w:val="75235EAD"/>
    <w:rsid w:val="752524C3"/>
    <w:rsid w:val="752A4FEA"/>
    <w:rsid w:val="752E62B7"/>
    <w:rsid w:val="753303E3"/>
    <w:rsid w:val="75342C09"/>
    <w:rsid w:val="753A14EF"/>
    <w:rsid w:val="753F5B1E"/>
    <w:rsid w:val="75467961"/>
    <w:rsid w:val="754B6E0B"/>
    <w:rsid w:val="7563093F"/>
    <w:rsid w:val="75632990"/>
    <w:rsid w:val="7567515E"/>
    <w:rsid w:val="75733B41"/>
    <w:rsid w:val="758C63AD"/>
    <w:rsid w:val="7590597C"/>
    <w:rsid w:val="759A1FF9"/>
    <w:rsid w:val="75A05D4D"/>
    <w:rsid w:val="75AE311E"/>
    <w:rsid w:val="75BB6264"/>
    <w:rsid w:val="75F24E3F"/>
    <w:rsid w:val="75FE013E"/>
    <w:rsid w:val="75FF853F"/>
    <w:rsid w:val="76051E1C"/>
    <w:rsid w:val="76066D64"/>
    <w:rsid w:val="76073E2F"/>
    <w:rsid w:val="760A5457"/>
    <w:rsid w:val="761C35EB"/>
    <w:rsid w:val="761D10F5"/>
    <w:rsid w:val="76206BF8"/>
    <w:rsid w:val="76217E36"/>
    <w:rsid w:val="762348EF"/>
    <w:rsid w:val="763358B6"/>
    <w:rsid w:val="763D14D8"/>
    <w:rsid w:val="764351DD"/>
    <w:rsid w:val="764470CE"/>
    <w:rsid w:val="764D5B5A"/>
    <w:rsid w:val="76632F71"/>
    <w:rsid w:val="76667CCC"/>
    <w:rsid w:val="7668739C"/>
    <w:rsid w:val="76706ECF"/>
    <w:rsid w:val="767D62A9"/>
    <w:rsid w:val="7684222B"/>
    <w:rsid w:val="7690759B"/>
    <w:rsid w:val="76914810"/>
    <w:rsid w:val="76A044CE"/>
    <w:rsid w:val="76A06605"/>
    <w:rsid w:val="76AA10FD"/>
    <w:rsid w:val="76BB1322"/>
    <w:rsid w:val="76CE1B1D"/>
    <w:rsid w:val="76D0048F"/>
    <w:rsid w:val="76D222A7"/>
    <w:rsid w:val="76D57902"/>
    <w:rsid w:val="76DB2223"/>
    <w:rsid w:val="76E625D6"/>
    <w:rsid w:val="76EE647F"/>
    <w:rsid w:val="77081635"/>
    <w:rsid w:val="770A0FA4"/>
    <w:rsid w:val="770C0F88"/>
    <w:rsid w:val="77127D5F"/>
    <w:rsid w:val="771C2CB9"/>
    <w:rsid w:val="77223989"/>
    <w:rsid w:val="772445FD"/>
    <w:rsid w:val="772A243C"/>
    <w:rsid w:val="77334555"/>
    <w:rsid w:val="773E41EC"/>
    <w:rsid w:val="775F7ED4"/>
    <w:rsid w:val="77602396"/>
    <w:rsid w:val="776216AC"/>
    <w:rsid w:val="77660E84"/>
    <w:rsid w:val="777109FF"/>
    <w:rsid w:val="7774505B"/>
    <w:rsid w:val="777520F0"/>
    <w:rsid w:val="77790B86"/>
    <w:rsid w:val="77865529"/>
    <w:rsid w:val="77A05409"/>
    <w:rsid w:val="77A116E4"/>
    <w:rsid w:val="77A14537"/>
    <w:rsid w:val="77A25E80"/>
    <w:rsid w:val="77AA0850"/>
    <w:rsid w:val="77AF7330"/>
    <w:rsid w:val="77BC3C32"/>
    <w:rsid w:val="77BC6EFE"/>
    <w:rsid w:val="77C849D9"/>
    <w:rsid w:val="77CE5F93"/>
    <w:rsid w:val="77D74233"/>
    <w:rsid w:val="77D873B8"/>
    <w:rsid w:val="77DA4B43"/>
    <w:rsid w:val="77E63BD8"/>
    <w:rsid w:val="77EC5DEC"/>
    <w:rsid w:val="77F01F4F"/>
    <w:rsid w:val="77F3388A"/>
    <w:rsid w:val="77F8507F"/>
    <w:rsid w:val="78024CAA"/>
    <w:rsid w:val="780E1489"/>
    <w:rsid w:val="78107604"/>
    <w:rsid w:val="78192C2A"/>
    <w:rsid w:val="782E7B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5277E"/>
    <w:rsid w:val="78B91E23"/>
    <w:rsid w:val="78BA7E4F"/>
    <w:rsid w:val="78D179BD"/>
    <w:rsid w:val="78DC157F"/>
    <w:rsid w:val="78F70794"/>
    <w:rsid w:val="78FE1436"/>
    <w:rsid w:val="78FF5ADA"/>
    <w:rsid w:val="790067FB"/>
    <w:rsid w:val="790615DD"/>
    <w:rsid w:val="790B19DC"/>
    <w:rsid w:val="7910114E"/>
    <w:rsid w:val="791909DD"/>
    <w:rsid w:val="7919794D"/>
    <w:rsid w:val="79353CEE"/>
    <w:rsid w:val="793762C5"/>
    <w:rsid w:val="793A424B"/>
    <w:rsid w:val="793B32B4"/>
    <w:rsid w:val="79475B93"/>
    <w:rsid w:val="79660D5F"/>
    <w:rsid w:val="79666829"/>
    <w:rsid w:val="796B7191"/>
    <w:rsid w:val="796F0574"/>
    <w:rsid w:val="7977118B"/>
    <w:rsid w:val="797B664A"/>
    <w:rsid w:val="7985035C"/>
    <w:rsid w:val="798E52BC"/>
    <w:rsid w:val="799C0111"/>
    <w:rsid w:val="799D4319"/>
    <w:rsid w:val="799F189F"/>
    <w:rsid w:val="79A33C3A"/>
    <w:rsid w:val="79A43C91"/>
    <w:rsid w:val="79A95071"/>
    <w:rsid w:val="79AC38BC"/>
    <w:rsid w:val="79AC7B66"/>
    <w:rsid w:val="79C128E4"/>
    <w:rsid w:val="79C911C2"/>
    <w:rsid w:val="79CE67DB"/>
    <w:rsid w:val="79D1669C"/>
    <w:rsid w:val="79D6563F"/>
    <w:rsid w:val="79D838BA"/>
    <w:rsid w:val="79F620AD"/>
    <w:rsid w:val="79F649EE"/>
    <w:rsid w:val="79FB25B1"/>
    <w:rsid w:val="7A0C0F31"/>
    <w:rsid w:val="7A0F38B5"/>
    <w:rsid w:val="7A101D0D"/>
    <w:rsid w:val="7A120C0C"/>
    <w:rsid w:val="7A1C44DD"/>
    <w:rsid w:val="7A1C66FB"/>
    <w:rsid w:val="7A2A1819"/>
    <w:rsid w:val="7A2E68F6"/>
    <w:rsid w:val="7A396E1F"/>
    <w:rsid w:val="7A4C5A3B"/>
    <w:rsid w:val="7A5339A0"/>
    <w:rsid w:val="7A5B05B6"/>
    <w:rsid w:val="7A630172"/>
    <w:rsid w:val="7A631309"/>
    <w:rsid w:val="7A7E1444"/>
    <w:rsid w:val="7A921E21"/>
    <w:rsid w:val="7AA91090"/>
    <w:rsid w:val="7AD41622"/>
    <w:rsid w:val="7ADD47D1"/>
    <w:rsid w:val="7ADE3173"/>
    <w:rsid w:val="7AE600D4"/>
    <w:rsid w:val="7AEB5162"/>
    <w:rsid w:val="7AED5C05"/>
    <w:rsid w:val="7AF94986"/>
    <w:rsid w:val="7AFE39BA"/>
    <w:rsid w:val="7B232943"/>
    <w:rsid w:val="7B407DF2"/>
    <w:rsid w:val="7B46015A"/>
    <w:rsid w:val="7B553B77"/>
    <w:rsid w:val="7B553CD4"/>
    <w:rsid w:val="7B577614"/>
    <w:rsid w:val="7B5B56F4"/>
    <w:rsid w:val="7B5E0DB7"/>
    <w:rsid w:val="7B5F4FA3"/>
    <w:rsid w:val="7B682767"/>
    <w:rsid w:val="7B6B63B3"/>
    <w:rsid w:val="7B6D2EE4"/>
    <w:rsid w:val="7B721623"/>
    <w:rsid w:val="7B7711C5"/>
    <w:rsid w:val="7B77357A"/>
    <w:rsid w:val="7B8222D7"/>
    <w:rsid w:val="7B827C63"/>
    <w:rsid w:val="7B830CED"/>
    <w:rsid w:val="7B864D11"/>
    <w:rsid w:val="7B8C3AE5"/>
    <w:rsid w:val="7B8C69E6"/>
    <w:rsid w:val="7B8F38AD"/>
    <w:rsid w:val="7B97099F"/>
    <w:rsid w:val="7BAB12DE"/>
    <w:rsid w:val="7BC24390"/>
    <w:rsid w:val="7BC5165B"/>
    <w:rsid w:val="7BCF2869"/>
    <w:rsid w:val="7BCF6C15"/>
    <w:rsid w:val="7BD90D2F"/>
    <w:rsid w:val="7BDC50B8"/>
    <w:rsid w:val="7BE450B6"/>
    <w:rsid w:val="7BE903F1"/>
    <w:rsid w:val="7BEE588A"/>
    <w:rsid w:val="7BEF1C83"/>
    <w:rsid w:val="7BF21FE7"/>
    <w:rsid w:val="7BFF6D91"/>
    <w:rsid w:val="7C0229E6"/>
    <w:rsid w:val="7C04625C"/>
    <w:rsid w:val="7C075762"/>
    <w:rsid w:val="7C095B24"/>
    <w:rsid w:val="7C231B6A"/>
    <w:rsid w:val="7C2D166E"/>
    <w:rsid w:val="7C3004E9"/>
    <w:rsid w:val="7C352C3C"/>
    <w:rsid w:val="7C3E1F66"/>
    <w:rsid w:val="7C402DC0"/>
    <w:rsid w:val="7C42146D"/>
    <w:rsid w:val="7C431890"/>
    <w:rsid w:val="7C455A03"/>
    <w:rsid w:val="7C46358F"/>
    <w:rsid w:val="7C5235E8"/>
    <w:rsid w:val="7C560E66"/>
    <w:rsid w:val="7C5A69A9"/>
    <w:rsid w:val="7C6C6C12"/>
    <w:rsid w:val="7C76139D"/>
    <w:rsid w:val="7C792C1C"/>
    <w:rsid w:val="7C86627E"/>
    <w:rsid w:val="7C902C69"/>
    <w:rsid w:val="7C943EFA"/>
    <w:rsid w:val="7C9B5E75"/>
    <w:rsid w:val="7C9E1DC2"/>
    <w:rsid w:val="7CB1607B"/>
    <w:rsid w:val="7CB22A7F"/>
    <w:rsid w:val="7CB6056C"/>
    <w:rsid w:val="7CB86601"/>
    <w:rsid w:val="7CC51573"/>
    <w:rsid w:val="7CCC5DCB"/>
    <w:rsid w:val="7CD5443E"/>
    <w:rsid w:val="7CD87C72"/>
    <w:rsid w:val="7CE713DA"/>
    <w:rsid w:val="7CFD4F92"/>
    <w:rsid w:val="7D165668"/>
    <w:rsid w:val="7D191A4F"/>
    <w:rsid w:val="7D1E7890"/>
    <w:rsid w:val="7D272F8B"/>
    <w:rsid w:val="7D296B44"/>
    <w:rsid w:val="7D2D63C4"/>
    <w:rsid w:val="7D3527F4"/>
    <w:rsid w:val="7D3828C0"/>
    <w:rsid w:val="7D3B7807"/>
    <w:rsid w:val="7D3D61DC"/>
    <w:rsid w:val="7D470F6C"/>
    <w:rsid w:val="7D472501"/>
    <w:rsid w:val="7D4F15A2"/>
    <w:rsid w:val="7D6F4AB7"/>
    <w:rsid w:val="7D8F6E98"/>
    <w:rsid w:val="7D9B5AE7"/>
    <w:rsid w:val="7D9D7BD9"/>
    <w:rsid w:val="7D9F6383"/>
    <w:rsid w:val="7DAA2CF7"/>
    <w:rsid w:val="7DAC3944"/>
    <w:rsid w:val="7DB75882"/>
    <w:rsid w:val="7DBB11DB"/>
    <w:rsid w:val="7DCC5093"/>
    <w:rsid w:val="7DD33820"/>
    <w:rsid w:val="7DD83512"/>
    <w:rsid w:val="7DE16559"/>
    <w:rsid w:val="7DEF2BA0"/>
    <w:rsid w:val="7DF41B1B"/>
    <w:rsid w:val="7E0361AC"/>
    <w:rsid w:val="7E0D256D"/>
    <w:rsid w:val="7E0E521A"/>
    <w:rsid w:val="7E122526"/>
    <w:rsid w:val="7E142131"/>
    <w:rsid w:val="7E157037"/>
    <w:rsid w:val="7E29173D"/>
    <w:rsid w:val="7E29625B"/>
    <w:rsid w:val="7E2A5025"/>
    <w:rsid w:val="7E2E0A24"/>
    <w:rsid w:val="7E3475ED"/>
    <w:rsid w:val="7E371CBF"/>
    <w:rsid w:val="7E3878B3"/>
    <w:rsid w:val="7E3A384B"/>
    <w:rsid w:val="7E4705DD"/>
    <w:rsid w:val="7E4E20C0"/>
    <w:rsid w:val="7E51187F"/>
    <w:rsid w:val="7E5451F3"/>
    <w:rsid w:val="7E5A49F9"/>
    <w:rsid w:val="7E5D2F33"/>
    <w:rsid w:val="7E655B4E"/>
    <w:rsid w:val="7E6A6238"/>
    <w:rsid w:val="7E6D02E3"/>
    <w:rsid w:val="7E6D681F"/>
    <w:rsid w:val="7E742FE5"/>
    <w:rsid w:val="7E9341F9"/>
    <w:rsid w:val="7E9533D1"/>
    <w:rsid w:val="7E977A27"/>
    <w:rsid w:val="7E997407"/>
    <w:rsid w:val="7E9E133E"/>
    <w:rsid w:val="7EA42208"/>
    <w:rsid w:val="7EB2376F"/>
    <w:rsid w:val="7EB30370"/>
    <w:rsid w:val="7EC6658B"/>
    <w:rsid w:val="7ECF321E"/>
    <w:rsid w:val="7ED376FB"/>
    <w:rsid w:val="7EDD1AEE"/>
    <w:rsid w:val="7EE61A0F"/>
    <w:rsid w:val="7EEB6599"/>
    <w:rsid w:val="7EF06195"/>
    <w:rsid w:val="7EF87786"/>
    <w:rsid w:val="7EF944E8"/>
    <w:rsid w:val="7EFF06AC"/>
    <w:rsid w:val="7F001583"/>
    <w:rsid w:val="7F045366"/>
    <w:rsid w:val="7F064738"/>
    <w:rsid w:val="7F0661BC"/>
    <w:rsid w:val="7F0C4577"/>
    <w:rsid w:val="7F1461EA"/>
    <w:rsid w:val="7F1C2950"/>
    <w:rsid w:val="7F213F86"/>
    <w:rsid w:val="7F336E18"/>
    <w:rsid w:val="7F344AE7"/>
    <w:rsid w:val="7F39050D"/>
    <w:rsid w:val="7F3DDC20"/>
    <w:rsid w:val="7F3F11CB"/>
    <w:rsid w:val="7F484E4F"/>
    <w:rsid w:val="7F4D0362"/>
    <w:rsid w:val="7F580778"/>
    <w:rsid w:val="7F6B0CB3"/>
    <w:rsid w:val="7F6C22EA"/>
    <w:rsid w:val="7F702395"/>
    <w:rsid w:val="7F7E325D"/>
    <w:rsid w:val="7F8128FC"/>
    <w:rsid w:val="7F8F0DA3"/>
    <w:rsid w:val="7F953A44"/>
    <w:rsid w:val="7FA32206"/>
    <w:rsid w:val="7FA54BBC"/>
    <w:rsid w:val="7FA67086"/>
    <w:rsid w:val="7FBA461D"/>
    <w:rsid w:val="7FC41AD7"/>
    <w:rsid w:val="7FCA5B3A"/>
    <w:rsid w:val="7FCD7503"/>
    <w:rsid w:val="7FD51FC5"/>
    <w:rsid w:val="7FE252A4"/>
    <w:rsid w:val="7FE30A57"/>
    <w:rsid w:val="7FE72592"/>
    <w:rsid w:val="A6CD160A"/>
    <w:rsid w:val="AAFBA8FD"/>
    <w:rsid w:val="AFF349FB"/>
    <w:rsid w:val="B7FDE190"/>
    <w:rsid w:val="CF3BAEE8"/>
    <w:rsid w:val="D65F36BA"/>
    <w:rsid w:val="DBD32831"/>
    <w:rsid w:val="DBEF9264"/>
    <w:rsid w:val="DFDAD6C5"/>
    <w:rsid w:val="E66F9788"/>
    <w:rsid w:val="EED78DB9"/>
    <w:rsid w:val="F7EF73F6"/>
    <w:rsid w:val="FAFB4394"/>
    <w:rsid w:val="FB2E7867"/>
    <w:rsid w:val="FE1DC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qFormat="1" w:unhideWhenUsed="0"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2"/>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3"/>
    <w:qFormat/>
    <w:uiPriority w:val="0"/>
    <w:pPr>
      <w:widowControl/>
      <w:spacing w:line="360" w:lineRule="auto"/>
      <w:outlineLvl w:val="2"/>
    </w:pPr>
    <w:rPr>
      <w:b/>
      <w:bCs/>
      <w:kern w:val="0"/>
      <w:sz w:val="24"/>
    </w:rPr>
  </w:style>
  <w:style w:type="paragraph" w:styleId="5">
    <w:name w:val="heading 4"/>
    <w:basedOn w:val="1"/>
    <w:next w:val="1"/>
    <w:link w:val="54"/>
    <w:qFormat/>
    <w:uiPriority w:val="0"/>
    <w:pPr>
      <w:keepNext/>
      <w:keepLines/>
      <w:spacing w:line="360" w:lineRule="auto"/>
      <w:outlineLvl w:val="3"/>
    </w:pPr>
    <w:rPr>
      <w:rFonts w:ascii="Arial" w:hAnsi="Arial"/>
      <w:b/>
      <w:bCs/>
      <w:szCs w:val="28"/>
    </w:rPr>
  </w:style>
  <w:style w:type="paragraph" w:styleId="6">
    <w:name w:val="heading 5"/>
    <w:basedOn w:val="1"/>
    <w:next w:val="1"/>
    <w:link w:val="55"/>
    <w:qFormat/>
    <w:uiPriority w:val="0"/>
    <w:pPr>
      <w:keepNext/>
      <w:keepLines/>
      <w:spacing w:before="280" w:after="290" w:line="372" w:lineRule="auto"/>
      <w:outlineLvl w:val="4"/>
    </w:pPr>
    <w:rPr>
      <w:b/>
      <w:bCs/>
      <w:sz w:val="28"/>
      <w:szCs w:val="28"/>
    </w:rPr>
  </w:style>
  <w:style w:type="paragraph" w:styleId="7">
    <w:name w:val="heading 6"/>
    <w:basedOn w:val="1"/>
    <w:next w:val="1"/>
    <w:link w:val="56"/>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8"/>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59"/>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0"/>
    <w:qFormat/>
    <w:uiPriority w:val="0"/>
    <w:pPr>
      <w:shd w:val="clear" w:color="auto" w:fill="000080"/>
    </w:pPr>
  </w:style>
  <w:style w:type="paragraph" w:styleId="15">
    <w:name w:val="annotation text"/>
    <w:basedOn w:val="1"/>
    <w:link w:val="61"/>
    <w:qFormat/>
    <w:uiPriority w:val="0"/>
    <w:pPr>
      <w:jc w:val="left"/>
    </w:pPr>
  </w:style>
  <w:style w:type="paragraph" w:styleId="16">
    <w:name w:val="Body Text 3"/>
    <w:basedOn w:val="1"/>
    <w:qFormat/>
    <w:uiPriority w:val="0"/>
    <w:rPr>
      <w:rFonts w:ascii="宋体"/>
      <w:sz w:val="24"/>
      <w:szCs w:val="20"/>
    </w:rPr>
  </w:style>
  <w:style w:type="paragraph" w:styleId="17">
    <w:name w:val="Body Text"/>
    <w:basedOn w:val="1"/>
    <w:link w:val="62"/>
    <w:qFormat/>
    <w:uiPriority w:val="0"/>
    <w:pPr>
      <w:spacing w:after="120"/>
    </w:pPr>
  </w:style>
  <w:style w:type="paragraph" w:styleId="18">
    <w:name w:val="Body Text Indent"/>
    <w:basedOn w:val="1"/>
    <w:next w:val="19"/>
    <w:link w:val="63"/>
    <w:qFormat/>
    <w:uiPriority w:val="0"/>
    <w:pPr>
      <w:spacing w:after="120"/>
      <w:ind w:left="420" w:leftChars="200"/>
    </w:pPr>
  </w:style>
  <w:style w:type="paragraph" w:styleId="19">
    <w:name w:val="annotation subject"/>
    <w:basedOn w:val="15"/>
    <w:next w:val="1"/>
    <w:link w:val="73"/>
    <w:qFormat/>
    <w:uiPriority w:val="0"/>
    <w:rPr>
      <w:b/>
      <w:bCs/>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1"/>
    <w:next w:val="1"/>
    <w:qFormat/>
    <w:uiPriority w:val="39"/>
    <w:pPr>
      <w:ind w:left="840" w:leftChars="400"/>
    </w:pPr>
  </w:style>
  <w:style w:type="paragraph" w:styleId="23">
    <w:name w:val="Plain Text"/>
    <w:basedOn w:val="1"/>
    <w:link w:val="64"/>
    <w:qFormat/>
    <w:uiPriority w:val="0"/>
    <w:rPr>
      <w:rFonts w:ascii="宋体" w:hAnsi="Courier New" w:eastAsia="仿宋_GB2312"/>
      <w:sz w:val="32"/>
    </w:rPr>
  </w:style>
  <w:style w:type="paragraph" w:styleId="24">
    <w:name w:val="toc 8"/>
    <w:basedOn w:val="1"/>
    <w:next w:val="1"/>
    <w:qFormat/>
    <w:uiPriority w:val="39"/>
    <w:pPr>
      <w:ind w:left="2940" w:leftChars="1400"/>
    </w:pPr>
    <w:rPr>
      <w:rFonts w:ascii="Calibri" w:hAnsi="Calibri"/>
      <w:szCs w:val="22"/>
    </w:rPr>
  </w:style>
  <w:style w:type="paragraph" w:styleId="25">
    <w:name w:val="Date"/>
    <w:basedOn w:val="1"/>
    <w:next w:val="1"/>
    <w:link w:val="65"/>
    <w:qFormat/>
    <w:uiPriority w:val="0"/>
    <w:pPr>
      <w:ind w:left="100" w:leftChars="2500"/>
    </w:pPr>
  </w:style>
  <w:style w:type="paragraph" w:styleId="26">
    <w:name w:val="Body Text Indent 2"/>
    <w:basedOn w:val="1"/>
    <w:link w:val="66"/>
    <w:qFormat/>
    <w:uiPriority w:val="0"/>
    <w:pPr>
      <w:autoSpaceDE w:val="0"/>
      <w:autoSpaceDN w:val="0"/>
      <w:adjustRightInd w:val="0"/>
      <w:spacing w:line="410" w:lineRule="atLeast"/>
      <w:ind w:left="480"/>
      <w:jc w:val="left"/>
    </w:pPr>
    <w:rPr>
      <w:rFonts w:ascii="宋体" w:hAnsi="Calibri"/>
      <w:color w:val="000000"/>
    </w:rPr>
  </w:style>
  <w:style w:type="paragraph" w:styleId="27">
    <w:name w:val="Balloon Text"/>
    <w:basedOn w:val="1"/>
    <w:link w:val="67"/>
    <w:qFormat/>
    <w:uiPriority w:val="0"/>
    <w:rPr>
      <w:sz w:val="18"/>
      <w:szCs w:val="18"/>
    </w:rPr>
  </w:style>
  <w:style w:type="paragraph" w:styleId="28">
    <w:name w:val="footer"/>
    <w:basedOn w:val="1"/>
    <w:link w:val="68"/>
    <w:qFormat/>
    <w:uiPriority w:val="99"/>
    <w:pPr>
      <w:tabs>
        <w:tab w:val="center" w:pos="4153"/>
        <w:tab w:val="right" w:pos="8306"/>
      </w:tabs>
      <w:snapToGrid w:val="0"/>
      <w:jc w:val="left"/>
    </w:pPr>
    <w:rPr>
      <w:sz w:val="18"/>
      <w:szCs w:val="18"/>
    </w:rPr>
  </w:style>
  <w:style w:type="paragraph" w:styleId="29">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style>
  <w:style w:type="paragraph" w:styleId="32">
    <w:name w:val="Subtitle"/>
    <w:basedOn w:val="1"/>
    <w:next w:val="1"/>
    <w:link w:val="70"/>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39"/>
    <w:pPr>
      <w:ind w:left="2100" w:leftChars="1000"/>
    </w:pPr>
    <w:rPr>
      <w:rFonts w:ascii="Calibri" w:hAnsi="Calibri"/>
      <w:szCs w:val="22"/>
    </w:rPr>
  </w:style>
  <w:style w:type="paragraph" w:styleId="34">
    <w:name w:val="Body Text Indent 3"/>
    <w:basedOn w:val="1"/>
    <w:link w:val="71"/>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420" w:leftChars="200"/>
    </w:pPr>
  </w:style>
  <w:style w:type="paragraph" w:styleId="36">
    <w:name w:val="toc 9"/>
    <w:basedOn w:val="1"/>
    <w:next w:val="1"/>
    <w:qFormat/>
    <w:uiPriority w:val="39"/>
    <w:pPr>
      <w:ind w:left="3360" w:leftChars="1600"/>
    </w:pPr>
    <w:rPr>
      <w:rFonts w:ascii="Calibri" w:hAnsi="Calibri"/>
      <w:szCs w:val="22"/>
    </w:rPr>
  </w:style>
  <w:style w:type="paragraph" w:styleId="37">
    <w:name w:val="Normal (Web)"/>
    <w:basedOn w:val="1"/>
    <w:qFormat/>
    <w:uiPriority w:val="99"/>
    <w:pPr>
      <w:widowControl/>
      <w:spacing w:before="100" w:beforeAutospacing="1" w:after="100" w:afterAutospacing="1"/>
      <w:jc w:val="left"/>
    </w:pPr>
    <w:rPr>
      <w:kern w:val="0"/>
    </w:rPr>
  </w:style>
  <w:style w:type="paragraph" w:styleId="38">
    <w:name w:val="List Continue 3"/>
    <w:semiHidden/>
    <w:qFormat/>
    <w:uiPriority w:val="0"/>
    <w:pPr>
      <w:widowControl w:val="0"/>
      <w:spacing w:after="120" w:line="278" w:lineRule="auto"/>
      <w:ind w:left="1260" w:leftChars="600"/>
      <w:jc w:val="both"/>
    </w:pPr>
    <w:rPr>
      <w:rFonts w:ascii="Times New Roman" w:hAnsi="Times New Roman" w:eastAsia="宋体" w:cs="Times New Roman"/>
      <w:kern w:val="2"/>
      <w:sz w:val="21"/>
      <w:szCs w:val="24"/>
      <w:lang w:val="en-US" w:eastAsia="zh-CN" w:bidi="ar-SA"/>
    </w:rPr>
  </w:style>
  <w:style w:type="paragraph" w:styleId="39">
    <w:name w:val="Title"/>
    <w:basedOn w:val="1"/>
    <w:next w:val="1"/>
    <w:link w:val="72"/>
    <w:qFormat/>
    <w:uiPriority w:val="0"/>
    <w:pPr>
      <w:spacing w:before="240" w:after="60"/>
      <w:jc w:val="center"/>
      <w:outlineLvl w:val="0"/>
    </w:pPr>
    <w:rPr>
      <w:rFonts w:ascii="Cambria" w:hAnsi="Cambria"/>
      <w:b/>
      <w:sz w:val="32"/>
    </w:rPr>
  </w:style>
  <w:style w:type="paragraph" w:styleId="40">
    <w:name w:val="Body Text First Indent"/>
    <w:basedOn w:val="17"/>
    <w:unhideWhenUsed/>
    <w:qFormat/>
    <w:uiPriority w:val="0"/>
    <w:pPr>
      <w:ind w:firstLine="420" w:firstLineChars="100"/>
    </w:pPr>
    <w:rPr>
      <w:sz w:val="30"/>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i/>
      <w:iCs/>
    </w:rPr>
  </w:style>
  <w:style w:type="character" w:styleId="48">
    <w:name w:val="Hyperlink"/>
    <w:basedOn w:val="43"/>
    <w:qFormat/>
    <w:uiPriority w:val="99"/>
    <w:rPr>
      <w:color w:val="0000FF"/>
      <w:u w:val="single"/>
    </w:rPr>
  </w:style>
  <w:style w:type="character" w:styleId="49">
    <w:name w:val="HTML Code"/>
    <w:qFormat/>
    <w:uiPriority w:val="0"/>
    <w:rPr>
      <w:rFonts w:ascii="Courier New" w:hAnsi="Courier New"/>
      <w:sz w:val="20"/>
    </w:rPr>
  </w:style>
  <w:style w:type="character" w:styleId="50">
    <w:name w:val="annotation reference"/>
    <w:qFormat/>
    <w:uiPriority w:val="0"/>
    <w:rPr>
      <w:sz w:val="21"/>
      <w:szCs w:val="21"/>
    </w:rPr>
  </w:style>
  <w:style w:type="character" w:customStyle="1" w:styleId="51">
    <w:name w:val="标题 1 字符"/>
    <w:link w:val="2"/>
    <w:qFormat/>
    <w:uiPriority w:val="0"/>
    <w:rPr>
      <w:rFonts w:ascii="Cambria" w:hAnsi="Cambria"/>
      <w:b/>
      <w:bCs/>
      <w:kern w:val="32"/>
      <w:sz w:val="32"/>
      <w:szCs w:val="32"/>
    </w:rPr>
  </w:style>
  <w:style w:type="character" w:customStyle="1" w:styleId="52">
    <w:name w:val="标题 2 字符"/>
    <w:link w:val="3"/>
    <w:qFormat/>
    <w:uiPriority w:val="0"/>
    <w:rPr>
      <w:rFonts w:ascii="Cambria" w:hAnsi="Cambria" w:eastAsia="宋体" w:cs="Times New Roman"/>
      <w:b/>
      <w:bCs/>
      <w:kern w:val="2"/>
      <w:sz w:val="32"/>
      <w:szCs w:val="32"/>
    </w:rPr>
  </w:style>
  <w:style w:type="character" w:customStyle="1" w:styleId="53">
    <w:name w:val="标题 3 字符"/>
    <w:link w:val="4"/>
    <w:qFormat/>
    <w:uiPriority w:val="0"/>
    <w:rPr>
      <w:b/>
      <w:bCs/>
      <w:sz w:val="24"/>
      <w:szCs w:val="24"/>
    </w:rPr>
  </w:style>
  <w:style w:type="character" w:customStyle="1" w:styleId="54">
    <w:name w:val="标题 4 字符"/>
    <w:link w:val="5"/>
    <w:qFormat/>
    <w:uiPriority w:val="0"/>
    <w:rPr>
      <w:rFonts w:ascii="Arial" w:hAnsi="Arial"/>
      <w:b/>
      <w:bCs/>
      <w:kern w:val="2"/>
      <w:sz w:val="21"/>
      <w:szCs w:val="28"/>
    </w:rPr>
  </w:style>
  <w:style w:type="character" w:customStyle="1" w:styleId="55">
    <w:name w:val="标题 5 字符"/>
    <w:link w:val="6"/>
    <w:qFormat/>
    <w:uiPriority w:val="0"/>
    <w:rPr>
      <w:b/>
      <w:bCs/>
      <w:kern w:val="2"/>
      <w:sz w:val="28"/>
      <w:szCs w:val="28"/>
    </w:rPr>
  </w:style>
  <w:style w:type="character" w:customStyle="1" w:styleId="56">
    <w:name w:val="标题 6 字符"/>
    <w:link w:val="7"/>
    <w:qFormat/>
    <w:uiPriority w:val="0"/>
    <w:rPr>
      <w:rFonts w:ascii="Arial" w:hAnsi="Arial" w:eastAsia="黑体"/>
      <w:b/>
      <w:bCs/>
      <w:sz w:val="24"/>
      <w:szCs w:val="24"/>
    </w:rPr>
  </w:style>
  <w:style w:type="character" w:customStyle="1" w:styleId="57">
    <w:name w:val="标题 7 字符"/>
    <w:link w:val="8"/>
    <w:qFormat/>
    <w:uiPriority w:val="0"/>
    <w:rPr>
      <w:b/>
      <w:bCs/>
      <w:sz w:val="24"/>
      <w:szCs w:val="24"/>
    </w:rPr>
  </w:style>
  <w:style w:type="character" w:customStyle="1" w:styleId="58">
    <w:name w:val="标题 8 字符"/>
    <w:link w:val="9"/>
    <w:qFormat/>
    <w:uiPriority w:val="0"/>
    <w:rPr>
      <w:rFonts w:ascii="Arial" w:hAnsi="Arial" w:eastAsia="黑体"/>
      <w:sz w:val="24"/>
      <w:szCs w:val="24"/>
    </w:rPr>
  </w:style>
  <w:style w:type="character" w:customStyle="1" w:styleId="59">
    <w:name w:val="标题 9 字符"/>
    <w:link w:val="10"/>
    <w:qFormat/>
    <w:uiPriority w:val="0"/>
    <w:rPr>
      <w:rFonts w:ascii="Arial" w:hAnsi="Arial" w:eastAsia="黑体"/>
      <w:sz w:val="21"/>
      <w:szCs w:val="21"/>
    </w:rPr>
  </w:style>
  <w:style w:type="character" w:customStyle="1" w:styleId="60">
    <w:name w:val="文档结构图 字符"/>
    <w:link w:val="14"/>
    <w:qFormat/>
    <w:uiPriority w:val="0"/>
    <w:rPr>
      <w:kern w:val="2"/>
      <w:sz w:val="21"/>
      <w:szCs w:val="24"/>
      <w:shd w:val="clear" w:color="auto" w:fill="000080"/>
    </w:rPr>
  </w:style>
  <w:style w:type="character" w:customStyle="1" w:styleId="61">
    <w:name w:val="批注文字 字符"/>
    <w:link w:val="15"/>
    <w:qFormat/>
    <w:uiPriority w:val="0"/>
    <w:rPr>
      <w:kern w:val="2"/>
      <w:sz w:val="21"/>
      <w:szCs w:val="24"/>
    </w:rPr>
  </w:style>
  <w:style w:type="character" w:customStyle="1" w:styleId="62">
    <w:name w:val="正文文本 字符"/>
    <w:link w:val="17"/>
    <w:qFormat/>
    <w:uiPriority w:val="0"/>
    <w:rPr>
      <w:kern w:val="2"/>
      <w:sz w:val="21"/>
      <w:szCs w:val="24"/>
    </w:rPr>
  </w:style>
  <w:style w:type="character" w:customStyle="1" w:styleId="63">
    <w:name w:val="正文文本缩进 字符"/>
    <w:link w:val="18"/>
    <w:qFormat/>
    <w:uiPriority w:val="0"/>
    <w:rPr>
      <w:kern w:val="2"/>
      <w:sz w:val="21"/>
      <w:szCs w:val="24"/>
    </w:rPr>
  </w:style>
  <w:style w:type="character" w:customStyle="1" w:styleId="64">
    <w:name w:val="纯文本 字符"/>
    <w:link w:val="23"/>
    <w:qFormat/>
    <w:uiPriority w:val="0"/>
    <w:rPr>
      <w:rFonts w:ascii="宋体" w:hAnsi="Courier New" w:eastAsia="仿宋_GB2312"/>
      <w:kern w:val="2"/>
      <w:sz w:val="32"/>
      <w:szCs w:val="24"/>
    </w:rPr>
  </w:style>
  <w:style w:type="character" w:customStyle="1" w:styleId="65">
    <w:name w:val="日期 字符"/>
    <w:link w:val="25"/>
    <w:qFormat/>
    <w:uiPriority w:val="0"/>
    <w:rPr>
      <w:kern w:val="2"/>
      <w:sz w:val="21"/>
      <w:szCs w:val="24"/>
    </w:rPr>
  </w:style>
  <w:style w:type="character" w:customStyle="1" w:styleId="66">
    <w:name w:val="正文文本缩进 2 字符"/>
    <w:link w:val="26"/>
    <w:qFormat/>
    <w:uiPriority w:val="0"/>
    <w:rPr>
      <w:rFonts w:ascii="宋体" w:hAnsi="Calibri"/>
      <w:color w:val="000000"/>
      <w:kern w:val="2"/>
      <w:sz w:val="21"/>
      <w:szCs w:val="24"/>
    </w:rPr>
  </w:style>
  <w:style w:type="character" w:customStyle="1" w:styleId="67">
    <w:name w:val="批注框文本 字符"/>
    <w:link w:val="27"/>
    <w:qFormat/>
    <w:uiPriority w:val="0"/>
    <w:rPr>
      <w:kern w:val="2"/>
      <w:sz w:val="18"/>
      <w:szCs w:val="18"/>
    </w:rPr>
  </w:style>
  <w:style w:type="character" w:customStyle="1" w:styleId="68">
    <w:name w:val="页脚 字符"/>
    <w:link w:val="28"/>
    <w:qFormat/>
    <w:uiPriority w:val="99"/>
    <w:rPr>
      <w:kern w:val="2"/>
      <w:sz w:val="18"/>
      <w:szCs w:val="18"/>
    </w:rPr>
  </w:style>
  <w:style w:type="character" w:customStyle="1" w:styleId="69">
    <w:name w:val="页眉 字符"/>
    <w:link w:val="29"/>
    <w:qFormat/>
    <w:uiPriority w:val="0"/>
    <w:rPr>
      <w:kern w:val="2"/>
      <w:sz w:val="18"/>
      <w:szCs w:val="18"/>
    </w:rPr>
  </w:style>
  <w:style w:type="character" w:customStyle="1" w:styleId="70">
    <w:name w:val="副标题 字符"/>
    <w:link w:val="32"/>
    <w:qFormat/>
    <w:uiPriority w:val="0"/>
    <w:rPr>
      <w:rFonts w:ascii="Cambria" w:hAnsi="Cambria"/>
      <w:b/>
      <w:bCs/>
      <w:kern w:val="28"/>
      <w:sz w:val="32"/>
      <w:szCs w:val="32"/>
    </w:rPr>
  </w:style>
  <w:style w:type="character" w:customStyle="1" w:styleId="71">
    <w:name w:val="正文文本缩进 3 字符"/>
    <w:link w:val="34"/>
    <w:qFormat/>
    <w:uiPriority w:val="0"/>
    <w:rPr>
      <w:rFonts w:ascii="宋体" w:hAnsi="MS Sans Serif"/>
      <w:color w:val="000000"/>
      <w:sz w:val="24"/>
    </w:rPr>
  </w:style>
  <w:style w:type="character" w:customStyle="1" w:styleId="72">
    <w:name w:val="标题 字符"/>
    <w:link w:val="39"/>
    <w:qFormat/>
    <w:uiPriority w:val="0"/>
    <w:rPr>
      <w:rFonts w:ascii="Cambria" w:hAnsi="Cambria"/>
      <w:b/>
      <w:kern w:val="2"/>
      <w:sz w:val="32"/>
      <w:szCs w:val="24"/>
    </w:rPr>
  </w:style>
  <w:style w:type="character" w:customStyle="1" w:styleId="73">
    <w:name w:val="批注主题 字符"/>
    <w:link w:val="19"/>
    <w:qFormat/>
    <w:uiPriority w:val="0"/>
    <w:rPr>
      <w:b/>
      <w:bCs/>
      <w:kern w:val="2"/>
      <w:sz w:val="21"/>
      <w:szCs w:val="24"/>
    </w:rPr>
  </w:style>
  <w:style w:type="character" w:customStyle="1" w:styleId="74">
    <w:name w:val="页眉 Char1"/>
    <w:semiHidden/>
    <w:qFormat/>
    <w:uiPriority w:val="99"/>
    <w:rPr>
      <w:rFonts w:ascii="Times New Roman" w:hAnsi="Times New Roman" w:eastAsia="宋体" w:cs="Times New Roman"/>
      <w:sz w:val="18"/>
      <w:szCs w:val="18"/>
    </w:rPr>
  </w:style>
  <w:style w:type="character" w:customStyle="1" w:styleId="75">
    <w:name w:val="p0 Char"/>
    <w:link w:val="76"/>
    <w:qFormat/>
    <w:uiPriority w:val="0"/>
    <w:rPr>
      <w:rFonts w:eastAsia="宋体"/>
      <w:kern w:val="2"/>
      <w:sz w:val="21"/>
      <w:szCs w:val="21"/>
      <w:lang w:val="en-US" w:eastAsia="zh-CN" w:bidi="ar-SA"/>
    </w:rPr>
  </w:style>
  <w:style w:type="paragraph" w:customStyle="1" w:styleId="76">
    <w:name w:val="p0"/>
    <w:basedOn w:val="1"/>
    <w:link w:val="75"/>
    <w:qFormat/>
    <w:uiPriority w:val="0"/>
    <w:pPr>
      <w:widowControl/>
    </w:pPr>
    <w:rPr>
      <w:szCs w:val="21"/>
    </w:rPr>
  </w:style>
  <w:style w:type="character" w:customStyle="1" w:styleId="77">
    <w:name w:val="标题 4 Char Char"/>
    <w:qFormat/>
    <w:uiPriority w:val="0"/>
    <w:rPr>
      <w:rFonts w:ascii="Arial" w:hAnsi="Arial" w:eastAsia="宋体"/>
      <w:b/>
      <w:bCs/>
      <w:kern w:val="2"/>
      <w:sz w:val="21"/>
      <w:szCs w:val="28"/>
      <w:lang w:val="en-US" w:eastAsia="zh-CN" w:bidi="ar-SA"/>
    </w:rPr>
  </w:style>
  <w:style w:type="character" w:customStyle="1" w:styleId="78">
    <w:name w:val="批注框文本 Char1"/>
    <w:qFormat/>
    <w:uiPriority w:val="0"/>
    <w:rPr>
      <w:rFonts w:ascii="Times New Roman" w:hAnsi="Times New Roman" w:eastAsia="宋体" w:cs="Times New Roman"/>
      <w:sz w:val="18"/>
      <w:szCs w:val="18"/>
    </w:rPr>
  </w:style>
  <w:style w:type="character" w:customStyle="1" w:styleId="79">
    <w:name w:val="纯文本 Char Char"/>
    <w:qFormat/>
    <w:uiPriority w:val="0"/>
    <w:rPr>
      <w:rFonts w:ascii="宋体" w:hAnsi="Courier New" w:eastAsia="仿宋_GB2312"/>
      <w:kern w:val="2"/>
      <w:sz w:val="32"/>
      <w:szCs w:val="24"/>
      <w:lang w:bidi="ar-SA"/>
    </w:rPr>
  </w:style>
  <w:style w:type="character" w:customStyle="1" w:styleId="80">
    <w:name w:val="标题 3 Char1"/>
    <w:qFormat/>
    <w:uiPriority w:val="0"/>
    <w:rPr>
      <w:b/>
      <w:bCs/>
      <w:sz w:val="24"/>
      <w:szCs w:val="24"/>
    </w:rPr>
  </w:style>
  <w:style w:type="character" w:customStyle="1" w:styleId="81">
    <w:name w:val="Font Style119"/>
    <w:unhideWhenUsed/>
    <w:qFormat/>
    <w:uiPriority w:val="99"/>
    <w:rPr>
      <w:rFonts w:hint="eastAsia" w:ascii="宋体" w:hAnsi="宋体" w:eastAsia="宋体"/>
      <w:sz w:val="24"/>
    </w:rPr>
  </w:style>
  <w:style w:type="character" w:customStyle="1" w:styleId="82">
    <w:name w:val="Font Style131"/>
    <w:unhideWhenUsed/>
    <w:qFormat/>
    <w:uiPriority w:val="99"/>
    <w:rPr>
      <w:rFonts w:hint="eastAsia" w:ascii="Times New Roman" w:hAnsi="Times New Roman" w:eastAsia="Times New Roman"/>
      <w:sz w:val="18"/>
    </w:rPr>
  </w:style>
  <w:style w:type="character" w:customStyle="1" w:styleId="83">
    <w:name w:val="textcontents"/>
    <w:qFormat/>
    <w:uiPriority w:val="0"/>
    <w:rPr>
      <w:rFonts w:cs="Times New Roman"/>
    </w:rPr>
  </w:style>
  <w:style w:type="character" w:customStyle="1" w:styleId="84">
    <w:name w:val="明显引用 Char1"/>
    <w:qFormat/>
    <w:uiPriority w:val="99"/>
    <w:rPr>
      <w:b/>
      <w:bCs/>
      <w:i/>
      <w:iCs/>
      <w:color w:val="4F81BD"/>
      <w:kern w:val="2"/>
      <w:sz w:val="21"/>
      <w:szCs w:val="24"/>
    </w:rPr>
  </w:style>
  <w:style w:type="character" w:customStyle="1" w:styleId="85">
    <w:name w:val="Font Style86"/>
    <w:unhideWhenUsed/>
    <w:qFormat/>
    <w:uiPriority w:val="99"/>
    <w:rPr>
      <w:rFonts w:hint="eastAsia" w:ascii="黑体" w:hAnsi="黑体" w:eastAsia="黑体"/>
      <w:spacing w:val="10"/>
      <w:sz w:val="30"/>
    </w:rPr>
  </w:style>
  <w:style w:type="character" w:customStyle="1" w:styleId="86">
    <w:name w:val="Font Style122"/>
    <w:unhideWhenUsed/>
    <w:qFormat/>
    <w:uiPriority w:val="99"/>
    <w:rPr>
      <w:rFonts w:hint="eastAsia" w:ascii="宋体" w:hAnsi="宋体" w:eastAsia="宋体"/>
      <w:spacing w:val="20"/>
      <w:sz w:val="24"/>
    </w:rPr>
  </w:style>
  <w:style w:type="character" w:customStyle="1" w:styleId="87">
    <w:name w:val="p0 Char Char"/>
    <w:qFormat/>
    <w:uiPriority w:val="0"/>
    <w:rPr>
      <w:rFonts w:eastAsia="宋体"/>
      <w:kern w:val="2"/>
      <w:sz w:val="21"/>
      <w:szCs w:val="21"/>
      <w:lang w:val="en-US" w:eastAsia="zh-CN" w:bidi="ar-SA"/>
    </w:rPr>
  </w:style>
  <w:style w:type="character" w:customStyle="1" w:styleId="88">
    <w:name w:val="Char Char141"/>
    <w:qFormat/>
    <w:uiPriority w:val="0"/>
    <w:rPr>
      <w:rFonts w:ascii="Arial" w:hAnsi="Arial"/>
      <w:b/>
      <w:bCs/>
      <w:kern w:val="2"/>
      <w:sz w:val="21"/>
      <w:szCs w:val="28"/>
    </w:rPr>
  </w:style>
  <w:style w:type="character" w:customStyle="1" w:styleId="89">
    <w:name w:val="明显强调1"/>
    <w:qFormat/>
    <w:uiPriority w:val="0"/>
    <w:rPr>
      <w:b/>
      <w:bCs/>
      <w:i/>
      <w:iCs/>
      <w:color w:val="4F81BD"/>
    </w:rPr>
  </w:style>
  <w:style w:type="character" w:customStyle="1" w:styleId="90">
    <w:name w:val="Font Style126"/>
    <w:unhideWhenUsed/>
    <w:qFormat/>
    <w:uiPriority w:val="99"/>
    <w:rPr>
      <w:rFonts w:hint="eastAsia" w:ascii="宋体" w:hAnsi="宋体" w:eastAsia="宋体"/>
      <w:b/>
      <w:spacing w:val="-30"/>
      <w:sz w:val="28"/>
    </w:rPr>
  </w:style>
  <w:style w:type="character" w:customStyle="1" w:styleId="91">
    <w:name w:val="不明显强调1"/>
    <w:qFormat/>
    <w:uiPriority w:val="0"/>
    <w:rPr>
      <w:i/>
      <w:iCs/>
      <w:color w:val="808080"/>
    </w:rPr>
  </w:style>
  <w:style w:type="character" w:customStyle="1" w:styleId="92">
    <w:name w:val="Char Char14"/>
    <w:qFormat/>
    <w:uiPriority w:val="0"/>
    <w:rPr>
      <w:rFonts w:ascii="Arial" w:hAnsi="Arial"/>
      <w:b/>
      <w:bCs/>
      <w:kern w:val="2"/>
      <w:sz w:val="21"/>
      <w:szCs w:val="28"/>
    </w:rPr>
  </w:style>
  <w:style w:type="character" w:customStyle="1" w:styleId="93">
    <w:name w:val="标题 Char1"/>
    <w:qFormat/>
    <w:uiPriority w:val="0"/>
    <w:rPr>
      <w:rFonts w:ascii="Cambria" w:hAnsi="Cambria" w:eastAsia="宋体" w:cs="Times New Roman"/>
      <w:b/>
      <w:bCs/>
      <w:sz w:val="32"/>
      <w:szCs w:val="32"/>
    </w:rPr>
  </w:style>
  <w:style w:type="character" w:customStyle="1" w:styleId="94">
    <w:name w:val="不明显参考1"/>
    <w:qFormat/>
    <w:uiPriority w:val="0"/>
    <w:rPr>
      <w:smallCaps/>
      <w:color w:val="C0504D"/>
      <w:u w:val="single"/>
    </w:rPr>
  </w:style>
  <w:style w:type="character" w:customStyle="1" w:styleId="95">
    <w:name w:val="Font Style128"/>
    <w:unhideWhenUsed/>
    <w:qFormat/>
    <w:uiPriority w:val="99"/>
    <w:rPr>
      <w:rFonts w:hint="eastAsia" w:ascii="Times New Roman" w:hAnsi="Times New Roman" w:eastAsia="Times New Roman"/>
      <w:sz w:val="16"/>
    </w:rPr>
  </w:style>
  <w:style w:type="character" w:customStyle="1" w:styleId="96">
    <w:name w:val="标题4 Char Char"/>
    <w:link w:val="97"/>
    <w:qFormat/>
    <w:uiPriority w:val="0"/>
    <w:rPr>
      <w:rFonts w:ascii="Arial" w:hAnsi="Arial"/>
      <w:b/>
      <w:bCs/>
      <w:sz w:val="24"/>
      <w:szCs w:val="32"/>
    </w:rPr>
  </w:style>
  <w:style w:type="paragraph" w:customStyle="1" w:styleId="97">
    <w:name w:val="标题4"/>
    <w:basedOn w:val="3"/>
    <w:next w:val="20"/>
    <w:link w:val="96"/>
    <w:qFormat/>
    <w:uiPriority w:val="0"/>
    <w:rPr>
      <w:rFonts w:ascii="Arial" w:hAnsi="Arial"/>
      <w:kern w:val="0"/>
      <w:sz w:val="24"/>
    </w:rPr>
  </w:style>
  <w:style w:type="character" w:customStyle="1" w:styleId="98">
    <w:name w:val="Font Style125"/>
    <w:unhideWhenUsed/>
    <w:qFormat/>
    <w:uiPriority w:val="99"/>
    <w:rPr>
      <w:rFonts w:hint="eastAsia" w:ascii="宋体" w:hAnsi="宋体" w:eastAsia="宋体"/>
      <w:b/>
      <w:sz w:val="26"/>
    </w:rPr>
  </w:style>
  <w:style w:type="character" w:customStyle="1" w:styleId="99">
    <w:name w:val="正文文本缩进 2 Char1"/>
    <w:semiHidden/>
    <w:qFormat/>
    <w:uiPriority w:val="0"/>
    <w:rPr>
      <w:kern w:val="2"/>
      <w:sz w:val="21"/>
      <w:szCs w:val="24"/>
    </w:rPr>
  </w:style>
  <w:style w:type="character" w:customStyle="1" w:styleId="100">
    <w:name w:val="批注文字 Char Char"/>
    <w:qFormat/>
    <w:uiPriority w:val="0"/>
    <w:rPr>
      <w:kern w:val="2"/>
      <w:sz w:val="21"/>
      <w:szCs w:val="24"/>
      <w:lang w:bidi="ar-SA"/>
    </w:rPr>
  </w:style>
  <w:style w:type="character" w:customStyle="1" w:styleId="101">
    <w:name w:val="引用 Char1"/>
    <w:qFormat/>
    <w:uiPriority w:val="99"/>
    <w:rPr>
      <w:i/>
      <w:iCs/>
      <w:color w:val="000000"/>
      <w:kern w:val="2"/>
      <w:sz w:val="21"/>
      <w:szCs w:val="24"/>
    </w:rPr>
  </w:style>
  <w:style w:type="character" w:customStyle="1" w:styleId="102">
    <w:name w:val="_Style 99"/>
    <w:unhideWhenUsed/>
    <w:qFormat/>
    <w:uiPriority w:val="99"/>
    <w:rPr>
      <w:color w:val="605E5C"/>
      <w:shd w:val="clear" w:color="auto" w:fill="E1DFDD"/>
    </w:rPr>
  </w:style>
  <w:style w:type="character" w:customStyle="1" w:styleId="103">
    <w:name w:val="日期 Char1"/>
    <w:qFormat/>
    <w:uiPriority w:val="0"/>
    <w:rPr>
      <w:rFonts w:ascii="Times New Roman" w:hAnsi="Times New Roman" w:eastAsia="宋体" w:cs="Times New Roman"/>
      <w:szCs w:val="24"/>
    </w:rPr>
  </w:style>
  <w:style w:type="character" w:customStyle="1" w:styleId="104">
    <w:name w:val="Font Style124"/>
    <w:unhideWhenUsed/>
    <w:qFormat/>
    <w:uiPriority w:val="99"/>
    <w:rPr>
      <w:rFonts w:hint="eastAsia" w:ascii="宋体" w:hAnsi="宋体" w:eastAsia="宋体"/>
      <w:spacing w:val="30"/>
      <w:sz w:val="24"/>
    </w:rPr>
  </w:style>
  <w:style w:type="character" w:customStyle="1" w:styleId="105">
    <w:name w:val="明显引用 字符"/>
    <w:link w:val="106"/>
    <w:qFormat/>
    <w:uiPriority w:val="0"/>
    <w:rPr>
      <w:b/>
      <w:bCs/>
      <w:i/>
      <w:iCs/>
      <w:color w:val="4F81BD"/>
      <w:kern w:val="2"/>
      <w:sz w:val="21"/>
      <w:szCs w:val="22"/>
    </w:rPr>
  </w:style>
  <w:style w:type="paragraph" w:styleId="106">
    <w:name w:val="Intense Quote"/>
    <w:basedOn w:val="1"/>
    <w:next w:val="1"/>
    <w:link w:val="105"/>
    <w:qFormat/>
    <w:uiPriority w:val="0"/>
    <w:pPr>
      <w:pBdr>
        <w:bottom w:val="single" w:color="4F81BD" w:sz="4" w:space="4"/>
      </w:pBdr>
      <w:spacing w:before="200" w:after="280"/>
      <w:ind w:left="936" w:right="936"/>
    </w:pPr>
    <w:rPr>
      <w:b/>
      <w:bCs/>
      <w:i/>
      <w:iCs/>
      <w:color w:val="4F81BD"/>
      <w:szCs w:val="22"/>
    </w:rPr>
  </w:style>
  <w:style w:type="character" w:customStyle="1" w:styleId="107">
    <w:name w:val="Font Style123"/>
    <w:unhideWhenUsed/>
    <w:qFormat/>
    <w:uiPriority w:val="99"/>
    <w:rPr>
      <w:rFonts w:hint="eastAsia" w:ascii="宋体" w:hAnsi="宋体" w:eastAsia="宋体"/>
      <w:b/>
      <w:sz w:val="32"/>
    </w:rPr>
  </w:style>
  <w:style w:type="character" w:customStyle="1" w:styleId="108">
    <w:name w:val="Font Style121"/>
    <w:unhideWhenUsed/>
    <w:qFormat/>
    <w:uiPriority w:val="99"/>
    <w:rPr>
      <w:rFonts w:hint="eastAsia" w:ascii="宋体" w:hAnsi="宋体" w:eastAsia="宋体"/>
      <w:spacing w:val="-10"/>
      <w:sz w:val="30"/>
    </w:rPr>
  </w:style>
  <w:style w:type="character" w:customStyle="1" w:styleId="109">
    <w:name w:val="批注文字 Char1"/>
    <w:semiHidden/>
    <w:qFormat/>
    <w:uiPriority w:val="99"/>
    <w:rPr>
      <w:rFonts w:ascii="Times New Roman" w:hAnsi="Times New Roman" w:eastAsia="宋体" w:cs="Times New Roman"/>
      <w:szCs w:val="24"/>
    </w:rPr>
  </w:style>
  <w:style w:type="character" w:customStyle="1" w:styleId="110">
    <w:name w:val="书籍标题1"/>
    <w:qFormat/>
    <w:uiPriority w:val="0"/>
    <w:rPr>
      <w:b/>
      <w:bCs/>
      <w:smallCaps/>
      <w:spacing w:val="5"/>
    </w:rPr>
  </w:style>
  <w:style w:type="character" w:customStyle="1" w:styleId="111">
    <w:name w:val="明显参考1"/>
    <w:qFormat/>
    <w:uiPriority w:val="0"/>
    <w:rPr>
      <w:b/>
      <w:bCs/>
      <w:smallCaps/>
      <w:color w:val="C0504D"/>
      <w:spacing w:val="5"/>
      <w:u w:val="single"/>
    </w:rPr>
  </w:style>
  <w:style w:type="character" w:customStyle="1" w:styleId="112">
    <w:name w:val="Font Style117"/>
    <w:unhideWhenUsed/>
    <w:qFormat/>
    <w:uiPriority w:val="99"/>
    <w:rPr>
      <w:rFonts w:hint="eastAsia" w:ascii="宋体" w:hAnsi="宋体" w:eastAsia="宋体"/>
      <w:spacing w:val="20"/>
      <w:sz w:val="24"/>
    </w:rPr>
  </w:style>
  <w:style w:type="character" w:customStyle="1" w:styleId="113">
    <w:name w:val="引用 字符"/>
    <w:link w:val="114"/>
    <w:qFormat/>
    <w:uiPriority w:val="0"/>
    <w:rPr>
      <w:i/>
      <w:iCs/>
      <w:color w:val="000000"/>
      <w:kern w:val="2"/>
      <w:sz w:val="21"/>
      <w:szCs w:val="22"/>
    </w:rPr>
  </w:style>
  <w:style w:type="paragraph" w:styleId="114">
    <w:name w:val="Quote"/>
    <w:basedOn w:val="1"/>
    <w:next w:val="1"/>
    <w:link w:val="113"/>
    <w:qFormat/>
    <w:uiPriority w:val="0"/>
    <w:rPr>
      <w:i/>
      <w:iCs/>
      <w:color w:val="000000"/>
      <w:szCs w:val="22"/>
    </w:rPr>
  </w:style>
  <w:style w:type="character" w:customStyle="1" w:styleId="115">
    <w:name w:val="正文文本缩进 Char1"/>
    <w:semiHidden/>
    <w:qFormat/>
    <w:uiPriority w:val="99"/>
    <w:rPr>
      <w:kern w:val="2"/>
      <w:sz w:val="21"/>
      <w:szCs w:val="24"/>
    </w:rPr>
  </w:style>
  <w:style w:type="character" w:customStyle="1" w:styleId="116">
    <w:name w:val="批注文字 字符1"/>
    <w:qFormat/>
    <w:uiPriority w:val="0"/>
    <w:rPr>
      <w:kern w:val="2"/>
      <w:sz w:val="21"/>
      <w:szCs w:val="24"/>
    </w:rPr>
  </w:style>
  <w:style w:type="character" w:customStyle="1" w:styleId="117">
    <w:name w:val="文档结构图 Char1"/>
    <w:qFormat/>
    <w:uiPriority w:val="0"/>
    <w:rPr>
      <w:rFonts w:ascii="宋体" w:hAnsi="Times New Roman" w:eastAsia="宋体" w:cs="Times New Roman"/>
      <w:sz w:val="18"/>
      <w:szCs w:val="18"/>
    </w:rPr>
  </w:style>
  <w:style w:type="character" w:customStyle="1" w:styleId="118">
    <w:name w:val="正文文本缩进 3 Char1"/>
    <w:qFormat/>
    <w:uiPriority w:val="0"/>
    <w:rPr>
      <w:rFonts w:ascii="Times New Roman" w:hAnsi="Times New Roman" w:eastAsia="宋体" w:cs="Times New Roman"/>
      <w:sz w:val="16"/>
      <w:szCs w:val="16"/>
    </w:rPr>
  </w:style>
  <w:style w:type="character" w:customStyle="1" w:styleId="119">
    <w:name w:val="标题5 Char Char"/>
    <w:link w:val="120"/>
    <w:qFormat/>
    <w:uiPriority w:val="0"/>
    <w:rPr>
      <w:rFonts w:ascii="Arial" w:hAnsi="Arial"/>
      <w:b/>
      <w:bCs/>
      <w:sz w:val="24"/>
      <w:szCs w:val="32"/>
    </w:rPr>
  </w:style>
  <w:style w:type="paragraph" w:customStyle="1" w:styleId="120">
    <w:name w:val="标题5"/>
    <w:basedOn w:val="4"/>
    <w:link w:val="119"/>
    <w:qFormat/>
    <w:uiPriority w:val="0"/>
    <w:pPr>
      <w:keepNext/>
      <w:keepLines/>
      <w:widowControl w:val="0"/>
      <w:spacing w:before="260" w:after="260" w:line="413" w:lineRule="auto"/>
    </w:pPr>
    <w:rPr>
      <w:rFonts w:ascii="Arial" w:hAnsi="Arial"/>
      <w:szCs w:val="32"/>
    </w:rPr>
  </w:style>
  <w:style w:type="character" w:customStyle="1" w:styleId="121">
    <w:name w:val="Font Style127"/>
    <w:unhideWhenUsed/>
    <w:qFormat/>
    <w:uiPriority w:val="99"/>
    <w:rPr>
      <w:rFonts w:hint="eastAsia" w:ascii="Times New Roman" w:hAnsi="Times New Roman" w:eastAsia="Times New Roman"/>
      <w:sz w:val="20"/>
    </w:rPr>
  </w:style>
  <w:style w:type="character" w:customStyle="1" w:styleId="122">
    <w:name w:val="页脚 Char1"/>
    <w:semiHidden/>
    <w:qFormat/>
    <w:uiPriority w:val="99"/>
    <w:rPr>
      <w:rFonts w:ascii="Times New Roman" w:hAnsi="Times New Roman" w:eastAsia="宋体" w:cs="Times New Roman"/>
      <w:sz w:val="18"/>
      <w:szCs w:val="18"/>
    </w:rPr>
  </w:style>
  <w:style w:type="character" w:customStyle="1" w:styleId="123">
    <w:name w:val="纯文本 Char1"/>
    <w:qFormat/>
    <w:uiPriority w:val="0"/>
    <w:rPr>
      <w:rFonts w:ascii="宋体" w:hAnsi="Courier New" w:eastAsia="宋体" w:cs="Courier New"/>
      <w:szCs w:val="21"/>
    </w:rPr>
  </w:style>
  <w:style w:type="character" w:customStyle="1" w:styleId="124">
    <w:name w:val="副标题 Char1"/>
    <w:qFormat/>
    <w:uiPriority w:val="11"/>
    <w:rPr>
      <w:rFonts w:ascii="Cambria" w:hAnsi="Cambria" w:cs="Times New Roman"/>
      <w:b/>
      <w:bCs/>
      <w:kern w:val="28"/>
      <w:sz w:val="32"/>
      <w:szCs w:val="32"/>
    </w:rPr>
  </w:style>
  <w:style w:type="character" w:customStyle="1" w:styleId="125">
    <w:name w:val="批注主题 Char1"/>
    <w:qFormat/>
    <w:uiPriority w:val="0"/>
    <w:rPr>
      <w:rFonts w:ascii="Times New Roman" w:hAnsi="Times New Roman" w:eastAsia="宋体" w:cs="Times New Roman"/>
      <w:b/>
      <w:bCs/>
      <w:szCs w:val="24"/>
    </w:rPr>
  </w:style>
  <w:style w:type="character" w:customStyle="1" w:styleId="126">
    <w:name w:val="标题 4 Char1"/>
    <w:qFormat/>
    <w:uiPriority w:val="0"/>
    <w:rPr>
      <w:rFonts w:ascii="Arial" w:hAnsi="Arial" w:eastAsia="宋体" w:cs="Times New Roman"/>
      <w:b/>
      <w:bCs/>
      <w:szCs w:val="28"/>
    </w:rPr>
  </w:style>
  <w:style w:type="character" w:customStyle="1" w:styleId="127">
    <w:name w:val="正文文本 Char1"/>
    <w:qFormat/>
    <w:uiPriority w:val="0"/>
    <w:rPr>
      <w:kern w:val="2"/>
      <w:sz w:val="21"/>
      <w:szCs w:val="22"/>
    </w:rPr>
  </w:style>
  <w:style w:type="character" w:customStyle="1" w:styleId="128">
    <w:name w:val="Font Style116"/>
    <w:unhideWhenUsed/>
    <w:qFormat/>
    <w:uiPriority w:val="99"/>
    <w:rPr>
      <w:rFonts w:hint="eastAsia" w:ascii="宋体" w:hAnsi="宋体" w:eastAsia="宋体"/>
      <w:spacing w:val="-20"/>
      <w:sz w:val="24"/>
    </w:rPr>
  </w:style>
  <w:style w:type="character" w:customStyle="1" w:styleId="129">
    <w:name w:val="Font Style94"/>
    <w:unhideWhenUsed/>
    <w:qFormat/>
    <w:uiPriority w:val="99"/>
    <w:rPr>
      <w:rFonts w:hint="eastAsia" w:ascii="Times New Roman" w:hAnsi="Times New Roman" w:eastAsia="Times New Roman"/>
      <w:sz w:val="28"/>
    </w:rPr>
  </w:style>
  <w:style w:type="character" w:customStyle="1" w:styleId="130">
    <w:name w:val="Font Style115"/>
    <w:unhideWhenUsed/>
    <w:qFormat/>
    <w:uiPriority w:val="99"/>
    <w:rPr>
      <w:rFonts w:hint="eastAsia" w:ascii="Times New Roman" w:hAnsi="Times New Roman" w:eastAsia="Times New Roman"/>
      <w:sz w:val="16"/>
    </w:rPr>
  </w:style>
  <w:style w:type="paragraph" w:customStyle="1" w:styleId="131">
    <w:name w:val="Style5"/>
    <w:basedOn w:val="1"/>
    <w:unhideWhenUsed/>
    <w:qFormat/>
    <w:uiPriority w:val="99"/>
    <w:rPr>
      <w:rFonts w:ascii="Calibri" w:hAnsi="Calibri"/>
    </w:rPr>
  </w:style>
  <w:style w:type="paragraph" w:customStyle="1" w:styleId="132">
    <w:name w:val="样式2"/>
    <w:basedOn w:val="2"/>
    <w:qFormat/>
    <w:uiPriority w:val="0"/>
    <w:pPr>
      <w:jc w:val="left"/>
    </w:pPr>
    <w:rPr>
      <w:rFonts w:ascii="Times New Roman" w:hAnsi="Times New Roman"/>
      <w:b w:val="0"/>
      <w:bCs w:val="0"/>
      <w:kern w:val="2"/>
      <w:sz w:val="28"/>
      <w:szCs w:val="21"/>
    </w:rPr>
  </w:style>
  <w:style w:type="paragraph" w:customStyle="1" w:styleId="133">
    <w:name w:val="Char Char Char Char Char Char Char Char Char"/>
    <w:basedOn w:val="1"/>
    <w:qFormat/>
    <w:uiPriority w:val="0"/>
    <w:pPr>
      <w:spacing w:line="360" w:lineRule="auto"/>
      <w:ind w:firstLine="200" w:firstLineChars="200"/>
    </w:pPr>
  </w:style>
  <w:style w:type="paragraph" w:customStyle="1" w:styleId="134">
    <w:name w:val="修订2"/>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35">
    <w:name w:val="CM99"/>
    <w:basedOn w:val="1"/>
    <w:next w:val="1"/>
    <w:qFormat/>
    <w:uiPriority w:val="0"/>
    <w:pPr>
      <w:autoSpaceDE w:val="0"/>
      <w:autoSpaceDN w:val="0"/>
      <w:adjustRightInd w:val="0"/>
      <w:spacing w:after="443"/>
      <w:jc w:val="left"/>
    </w:pPr>
    <w:rPr>
      <w:rFonts w:ascii="宋体"/>
      <w:kern w:val="0"/>
      <w:sz w:val="24"/>
      <w:szCs w:val="20"/>
    </w:rPr>
  </w:style>
  <w:style w:type="paragraph" w:styleId="136">
    <w:name w:val="List Paragraph"/>
    <w:basedOn w:val="1"/>
    <w:qFormat/>
    <w:uiPriority w:val="0"/>
    <w:pPr>
      <w:ind w:firstLine="420" w:firstLineChars="200"/>
    </w:pPr>
    <w:rPr>
      <w:rFonts w:ascii="Calibri" w:hAnsi="Calibri"/>
      <w:szCs w:val="22"/>
    </w:rPr>
  </w:style>
  <w:style w:type="paragraph" w:customStyle="1" w:styleId="137">
    <w:name w:val="列出段落1"/>
    <w:basedOn w:val="1"/>
    <w:qFormat/>
    <w:uiPriority w:val="99"/>
    <w:pPr>
      <w:ind w:firstLine="420" w:firstLineChars="200"/>
    </w:pPr>
  </w:style>
  <w:style w:type="paragraph" w:customStyle="1" w:styleId="138">
    <w:name w:val="Style61"/>
    <w:basedOn w:val="1"/>
    <w:unhideWhenUsed/>
    <w:qFormat/>
    <w:uiPriority w:val="99"/>
    <w:rPr>
      <w:rFonts w:ascii="Calibri" w:hAnsi="Calibri"/>
    </w:rPr>
  </w:style>
  <w:style w:type="paragraph" w:customStyle="1" w:styleId="139">
    <w:name w:val="Style34"/>
    <w:basedOn w:val="1"/>
    <w:unhideWhenUsed/>
    <w:qFormat/>
    <w:uiPriority w:val="99"/>
    <w:pPr>
      <w:spacing w:line="375" w:lineRule="exact"/>
    </w:pPr>
    <w:rPr>
      <w:rFonts w:ascii="Calibri" w:hAnsi="Calibri"/>
    </w:rPr>
  </w:style>
  <w:style w:type="paragraph" w:customStyle="1" w:styleId="140">
    <w:name w:val="列出段落21"/>
    <w:basedOn w:val="1"/>
    <w:qFormat/>
    <w:uiPriority w:val="0"/>
    <w:pPr>
      <w:ind w:firstLine="200" w:firstLineChars="200"/>
    </w:pPr>
    <w:rPr>
      <w:rFonts w:ascii="Calibri" w:hAnsi="Calibri"/>
      <w:szCs w:val="22"/>
    </w:rPr>
  </w:style>
  <w:style w:type="paragraph" w:customStyle="1" w:styleId="141">
    <w:name w:val="Char Char"/>
    <w:basedOn w:val="1"/>
    <w:qFormat/>
    <w:uiPriority w:val="0"/>
  </w:style>
  <w:style w:type="paragraph" w:customStyle="1" w:styleId="142">
    <w:name w:val="Style72"/>
    <w:basedOn w:val="1"/>
    <w:unhideWhenUsed/>
    <w:qFormat/>
    <w:uiPriority w:val="99"/>
    <w:rPr>
      <w:rFonts w:ascii="Calibri" w:hAnsi="Calibri"/>
    </w:rPr>
  </w:style>
  <w:style w:type="paragraph" w:customStyle="1" w:styleId="143">
    <w:name w:val="TOC 标题2"/>
    <w:basedOn w:val="2"/>
    <w:next w:val="1"/>
    <w:qFormat/>
    <w:uiPriority w:val="0"/>
    <w:pPr>
      <w:keepLines/>
      <w:spacing w:before="340" w:after="330" w:line="576" w:lineRule="auto"/>
      <w:outlineLvl w:val="9"/>
    </w:pPr>
    <w:rPr>
      <w:rFonts w:ascii="Calibri" w:hAnsi="Calibri"/>
      <w:kern w:val="44"/>
      <w:sz w:val="44"/>
      <w:szCs w:val="44"/>
    </w:rPr>
  </w:style>
  <w:style w:type="paragraph" w:customStyle="1" w:styleId="144">
    <w:name w:val="Style53"/>
    <w:basedOn w:val="1"/>
    <w:unhideWhenUsed/>
    <w:qFormat/>
    <w:uiPriority w:val="99"/>
    <w:pPr>
      <w:spacing w:line="533" w:lineRule="exact"/>
      <w:ind w:firstLine="581"/>
    </w:pPr>
    <w:rPr>
      <w:rFonts w:ascii="Calibri" w:hAnsi="Calibri"/>
    </w:rPr>
  </w:style>
  <w:style w:type="paragraph" w:customStyle="1" w:styleId="145">
    <w:name w:val="Style62"/>
    <w:basedOn w:val="1"/>
    <w:unhideWhenUsed/>
    <w:qFormat/>
    <w:uiPriority w:val="99"/>
    <w:rPr>
      <w:rFonts w:ascii="Calibri" w:hAnsi="Calibri"/>
    </w:rPr>
  </w:style>
  <w:style w:type="paragraph" w:customStyle="1" w:styleId="146">
    <w:name w:val="Char2"/>
    <w:basedOn w:val="1"/>
    <w:qFormat/>
    <w:uiPriority w:val="0"/>
    <w:pPr>
      <w:widowControl/>
      <w:spacing w:line="240" w:lineRule="exact"/>
      <w:jc w:val="left"/>
    </w:pPr>
    <w:rPr>
      <w:rFonts w:ascii="Calibri" w:hAnsi="Calibri"/>
    </w:rPr>
  </w:style>
  <w:style w:type="paragraph" w:customStyle="1" w:styleId="147">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48">
    <w:name w:val="Char Char Char Char Char Char Char Char Char Char1"/>
    <w:basedOn w:val="1"/>
    <w:qFormat/>
    <w:uiPriority w:val="0"/>
    <w:rPr>
      <w:rFonts w:ascii="Calibri" w:hAnsi="Calibri"/>
    </w:rPr>
  </w:style>
  <w:style w:type="paragraph" w:customStyle="1" w:styleId="149">
    <w:name w:val="Style77"/>
    <w:basedOn w:val="1"/>
    <w:unhideWhenUsed/>
    <w:qFormat/>
    <w:uiPriority w:val="99"/>
    <w:rPr>
      <w:rFonts w:ascii="Calibri" w:hAnsi="Calibri"/>
    </w:rPr>
  </w:style>
  <w:style w:type="paragraph" w:customStyle="1" w:styleId="150">
    <w:name w:val="Style50"/>
    <w:basedOn w:val="1"/>
    <w:unhideWhenUsed/>
    <w:qFormat/>
    <w:uiPriority w:val="99"/>
    <w:rPr>
      <w:rFonts w:ascii="Calibri" w:hAnsi="Calibri"/>
    </w:rPr>
  </w:style>
  <w:style w:type="paragraph" w:styleId="151">
    <w:name w:val="No Spacing"/>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52">
    <w:name w:val="_Style 31"/>
    <w:basedOn w:val="1"/>
    <w:qFormat/>
    <w:uiPriority w:val="0"/>
    <w:rPr>
      <w:rFonts w:ascii="仿宋_GB2312" w:eastAsia="仿宋_GB2312"/>
      <w:kern w:val="0"/>
      <w:szCs w:val="20"/>
    </w:rPr>
  </w:style>
  <w:style w:type="paragraph" w:customStyle="1" w:styleId="153">
    <w:name w:val="Char1 Char Char Char 字元 Char Char 字元 Char 字元 Char1 Char Char Char"/>
    <w:basedOn w:val="1"/>
    <w:qFormat/>
    <w:uiPriority w:val="0"/>
  </w:style>
  <w:style w:type="paragraph" w:customStyle="1" w:styleId="154">
    <w:name w:val="TOC 标题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5">
    <w:name w:val="Char Char Char Char Char Char Char Char Char Char"/>
    <w:basedOn w:val="1"/>
    <w:qFormat/>
    <w:uiPriority w:val="0"/>
    <w:rPr>
      <w:rFonts w:ascii="Calibri" w:hAnsi="Calibri"/>
    </w:rPr>
  </w:style>
  <w:style w:type="paragraph" w:customStyle="1" w:styleId="156">
    <w:name w:val="修订1"/>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57">
    <w:name w:val="Style73"/>
    <w:basedOn w:val="1"/>
    <w:unhideWhenUsed/>
    <w:qFormat/>
    <w:uiPriority w:val="99"/>
    <w:pPr>
      <w:spacing w:line="538" w:lineRule="exact"/>
      <w:ind w:firstLine="533"/>
    </w:pPr>
    <w:rPr>
      <w:rFonts w:ascii="Calibri" w:hAnsi="Calibri"/>
    </w:rPr>
  </w:style>
  <w:style w:type="paragraph" w:customStyle="1" w:styleId="158">
    <w:name w:val="Style76"/>
    <w:basedOn w:val="1"/>
    <w:unhideWhenUsed/>
    <w:qFormat/>
    <w:uiPriority w:val="99"/>
    <w:rPr>
      <w:rFonts w:ascii="Calibri" w:hAnsi="Calibri"/>
    </w:rPr>
  </w:style>
  <w:style w:type="paragraph" w:customStyle="1" w:styleId="159">
    <w:name w:val="修订3"/>
    <w:unhideWhenUsed/>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0">
    <w:name w:val="样式1"/>
    <w:basedOn w:val="1"/>
    <w:qFormat/>
    <w:uiPriority w:val="0"/>
    <w:pPr>
      <w:tabs>
        <w:tab w:val="right" w:leader="dot" w:pos="10142"/>
      </w:tabs>
      <w:autoSpaceDN w:val="0"/>
    </w:pPr>
    <w:rPr>
      <w:rFonts w:ascii="宋体" w:hAnsi="宋体"/>
      <w:sz w:val="28"/>
      <w:szCs w:val="20"/>
    </w:rPr>
  </w:style>
  <w:style w:type="paragraph" w:customStyle="1" w:styleId="161">
    <w:name w:val="正文 New New New"/>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62">
    <w:name w:val="样式 标题 3 + (中文) 黑体 小四 非加粗 段前: 7.8 磅 段后: 0 磅 行距: 固定值 20 磅"/>
    <w:basedOn w:val="4"/>
    <w:qFormat/>
    <w:uiPriority w:val="0"/>
    <w:pPr>
      <w:keepNext/>
      <w:keepLines/>
      <w:widowControl w:val="0"/>
      <w:spacing w:line="400" w:lineRule="exact"/>
    </w:pPr>
    <w:rPr>
      <w:rFonts w:eastAsia="黑体" w:cs="宋体"/>
      <w:b w:val="0"/>
      <w:bCs w:val="0"/>
      <w:kern w:val="2"/>
      <w:szCs w:val="20"/>
    </w:rPr>
  </w:style>
  <w:style w:type="paragraph" w:customStyle="1" w:styleId="163">
    <w:name w:val="Style26"/>
    <w:basedOn w:val="1"/>
    <w:unhideWhenUsed/>
    <w:qFormat/>
    <w:uiPriority w:val="99"/>
    <w:rPr>
      <w:rFonts w:ascii="Calibri" w:hAnsi="Calibri"/>
    </w:rPr>
  </w:style>
  <w:style w:type="paragraph" w:customStyle="1" w:styleId="164">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165">
    <w:name w:val="flNote"/>
    <w:basedOn w:val="1"/>
    <w:qFormat/>
    <w:uiPriority w:val="0"/>
    <w:pPr>
      <w:adjustRightInd w:val="0"/>
      <w:spacing w:before="320" w:line="360" w:lineRule="atLeast"/>
      <w:jc w:val="center"/>
      <w:textAlignment w:val="baseline"/>
    </w:pPr>
    <w:rPr>
      <w:rFonts w:ascii="Arial" w:eastAsia="黑体"/>
      <w:kern w:val="0"/>
      <w:sz w:val="30"/>
      <w:szCs w:val="20"/>
    </w:rPr>
  </w:style>
  <w:style w:type="paragraph" w:customStyle="1" w:styleId="166">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67">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168">
    <w:name w:val="Style70"/>
    <w:basedOn w:val="1"/>
    <w:unhideWhenUsed/>
    <w:qFormat/>
    <w:uiPriority w:val="99"/>
    <w:pPr>
      <w:spacing w:line="549" w:lineRule="exact"/>
      <w:ind w:firstLine="686"/>
    </w:pPr>
    <w:rPr>
      <w:rFonts w:ascii="Calibri" w:hAnsi="Calibri"/>
    </w:rPr>
  </w:style>
  <w:style w:type="paragraph" w:customStyle="1" w:styleId="169">
    <w:name w:val="TOC 标题1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70">
    <w:name w:val="_Style 167"/>
    <w:basedOn w:val="2"/>
    <w:next w:val="1"/>
    <w:unhideWhenUsed/>
    <w:qFormat/>
    <w:uiPriority w:val="39"/>
    <w:pPr>
      <w:keepLines/>
      <w:widowControl/>
      <w:spacing w:after="0" w:line="259" w:lineRule="auto"/>
      <w:jc w:val="left"/>
      <w:outlineLvl w:val="9"/>
    </w:pPr>
    <w:rPr>
      <w:rFonts w:ascii="等线 Light" w:hAnsi="等线 Light" w:eastAsia="等线 Light"/>
      <w:b w:val="0"/>
      <w:bCs w:val="0"/>
      <w:color w:val="2F5496"/>
      <w:kern w:val="0"/>
    </w:rPr>
  </w:style>
  <w:style w:type="paragraph" w:customStyle="1" w:styleId="171">
    <w:name w:val="Style27"/>
    <w:basedOn w:val="1"/>
    <w:unhideWhenUsed/>
    <w:qFormat/>
    <w:uiPriority w:val="99"/>
    <w:rPr>
      <w:rFonts w:ascii="Calibri" w:hAnsi="Calibri"/>
    </w:rPr>
  </w:style>
  <w:style w:type="paragraph" w:customStyle="1" w:styleId="172">
    <w:name w:val="Style63"/>
    <w:basedOn w:val="1"/>
    <w:unhideWhenUsed/>
    <w:qFormat/>
    <w:uiPriority w:val="99"/>
    <w:pPr>
      <w:spacing w:line="564" w:lineRule="exact"/>
      <w:ind w:firstLine="682"/>
    </w:pPr>
    <w:rPr>
      <w:rFonts w:ascii="Calibri" w:hAnsi="Calibri"/>
    </w:rPr>
  </w:style>
  <w:style w:type="paragraph" w:customStyle="1" w:styleId="173">
    <w:name w:val="1 Char Char Char Char"/>
    <w:basedOn w:val="161"/>
    <w:qFormat/>
    <w:uiPriority w:val="0"/>
  </w:style>
  <w:style w:type="paragraph" w:customStyle="1" w:styleId="174">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5">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176">
    <w:name w:val="Style52"/>
    <w:basedOn w:val="1"/>
    <w:unhideWhenUsed/>
    <w:qFormat/>
    <w:uiPriority w:val="99"/>
    <w:pPr>
      <w:spacing w:line="682" w:lineRule="exact"/>
      <w:ind w:firstLine="557"/>
    </w:pPr>
    <w:rPr>
      <w:rFonts w:ascii="Calibri" w:hAnsi="Calibri"/>
    </w:rPr>
  </w:style>
  <w:style w:type="paragraph" w:customStyle="1" w:styleId="177">
    <w:name w:val="Style36"/>
    <w:basedOn w:val="1"/>
    <w:unhideWhenUsed/>
    <w:qFormat/>
    <w:uiPriority w:val="99"/>
    <w:rPr>
      <w:rFonts w:ascii="Calibri" w:hAnsi="Calibri"/>
    </w:rPr>
  </w:style>
  <w:style w:type="paragraph" w:customStyle="1" w:styleId="178">
    <w:name w:val="标题3"/>
    <w:basedOn w:val="2"/>
    <w:qFormat/>
    <w:uiPriority w:val="0"/>
    <w:pPr>
      <w:spacing w:beforeLines="50" w:afterLines="50" w:line="400" w:lineRule="exact"/>
    </w:pPr>
    <w:rPr>
      <w:rFonts w:ascii="宋体" w:hAnsi="宋体"/>
      <w:sz w:val="24"/>
    </w:rPr>
  </w:style>
  <w:style w:type="paragraph" w:customStyle="1" w:styleId="179">
    <w:name w:val="Style9"/>
    <w:basedOn w:val="1"/>
    <w:unhideWhenUsed/>
    <w:qFormat/>
    <w:uiPriority w:val="99"/>
    <w:rPr>
      <w:rFonts w:ascii="Calibri" w:hAnsi="Calibri"/>
    </w:rPr>
  </w:style>
  <w:style w:type="paragraph" w:customStyle="1" w:styleId="180">
    <w:name w:val="标题2"/>
    <w:basedOn w:val="39"/>
    <w:qFormat/>
    <w:uiPriority w:val="0"/>
    <w:pPr>
      <w:spacing w:after="240"/>
      <w:jc w:val="left"/>
    </w:pPr>
    <w:rPr>
      <w:sz w:val="30"/>
    </w:rPr>
  </w:style>
  <w:style w:type="paragraph" w:customStyle="1" w:styleId="181">
    <w:name w:val="样式3"/>
    <w:basedOn w:val="4"/>
    <w:qFormat/>
    <w:uiPriority w:val="0"/>
    <w:pPr>
      <w:jc w:val="left"/>
    </w:pPr>
    <w:rPr>
      <w:b w:val="0"/>
      <w:bCs w:val="0"/>
      <w:kern w:val="2"/>
      <w:sz w:val="28"/>
      <w:szCs w:val="28"/>
    </w:rPr>
  </w:style>
  <w:style w:type="paragraph" w:customStyle="1" w:styleId="182">
    <w:name w:val="_Style 179"/>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8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84">
    <w:name w:val="CM91"/>
    <w:basedOn w:val="1"/>
    <w:next w:val="1"/>
    <w:qFormat/>
    <w:uiPriority w:val="0"/>
    <w:pPr>
      <w:autoSpaceDE w:val="0"/>
      <w:autoSpaceDN w:val="0"/>
      <w:adjustRightInd w:val="0"/>
      <w:jc w:val="left"/>
    </w:pPr>
    <w:rPr>
      <w:rFonts w:ascii="宋体"/>
      <w:kern w:val="0"/>
      <w:sz w:val="24"/>
      <w:szCs w:val="20"/>
    </w:rPr>
  </w:style>
  <w:style w:type="paragraph" w:customStyle="1" w:styleId="185">
    <w:name w:val="Style46"/>
    <w:basedOn w:val="1"/>
    <w:unhideWhenUsed/>
    <w:qFormat/>
    <w:uiPriority w:val="99"/>
    <w:pPr>
      <w:spacing w:line="672" w:lineRule="exact"/>
    </w:pPr>
    <w:rPr>
      <w:rFonts w:ascii="Calibri" w:hAnsi="Calibri"/>
    </w:rPr>
  </w:style>
  <w:style w:type="paragraph" w:customStyle="1" w:styleId="186">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87">
    <w:name w:val="Style28"/>
    <w:basedOn w:val="1"/>
    <w:unhideWhenUsed/>
    <w:qFormat/>
    <w:uiPriority w:val="99"/>
    <w:pPr>
      <w:spacing w:line="552" w:lineRule="exact"/>
      <w:ind w:firstLine="547"/>
    </w:pPr>
    <w:rPr>
      <w:rFonts w:ascii="Calibri" w:hAnsi="Calibri"/>
    </w:rPr>
  </w:style>
  <w:style w:type="paragraph" w:customStyle="1" w:styleId="188">
    <w:name w:val="Char"/>
    <w:basedOn w:val="1"/>
    <w:qFormat/>
    <w:uiPriority w:val="0"/>
    <w:rPr>
      <w:rFonts w:ascii="Tahoma" w:hAnsi="Tahoma" w:eastAsia="仿宋_GB2312"/>
      <w:sz w:val="24"/>
      <w:szCs w:val="20"/>
    </w:rPr>
  </w:style>
  <w:style w:type="paragraph" w:customStyle="1" w:styleId="18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90">
    <w:name w:val="Style12"/>
    <w:basedOn w:val="1"/>
    <w:unhideWhenUsed/>
    <w:qFormat/>
    <w:uiPriority w:val="99"/>
    <w:pPr>
      <w:spacing w:line="564" w:lineRule="exact"/>
      <w:ind w:hanging="115"/>
    </w:pPr>
    <w:rPr>
      <w:rFonts w:ascii="Calibri" w:hAnsi="Calibri"/>
    </w:rPr>
  </w:style>
  <w:style w:type="paragraph" w:customStyle="1" w:styleId="191">
    <w:name w:val="Style11"/>
    <w:basedOn w:val="1"/>
    <w:unhideWhenUsed/>
    <w:qFormat/>
    <w:uiPriority w:val="99"/>
    <w:pPr>
      <w:spacing w:line="559" w:lineRule="exact"/>
      <w:ind w:firstLine="590"/>
    </w:pPr>
    <w:rPr>
      <w:rFonts w:ascii="Calibri" w:hAnsi="Calibri"/>
    </w:rPr>
  </w:style>
  <w:style w:type="paragraph" w:customStyle="1" w:styleId="192">
    <w:name w:val="Style42"/>
    <w:basedOn w:val="1"/>
    <w:unhideWhenUsed/>
    <w:qFormat/>
    <w:uiPriority w:val="99"/>
    <w:pPr>
      <w:spacing w:line="542" w:lineRule="exact"/>
      <w:ind w:firstLine="547"/>
    </w:pPr>
    <w:rPr>
      <w:rFonts w:ascii="Calibri" w:hAnsi="Calibri"/>
    </w:rPr>
  </w:style>
  <w:style w:type="paragraph" w:customStyle="1" w:styleId="193">
    <w:name w:val="Style69"/>
    <w:basedOn w:val="1"/>
    <w:unhideWhenUsed/>
    <w:qFormat/>
    <w:uiPriority w:val="99"/>
    <w:pPr>
      <w:spacing w:line="557" w:lineRule="exact"/>
      <w:ind w:firstLine="1666"/>
    </w:pPr>
    <w:rPr>
      <w:rFonts w:ascii="Calibri" w:hAnsi="Calibri"/>
    </w:rPr>
  </w:style>
  <w:style w:type="paragraph" w:customStyle="1" w:styleId="194">
    <w:name w:val="Style41"/>
    <w:basedOn w:val="1"/>
    <w:unhideWhenUsed/>
    <w:qFormat/>
    <w:uiPriority w:val="99"/>
    <w:pPr>
      <w:spacing w:line="542" w:lineRule="exact"/>
      <w:ind w:firstLine="125"/>
    </w:pPr>
    <w:rPr>
      <w:rFonts w:ascii="Calibri" w:hAnsi="Calibri"/>
    </w:rPr>
  </w:style>
  <w:style w:type="paragraph" w:customStyle="1" w:styleId="195">
    <w:name w:val="Style48"/>
    <w:basedOn w:val="1"/>
    <w:unhideWhenUsed/>
    <w:qFormat/>
    <w:uiPriority w:val="99"/>
    <w:pPr>
      <w:spacing w:line="542" w:lineRule="exact"/>
      <w:jc w:val="right"/>
    </w:pPr>
    <w:rPr>
      <w:rFonts w:ascii="Calibri" w:hAnsi="Calibri"/>
    </w:rPr>
  </w:style>
  <w:style w:type="paragraph" w:customStyle="1" w:styleId="196">
    <w:name w:val="Style78"/>
    <w:basedOn w:val="1"/>
    <w:unhideWhenUsed/>
    <w:qFormat/>
    <w:uiPriority w:val="99"/>
    <w:rPr>
      <w:rFonts w:ascii="Calibri" w:hAnsi="Calibri"/>
    </w:rPr>
  </w:style>
  <w:style w:type="paragraph" w:customStyle="1" w:styleId="197">
    <w:name w:val="Style16"/>
    <w:basedOn w:val="1"/>
    <w:unhideWhenUsed/>
    <w:qFormat/>
    <w:uiPriority w:val="99"/>
    <w:pPr>
      <w:jc w:val="right"/>
    </w:pPr>
    <w:rPr>
      <w:rFonts w:ascii="Calibri" w:hAnsi="Calibri"/>
    </w:rPr>
  </w:style>
  <w:style w:type="paragraph" w:customStyle="1" w:styleId="198">
    <w:name w:val="Style8"/>
    <w:basedOn w:val="1"/>
    <w:unhideWhenUsed/>
    <w:qFormat/>
    <w:uiPriority w:val="99"/>
    <w:pPr>
      <w:spacing w:line="566" w:lineRule="exact"/>
      <w:jc w:val="center"/>
    </w:pPr>
    <w:rPr>
      <w:rFonts w:ascii="Calibri" w:hAnsi="Calibri"/>
    </w:rPr>
  </w:style>
  <w:style w:type="paragraph" w:customStyle="1" w:styleId="199">
    <w:name w:val="默认段落字体 Para Char Char Char Char Char Char Char Char Char Char Char Char Char Char Char Char Char Char Char"/>
    <w:basedOn w:val="1"/>
    <w:qFormat/>
    <w:uiPriority w:val="0"/>
  </w:style>
  <w:style w:type="paragraph" w:customStyle="1" w:styleId="200">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201">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2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3">
    <w:name w:val="Style10"/>
    <w:basedOn w:val="1"/>
    <w:unhideWhenUsed/>
    <w:qFormat/>
    <w:uiPriority w:val="99"/>
    <w:pPr>
      <w:spacing w:line="538" w:lineRule="exact"/>
    </w:pPr>
    <w:rPr>
      <w:rFonts w:ascii="Calibri" w:hAnsi="Calibri"/>
    </w:rPr>
  </w:style>
  <w:style w:type="paragraph" w:customStyle="1" w:styleId="204">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customStyle="1" w:styleId="205">
    <w:name w:val="Style71"/>
    <w:basedOn w:val="1"/>
    <w:unhideWhenUsed/>
    <w:qFormat/>
    <w:uiPriority w:val="99"/>
    <w:pPr>
      <w:spacing w:line="538" w:lineRule="exact"/>
      <w:ind w:firstLine="101"/>
    </w:pPr>
    <w:rPr>
      <w:rFonts w:ascii="Calibri" w:hAnsi="Calibri"/>
    </w:rPr>
  </w:style>
  <w:style w:type="paragraph" w:customStyle="1" w:styleId="206">
    <w:name w:val="_Style 36"/>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07">
    <w:name w:val="Style64"/>
    <w:basedOn w:val="1"/>
    <w:unhideWhenUsed/>
    <w:qFormat/>
    <w:uiPriority w:val="99"/>
    <w:rPr>
      <w:rFonts w:ascii="Calibri" w:hAnsi="Calibri"/>
    </w:rPr>
  </w:style>
  <w:style w:type="paragraph" w:customStyle="1" w:styleId="208">
    <w:name w:val="Style68"/>
    <w:basedOn w:val="1"/>
    <w:unhideWhenUsed/>
    <w:qFormat/>
    <w:uiPriority w:val="99"/>
    <w:pPr>
      <w:spacing w:line="547" w:lineRule="exact"/>
    </w:pPr>
    <w:rPr>
      <w:rFonts w:ascii="Calibri" w:hAnsi="Calibri"/>
    </w:rPr>
  </w:style>
  <w:style w:type="paragraph" w:customStyle="1" w:styleId="209">
    <w:name w:val="List Paragraph1"/>
    <w:basedOn w:val="1"/>
    <w:qFormat/>
    <w:uiPriority w:val="0"/>
    <w:pPr>
      <w:ind w:firstLine="420" w:firstLineChars="200"/>
    </w:pPr>
    <w:rPr>
      <w:rFonts w:ascii="Calibri" w:hAnsi="Calibri"/>
      <w:szCs w:val="22"/>
    </w:rPr>
  </w:style>
  <w:style w:type="paragraph" w:customStyle="1" w:styleId="210">
    <w:name w:val="Style29"/>
    <w:basedOn w:val="1"/>
    <w:unhideWhenUsed/>
    <w:qFormat/>
    <w:uiPriority w:val="99"/>
    <w:pPr>
      <w:spacing w:line="547" w:lineRule="exact"/>
      <w:ind w:firstLine="547"/>
    </w:pPr>
    <w:rPr>
      <w:rFonts w:ascii="Calibri" w:hAnsi="Calibri"/>
    </w:rPr>
  </w:style>
  <w:style w:type="paragraph" w:customStyle="1" w:styleId="21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2">
    <w:name w:val="正文_16"/>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3">
    <w:name w:val="Style21"/>
    <w:basedOn w:val="1"/>
    <w:unhideWhenUsed/>
    <w:qFormat/>
    <w:uiPriority w:val="99"/>
    <w:pPr>
      <w:spacing w:line="566" w:lineRule="exact"/>
      <w:ind w:firstLine="682"/>
    </w:pPr>
    <w:rPr>
      <w:rFonts w:ascii="Calibri" w:hAnsi="Calibri"/>
    </w:rPr>
  </w:style>
  <w:style w:type="paragraph" w:customStyle="1" w:styleId="214">
    <w:name w:val="Style15"/>
    <w:basedOn w:val="1"/>
    <w:unhideWhenUsed/>
    <w:qFormat/>
    <w:uiPriority w:val="99"/>
    <w:pPr>
      <w:spacing w:line="557" w:lineRule="exact"/>
      <w:ind w:firstLine="672"/>
    </w:pPr>
    <w:rPr>
      <w:rFonts w:ascii="Calibri" w:hAnsi="Calibri"/>
    </w:rPr>
  </w:style>
  <w:style w:type="paragraph" w:customStyle="1" w:styleId="215">
    <w:name w:val="Style45"/>
    <w:basedOn w:val="1"/>
    <w:unhideWhenUsed/>
    <w:qFormat/>
    <w:uiPriority w:val="99"/>
    <w:rPr>
      <w:rFonts w:ascii="Calibri" w:hAnsi="Calibri"/>
    </w:rPr>
  </w:style>
  <w:style w:type="paragraph" w:customStyle="1" w:styleId="216">
    <w:name w:val="修订2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17">
    <w:name w:val="Style24"/>
    <w:basedOn w:val="1"/>
    <w:unhideWhenUsed/>
    <w:qFormat/>
    <w:uiPriority w:val="99"/>
    <w:rPr>
      <w:rFonts w:ascii="Calibri" w:hAnsi="Calibri"/>
    </w:rPr>
  </w:style>
  <w:style w:type="paragraph" w:customStyle="1" w:styleId="218">
    <w:name w:val="Style23"/>
    <w:basedOn w:val="1"/>
    <w:unhideWhenUsed/>
    <w:qFormat/>
    <w:uiPriority w:val="99"/>
    <w:rPr>
      <w:rFonts w:ascii="Calibri" w:hAnsi="Calibri"/>
    </w:rPr>
  </w:style>
  <w:style w:type="paragraph" w:customStyle="1" w:styleId="219">
    <w:name w:val="列出段落2"/>
    <w:basedOn w:val="1"/>
    <w:qFormat/>
    <w:uiPriority w:val="0"/>
    <w:pPr>
      <w:ind w:firstLine="200" w:firstLineChars="200"/>
    </w:pPr>
    <w:rPr>
      <w:rFonts w:ascii="Calibri" w:hAnsi="Calibri"/>
      <w:szCs w:val="22"/>
    </w:rPr>
  </w:style>
  <w:style w:type="paragraph" w:customStyle="1" w:styleId="220">
    <w:name w:val="Style13"/>
    <w:basedOn w:val="1"/>
    <w:unhideWhenUsed/>
    <w:qFormat/>
    <w:uiPriority w:val="99"/>
    <w:rPr>
      <w:rFonts w:ascii="Calibri" w:hAnsi="Calibri"/>
    </w:rPr>
  </w:style>
  <w:style w:type="paragraph" w:customStyle="1" w:styleId="221">
    <w:name w:val="Style44"/>
    <w:basedOn w:val="1"/>
    <w:unhideWhenUsed/>
    <w:qFormat/>
    <w:uiPriority w:val="99"/>
    <w:rPr>
      <w:rFonts w:ascii="Calibri" w:hAnsi="Calibri"/>
    </w:rPr>
  </w:style>
  <w:style w:type="paragraph" w:customStyle="1" w:styleId="222">
    <w:name w:val="Style4"/>
    <w:basedOn w:val="1"/>
    <w:unhideWhenUsed/>
    <w:qFormat/>
    <w:uiPriority w:val="99"/>
    <w:rPr>
      <w:rFonts w:ascii="Calibri" w:hAnsi="Calibri"/>
    </w:rPr>
  </w:style>
  <w:style w:type="paragraph" w:customStyle="1" w:styleId="223">
    <w:name w:val="_Style 39"/>
    <w:basedOn w:val="161"/>
    <w:qFormat/>
    <w:uiPriority w:val="0"/>
  </w:style>
  <w:style w:type="paragraph" w:customStyle="1" w:styleId="224">
    <w:name w:val="Default"/>
    <w:qFormat/>
    <w:uiPriority w:val="0"/>
    <w:pPr>
      <w:widowControl w:val="0"/>
      <w:autoSpaceDE w:val="0"/>
      <w:autoSpaceDN w:val="0"/>
      <w:adjustRightInd w:val="0"/>
      <w:spacing w:after="160" w:line="278" w:lineRule="auto"/>
    </w:pPr>
    <w:rPr>
      <w:rFonts w:ascii="FZShuSong-Z01" w:hAnsi="Times New Roman" w:eastAsia="FZShuSong-Z01" w:cs="FZShuSong-Z01"/>
      <w:color w:val="000000"/>
      <w:sz w:val="24"/>
      <w:szCs w:val="24"/>
      <w:lang w:val="en-US" w:eastAsia="zh-CN" w:bidi="ar-SA"/>
    </w:rPr>
  </w:style>
  <w:style w:type="paragraph" w:customStyle="1" w:styleId="225">
    <w:name w:val="Table Text"/>
    <w:basedOn w:val="1"/>
    <w:semiHidden/>
    <w:qFormat/>
    <w:uiPriority w:val="0"/>
    <w:rPr>
      <w:rFonts w:ascii="宋体" w:hAnsi="宋体" w:cs="宋体"/>
      <w:sz w:val="20"/>
      <w:szCs w:val="20"/>
      <w:lang w:eastAsia="en-US"/>
    </w:rPr>
  </w:style>
  <w:style w:type="table" w:customStyle="1" w:styleId="226">
    <w:name w:val="Table Normal"/>
    <w:semiHidden/>
    <w:unhideWhenUsed/>
    <w:qFormat/>
    <w:uiPriority w:val="0"/>
    <w:tblPr>
      <w:tblCellMar>
        <w:top w:w="0" w:type="dxa"/>
        <w:left w:w="0" w:type="dxa"/>
        <w:bottom w:w="0" w:type="dxa"/>
        <w:right w:w="0" w:type="dxa"/>
      </w:tblCellMar>
    </w:tblPr>
  </w:style>
  <w:style w:type="paragraph" w:customStyle="1" w:styleId="227">
    <w:name w:val="First Paragraph"/>
    <w:basedOn w:val="17"/>
    <w:next w:val="17"/>
    <w:qFormat/>
    <w:uiPriority w:val="0"/>
    <w:pPr>
      <w:widowControl/>
      <w:spacing w:before="180" w:after="180"/>
    </w:pPr>
    <w:rPr>
      <w:kern w:val="0"/>
      <w:lang w:eastAsia="en-US"/>
    </w:rPr>
  </w:style>
  <w:style w:type="paragraph" w:customStyle="1" w:styleId="228">
    <w:name w:val="Compact"/>
    <w:basedOn w:val="17"/>
    <w:qFormat/>
    <w:uiPriority w:val="0"/>
    <w:pPr>
      <w:widowControl/>
      <w:spacing w:before="36" w:after="36"/>
    </w:pPr>
    <w:rPr>
      <w:kern w:val="0"/>
      <w:lang w:eastAsia="en-US"/>
    </w:rPr>
  </w:style>
  <w:style w:type="paragraph" w:customStyle="1" w:styleId="229">
    <w:name w:val="样式20"/>
    <w:basedOn w:val="1"/>
    <w:next w:val="1"/>
    <w:qFormat/>
    <w:uiPriority w:val="0"/>
    <w:pPr>
      <w:spacing w:line="460" w:lineRule="exact"/>
      <w:ind w:firstLine="900" w:firstLineChars="300"/>
      <w:outlineLvl w:val="0"/>
    </w:pPr>
    <w:rPr>
      <w:rFonts w:eastAsia="黑体"/>
      <w:sz w:val="30"/>
      <w:szCs w:val="30"/>
      <w:u w:val="single"/>
    </w:rPr>
  </w:style>
  <w:style w:type="paragraph" w:customStyle="1" w:styleId="230">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31">
    <w:name w:val="auto-style1"/>
    <w:basedOn w:val="1"/>
    <w:qFormat/>
    <w:uiPriority w:val="0"/>
    <w:pPr>
      <w:widowControl/>
      <w:jc w:val="left"/>
    </w:pPr>
    <w:rPr>
      <w:rFonts w:eastAsiaTheme="minorEastAsia"/>
      <w:kern w:val="0"/>
      <w:sz w:val="24"/>
    </w:rPr>
  </w:style>
  <w:style w:type="character" w:customStyle="1" w:styleId="232">
    <w:name w:val="未处理的提及1"/>
    <w:basedOn w:val="43"/>
    <w:semiHidden/>
    <w:unhideWhenUsed/>
    <w:qFormat/>
    <w:uiPriority w:val="99"/>
    <w:rPr>
      <w:color w:val="605E5C"/>
      <w:shd w:val="clear" w:color="auto" w:fill="E1DFDD"/>
    </w:rPr>
  </w:style>
  <w:style w:type="paragraph" w:customStyle="1" w:styleId="233">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234">
    <w:name w:val="未处理的提及2"/>
    <w:basedOn w:val="43"/>
    <w:semiHidden/>
    <w:unhideWhenUsed/>
    <w:qFormat/>
    <w:uiPriority w:val="99"/>
    <w:rPr>
      <w:color w:val="605E5C"/>
      <w:shd w:val="clear" w:color="auto" w:fill="E1DFDD"/>
    </w:rPr>
  </w:style>
  <w:style w:type="paragraph" w:customStyle="1" w:styleId="235">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37">
    <w:name w:val="Unresolved Mention"/>
    <w:basedOn w:val="4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253</Pages>
  <Words>907</Words>
  <Characters>940</Characters>
  <Lines>6023</Lines>
  <Paragraphs>6042</Paragraphs>
  <TotalTime>2</TotalTime>
  <ScaleCrop>false</ScaleCrop>
  <LinksUpToDate>false</LinksUpToDate>
  <CharactersWithSpaces>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2025-10-02T17:01:00Z</dcterms:created>
  <dc:creator>User</dc:creator>
  <cp:lastModifiedBy>李蓝天</cp:lastModifiedBy>
  <cp:lastPrinted>2025-03-27T23:06:00Z</cp:lastPrinted>
  <dcterms:modified xsi:type="dcterms:W3CDTF">2025-12-03T00:48:26Z</dcterms:modified>
  <dc:title>第二章  投标人须知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2E79D1A004294FC396A061DF8C840E88_13</vt:lpwstr>
  </property>
  <property fmtid="{D5CDD505-2E9C-101B-9397-08002B2CF9AE}" pid="4" name="KSOTemplateDocerSaveRecord">
    <vt:lpwstr>eyJoZGlkIjoiNjMxNmYxNzRmZmJmZWZlZGE5Mzk4NDEwYjI1MWY2NTEiLCJ1c2VySWQiOiIzODM0OTcxMzgifQ==</vt:lpwstr>
  </property>
</Properties>
</file>