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B9E6E">
      <w:pPr>
        <w:ind w:firstLine="640"/>
        <w:rPr>
          <w:rFonts w:hint="eastAsia" w:ascii="黑体" w:hAnsi="黑体" w:eastAsia="黑体"/>
          <w:color w:val="auto"/>
          <w:sz w:val="32"/>
          <w:szCs w:val="32"/>
          <w:highlight w:val="none"/>
        </w:rPr>
      </w:pPr>
    </w:p>
    <w:p w14:paraId="26B1EC94">
      <w:pPr>
        <w:ind w:firstLine="560"/>
        <w:rPr>
          <w:color w:val="auto"/>
          <w:highlight w:val="none"/>
        </w:rPr>
      </w:pPr>
    </w:p>
    <w:p w14:paraId="3A2AE9E8">
      <w:pPr>
        <w:ind w:firstLine="560"/>
        <w:rPr>
          <w:color w:val="auto"/>
          <w:highlight w:val="none"/>
        </w:rPr>
      </w:pPr>
    </w:p>
    <w:p w14:paraId="3BD3865E">
      <w:pPr>
        <w:ind w:firstLine="560"/>
        <w:rPr>
          <w:color w:val="auto"/>
          <w:highlight w:val="none"/>
        </w:rPr>
      </w:pPr>
    </w:p>
    <w:p w14:paraId="04AC72B3">
      <w:pPr>
        <w:ind w:firstLine="560"/>
        <w:jc w:val="center"/>
        <w:rPr>
          <w:color w:val="auto"/>
          <w:highlight w:val="none"/>
        </w:rPr>
      </w:pPr>
    </w:p>
    <w:p w14:paraId="4AE8F227">
      <w:pPr>
        <w:ind w:firstLine="0"/>
        <w:jc w:val="center"/>
        <w:rPr>
          <w:rFonts w:hint="eastAsia" w:asciiTheme="majorEastAsia" w:hAnsiTheme="majorEastAsia" w:eastAsiaTheme="majorEastAsia" w:cstheme="majorEastAsia"/>
          <w:b w:val="0"/>
          <w:bCs w:val="0"/>
          <w:color w:val="auto"/>
          <w:sz w:val="56"/>
          <w:szCs w:val="56"/>
          <w:highlight w:val="none"/>
        </w:rPr>
      </w:pPr>
      <w:r>
        <w:rPr>
          <w:rFonts w:hint="eastAsia" w:asciiTheme="majorEastAsia" w:hAnsiTheme="majorEastAsia" w:eastAsiaTheme="majorEastAsia" w:cstheme="majorEastAsia"/>
          <w:b w:val="0"/>
          <w:bCs w:val="0"/>
          <w:color w:val="auto"/>
          <w:sz w:val="56"/>
          <w:szCs w:val="56"/>
          <w:highlight w:val="none"/>
        </w:rPr>
        <w:t>湖南省房屋建筑和市政基础设施工程施工</w:t>
      </w:r>
      <w:r>
        <w:rPr>
          <w:rFonts w:hint="eastAsia" w:asciiTheme="majorEastAsia" w:hAnsiTheme="majorEastAsia" w:eastAsiaTheme="majorEastAsia" w:cstheme="majorEastAsia"/>
          <w:b w:val="0"/>
          <w:bCs w:val="0"/>
          <w:color w:val="auto"/>
          <w:sz w:val="56"/>
          <w:szCs w:val="56"/>
          <w:highlight w:val="none"/>
          <w:lang w:eastAsia="zh-CN"/>
        </w:rPr>
        <w:t>招标</w:t>
      </w:r>
    </w:p>
    <w:p w14:paraId="75FE86BA">
      <w:pPr>
        <w:ind w:firstLine="880"/>
        <w:jc w:val="center"/>
        <w:rPr>
          <w:rFonts w:hint="eastAsia" w:asciiTheme="majorEastAsia" w:hAnsiTheme="majorEastAsia" w:eastAsiaTheme="majorEastAsia" w:cstheme="majorEastAsia"/>
          <w:b w:val="0"/>
          <w:bCs w:val="0"/>
          <w:color w:val="auto"/>
          <w:sz w:val="56"/>
          <w:szCs w:val="56"/>
          <w:highlight w:val="none"/>
        </w:rPr>
      </w:pPr>
    </w:p>
    <w:p w14:paraId="04EAE236">
      <w:pPr>
        <w:ind w:firstLine="0"/>
        <w:jc w:val="center"/>
        <w:rPr>
          <w:rFonts w:hint="eastAsia" w:asciiTheme="majorEastAsia" w:hAnsiTheme="majorEastAsia" w:eastAsiaTheme="majorEastAsia" w:cstheme="majorEastAsia"/>
          <w:b w:val="0"/>
          <w:bCs w:val="0"/>
          <w:color w:val="auto"/>
          <w:sz w:val="56"/>
          <w:szCs w:val="56"/>
          <w:highlight w:val="none"/>
          <w:lang w:eastAsia="zh-CN"/>
        </w:rPr>
      </w:pPr>
      <w:r>
        <w:rPr>
          <w:rFonts w:hint="eastAsia" w:asciiTheme="majorEastAsia" w:hAnsiTheme="majorEastAsia" w:eastAsiaTheme="majorEastAsia" w:cstheme="majorEastAsia"/>
          <w:b w:val="0"/>
          <w:bCs w:val="0"/>
          <w:color w:val="auto"/>
          <w:sz w:val="56"/>
          <w:szCs w:val="56"/>
          <w:highlight w:val="none"/>
        </w:rPr>
        <w:t>资格预审</w:t>
      </w:r>
      <w:r>
        <w:rPr>
          <w:rFonts w:hint="eastAsia" w:asciiTheme="majorEastAsia" w:hAnsiTheme="majorEastAsia" w:eastAsiaTheme="majorEastAsia" w:cstheme="majorEastAsia"/>
          <w:b w:val="0"/>
          <w:bCs w:val="0"/>
          <w:color w:val="auto"/>
          <w:sz w:val="56"/>
          <w:szCs w:val="56"/>
          <w:highlight w:val="none"/>
          <w:lang w:eastAsia="zh-CN"/>
        </w:rPr>
        <w:t>文件示范</w:t>
      </w:r>
      <w:r>
        <w:rPr>
          <w:rFonts w:hint="eastAsia" w:asciiTheme="majorEastAsia" w:hAnsiTheme="majorEastAsia" w:eastAsiaTheme="majorEastAsia" w:cstheme="majorEastAsia"/>
          <w:b w:val="0"/>
          <w:bCs w:val="0"/>
          <w:color w:val="auto"/>
          <w:sz w:val="56"/>
          <w:szCs w:val="56"/>
          <w:highlight w:val="none"/>
        </w:rPr>
        <w:t>文</w:t>
      </w:r>
      <w:r>
        <w:rPr>
          <w:rFonts w:hint="eastAsia" w:asciiTheme="majorEastAsia" w:hAnsiTheme="majorEastAsia" w:eastAsiaTheme="majorEastAsia" w:cstheme="majorEastAsia"/>
          <w:b w:val="0"/>
          <w:bCs w:val="0"/>
          <w:color w:val="auto"/>
          <w:sz w:val="56"/>
          <w:szCs w:val="56"/>
          <w:highlight w:val="none"/>
          <w:lang w:eastAsia="zh-CN"/>
        </w:rPr>
        <w:t>本</w:t>
      </w:r>
    </w:p>
    <w:p w14:paraId="416DD70D">
      <w:pPr>
        <w:spacing w:after="160" w:line="222" w:lineRule="auto"/>
        <w:jc w:val="center"/>
        <w:rPr>
          <w:rFonts w:hint="eastAsia" w:asciiTheme="majorEastAsia" w:hAnsiTheme="majorEastAsia" w:eastAsiaTheme="majorEastAsia" w:cstheme="majorEastAsia"/>
          <w:b w:val="0"/>
          <w:bCs w:val="0"/>
          <w:color w:val="auto"/>
          <w:sz w:val="56"/>
          <w:szCs w:val="56"/>
          <w:highlight w:val="none"/>
          <w:lang w:val="en"/>
        </w:rPr>
      </w:pPr>
      <w:r>
        <w:rPr>
          <w:rFonts w:hint="eastAsia" w:asciiTheme="majorEastAsia" w:hAnsiTheme="majorEastAsia" w:eastAsiaTheme="majorEastAsia" w:cstheme="majorEastAsia"/>
          <w:b w:val="0"/>
          <w:bCs w:val="0"/>
          <w:color w:val="auto"/>
          <w:sz w:val="56"/>
          <w:szCs w:val="56"/>
          <w:highlight w:val="none"/>
          <w:lang w:val="en"/>
        </w:rPr>
        <w:t>（</w:t>
      </w:r>
      <w:r>
        <w:rPr>
          <w:rFonts w:hint="eastAsia" w:asciiTheme="majorEastAsia" w:hAnsiTheme="majorEastAsia" w:eastAsiaTheme="majorEastAsia" w:cstheme="majorEastAsia"/>
          <w:b w:val="0"/>
          <w:bCs w:val="0"/>
          <w:color w:val="auto"/>
          <w:sz w:val="56"/>
          <w:szCs w:val="56"/>
          <w:highlight w:val="none"/>
        </w:rPr>
        <w:t>2025年1</w:t>
      </w:r>
      <w:r>
        <w:rPr>
          <w:rFonts w:hint="eastAsia" w:asciiTheme="majorEastAsia" w:hAnsiTheme="majorEastAsia" w:eastAsiaTheme="majorEastAsia" w:cstheme="majorEastAsia"/>
          <w:b w:val="0"/>
          <w:bCs w:val="0"/>
          <w:color w:val="auto"/>
          <w:sz w:val="56"/>
          <w:szCs w:val="56"/>
          <w:highlight w:val="none"/>
          <w:lang w:val="en-US" w:eastAsia="zh-CN"/>
        </w:rPr>
        <w:t>1</w:t>
      </w:r>
      <w:r>
        <w:rPr>
          <w:rFonts w:hint="eastAsia" w:asciiTheme="majorEastAsia" w:hAnsiTheme="majorEastAsia" w:eastAsiaTheme="majorEastAsia" w:cstheme="majorEastAsia"/>
          <w:b w:val="0"/>
          <w:bCs w:val="0"/>
          <w:color w:val="auto"/>
          <w:sz w:val="56"/>
          <w:szCs w:val="56"/>
          <w:highlight w:val="none"/>
        </w:rPr>
        <w:t>月版</w:t>
      </w:r>
      <w:r>
        <w:rPr>
          <w:rFonts w:hint="eastAsia" w:asciiTheme="majorEastAsia" w:hAnsiTheme="majorEastAsia" w:eastAsiaTheme="majorEastAsia" w:cstheme="majorEastAsia"/>
          <w:b w:val="0"/>
          <w:bCs w:val="0"/>
          <w:color w:val="auto"/>
          <w:sz w:val="56"/>
          <w:szCs w:val="56"/>
          <w:highlight w:val="none"/>
          <w:lang w:val="en"/>
        </w:rPr>
        <w:t>）</w:t>
      </w:r>
    </w:p>
    <w:p w14:paraId="23C81326">
      <w:pPr>
        <w:ind w:firstLine="880"/>
        <w:jc w:val="center"/>
        <w:rPr>
          <w:rFonts w:hint="eastAsia" w:eastAsia="宋体"/>
          <w:color w:val="auto"/>
          <w:sz w:val="44"/>
          <w:szCs w:val="44"/>
          <w:highlight w:val="none"/>
          <w:lang w:eastAsia="zh-CN"/>
        </w:rPr>
      </w:pPr>
    </w:p>
    <w:p w14:paraId="67762846">
      <w:pPr>
        <w:ind w:firstLine="560"/>
        <w:jc w:val="center"/>
        <w:rPr>
          <w:color w:val="auto"/>
          <w:highlight w:val="none"/>
        </w:rPr>
      </w:pPr>
    </w:p>
    <w:p w14:paraId="45112FBD">
      <w:pPr>
        <w:ind w:firstLine="560"/>
        <w:jc w:val="center"/>
        <w:rPr>
          <w:color w:val="auto"/>
          <w:highlight w:val="none"/>
        </w:rPr>
      </w:pPr>
    </w:p>
    <w:p w14:paraId="797D71D7">
      <w:pPr>
        <w:ind w:firstLine="560"/>
        <w:jc w:val="center"/>
        <w:rPr>
          <w:color w:val="auto"/>
          <w:highlight w:val="none"/>
        </w:rPr>
      </w:pPr>
    </w:p>
    <w:p w14:paraId="64ACDE01">
      <w:pPr>
        <w:ind w:firstLine="560"/>
        <w:jc w:val="center"/>
        <w:rPr>
          <w:color w:val="auto"/>
          <w:highlight w:val="none"/>
        </w:rPr>
      </w:pPr>
    </w:p>
    <w:p w14:paraId="0FC3F769">
      <w:pPr>
        <w:ind w:firstLine="560"/>
        <w:jc w:val="center"/>
        <w:rPr>
          <w:color w:val="auto"/>
          <w:highlight w:val="none"/>
        </w:rPr>
      </w:pPr>
    </w:p>
    <w:p w14:paraId="75DBFF0F">
      <w:pPr>
        <w:ind w:firstLine="560"/>
        <w:jc w:val="center"/>
        <w:rPr>
          <w:color w:val="auto"/>
          <w:highlight w:val="none"/>
        </w:rPr>
      </w:pPr>
    </w:p>
    <w:p w14:paraId="6804D1C6">
      <w:pPr>
        <w:ind w:firstLine="560"/>
        <w:jc w:val="center"/>
        <w:rPr>
          <w:color w:val="auto"/>
          <w:highlight w:val="none"/>
        </w:rPr>
      </w:pPr>
    </w:p>
    <w:p w14:paraId="229AA2A8">
      <w:pPr>
        <w:ind w:firstLine="560"/>
        <w:jc w:val="center"/>
        <w:rPr>
          <w:color w:val="auto"/>
          <w:highlight w:val="none"/>
        </w:rPr>
      </w:pPr>
    </w:p>
    <w:p w14:paraId="747D82D2">
      <w:pPr>
        <w:ind w:firstLine="560"/>
        <w:jc w:val="center"/>
        <w:rPr>
          <w:color w:val="auto"/>
          <w:highlight w:val="none"/>
        </w:rPr>
      </w:pPr>
    </w:p>
    <w:p w14:paraId="4BD43C6B">
      <w:pPr>
        <w:ind w:firstLine="560"/>
        <w:jc w:val="center"/>
        <w:rPr>
          <w:color w:val="auto"/>
          <w:highlight w:val="none"/>
        </w:rPr>
      </w:pPr>
    </w:p>
    <w:p w14:paraId="1B07996F">
      <w:pPr>
        <w:ind w:firstLine="560"/>
        <w:jc w:val="center"/>
        <w:rPr>
          <w:color w:val="auto"/>
          <w:highlight w:val="none"/>
        </w:rPr>
      </w:pPr>
    </w:p>
    <w:p w14:paraId="6C44C35B">
      <w:pPr>
        <w:ind w:firstLine="560"/>
        <w:jc w:val="center"/>
        <w:rPr>
          <w:color w:val="auto"/>
          <w:highlight w:val="none"/>
        </w:rPr>
      </w:pPr>
    </w:p>
    <w:p w14:paraId="299B9A2A">
      <w:pPr>
        <w:ind w:firstLine="560"/>
        <w:jc w:val="center"/>
        <w:rPr>
          <w:color w:val="auto"/>
          <w:highlight w:val="none"/>
        </w:rPr>
      </w:pPr>
    </w:p>
    <w:p w14:paraId="60C27C9A">
      <w:pPr>
        <w:ind w:firstLine="560"/>
        <w:jc w:val="center"/>
        <w:rPr>
          <w:color w:val="auto"/>
          <w:highlight w:val="none"/>
        </w:rPr>
      </w:pPr>
    </w:p>
    <w:p w14:paraId="7BB4273B">
      <w:pPr>
        <w:ind w:firstLine="560"/>
        <w:jc w:val="center"/>
        <w:rPr>
          <w:color w:val="auto"/>
          <w:highlight w:val="none"/>
        </w:rPr>
      </w:pPr>
    </w:p>
    <w:p w14:paraId="72B72C23">
      <w:pPr>
        <w:ind w:firstLine="560"/>
        <w:jc w:val="center"/>
        <w:rPr>
          <w:color w:val="auto"/>
          <w:highlight w:val="none"/>
        </w:rPr>
      </w:pPr>
    </w:p>
    <w:p w14:paraId="5307B7C6">
      <w:pPr>
        <w:ind w:firstLine="560"/>
        <w:jc w:val="center"/>
        <w:rPr>
          <w:color w:val="auto"/>
          <w:highlight w:val="none"/>
        </w:rPr>
      </w:pPr>
    </w:p>
    <w:p w14:paraId="4954560D">
      <w:pPr>
        <w:ind w:firstLine="560"/>
        <w:jc w:val="center"/>
        <w:rPr>
          <w:color w:val="auto"/>
          <w:highlight w:val="none"/>
        </w:rPr>
      </w:pPr>
    </w:p>
    <w:p w14:paraId="0F1FF97B">
      <w:pPr>
        <w:ind w:firstLine="560"/>
        <w:jc w:val="center"/>
        <w:rPr>
          <w:color w:val="auto"/>
          <w:highlight w:val="none"/>
        </w:rPr>
      </w:pPr>
    </w:p>
    <w:p w14:paraId="4FAE8CC3">
      <w:pPr>
        <w:ind w:firstLine="560"/>
        <w:jc w:val="center"/>
        <w:rPr>
          <w:color w:val="auto"/>
          <w:highlight w:val="none"/>
        </w:rPr>
      </w:pPr>
    </w:p>
    <w:p w14:paraId="0484A285">
      <w:pPr>
        <w:ind w:firstLine="560"/>
        <w:jc w:val="center"/>
        <w:rPr>
          <w:color w:val="auto"/>
          <w:highlight w:val="none"/>
        </w:rPr>
      </w:pPr>
    </w:p>
    <w:p w14:paraId="2866E40B">
      <w:pPr>
        <w:ind w:firstLine="560"/>
        <w:jc w:val="center"/>
        <w:rPr>
          <w:color w:val="auto"/>
          <w:highlight w:val="none"/>
        </w:rPr>
      </w:pPr>
    </w:p>
    <w:p w14:paraId="265AC0E3">
      <w:pPr>
        <w:ind w:firstLine="560"/>
        <w:jc w:val="center"/>
        <w:rPr>
          <w:color w:val="auto"/>
          <w:highlight w:val="none"/>
        </w:rPr>
      </w:pPr>
    </w:p>
    <w:p w14:paraId="377DE564">
      <w:pPr>
        <w:ind w:firstLine="560"/>
        <w:jc w:val="center"/>
        <w:rPr>
          <w:color w:val="auto"/>
          <w:highlight w:val="none"/>
        </w:rPr>
      </w:pPr>
    </w:p>
    <w:p w14:paraId="0FFD36F8">
      <w:pPr>
        <w:spacing w:after="120" w:afterLines="50"/>
        <w:jc w:val="center"/>
        <w:rPr>
          <w:rFonts w:eastAsia="黑体"/>
          <w:color w:val="auto"/>
          <w:sz w:val="32"/>
          <w:szCs w:val="32"/>
          <w:highlight w:val="none"/>
        </w:rPr>
      </w:pPr>
      <w:r>
        <w:rPr>
          <w:rFonts w:eastAsia="黑体"/>
          <w:color w:val="auto"/>
          <w:sz w:val="32"/>
          <w:szCs w:val="32"/>
          <w:highlight w:val="none"/>
        </w:rPr>
        <w:t>湖南省住房和城乡建设厅</w:t>
      </w:r>
    </w:p>
    <w:p w14:paraId="6F800C80">
      <w:pPr>
        <w:spacing w:after="120" w:afterLines="50"/>
        <w:ind w:firstLine="0"/>
        <w:jc w:val="center"/>
        <w:rPr>
          <w:rFonts w:hint="eastAsia" w:eastAsia="黑体"/>
          <w:color w:val="auto"/>
          <w:sz w:val="32"/>
          <w:szCs w:val="32"/>
          <w:highlight w:val="none"/>
        </w:rPr>
      </w:pPr>
      <w:r>
        <w:rPr>
          <w:rFonts w:hint="eastAsia" w:eastAsia="黑体"/>
          <w:color w:val="auto"/>
          <w:sz w:val="32"/>
          <w:szCs w:val="32"/>
          <w:highlight w:val="none"/>
        </w:rPr>
        <w:t>2025年</w:t>
      </w:r>
      <w:r>
        <w:rPr>
          <w:rFonts w:hint="eastAsia" w:eastAsia="黑体"/>
          <w:color w:val="auto"/>
          <w:sz w:val="32"/>
          <w:szCs w:val="32"/>
          <w:highlight w:val="none"/>
          <w:lang w:val="en-US" w:eastAsia="zh-CN"/>
        </w:rPr>
        <w:t>11</w:t>
      </w:r>
      <w:r>
        <w:rPr>
          <w:rFonts w:hint="eastAsia" w:eastAsia="黑体"/>
          <w:color w:val="auto"/>
          <w:sz w:val="32"/>
          <w:szCs w:val="32"/>
          <w:highlight w:val="none"/>
        </w:rPr>
        <w:t>月</w:t>
      </w:r>
    </w:p>
    <w:p w14:paraId="075BBD97">
      <w:pPr>
        <w:spacing w:after="120" w:afterLines="50"/>
        <w:ind w:firstLine="0"/>
        <w:jc w:val="center"/>
        <w:rPr>
          <w:rFonts w:hint="eastAsia" w:eastAsia="黑体"/>
          <w:color w:val="auto"/>
          <w:sz w:val="32"/>
          <w:szCs w:val="32"/>
          <w:highlight w:val="none"/>
        </w:rPr>
        <w:sectPr>
          <w:footerReference r:id="rId3" w:type="default"/>
          <w:pgSz w:w="11906" w:h="16838"/>
          <w:pgMar w:top="1304" w:right="1503" w:bottom="1304" w:left="1503" w:header="851" w:footer="992" w:gutter="0"/>
          <w:pgNumType w:start="1"/>
          <w:cols w:space="720" w:num="1"/>
          <w:docGrid w:linePitch="312" w:charSpace="0"/>
        </w:sectPr>
      </w:pPr>
    </w:p>
    <w:p w14:paraId="77A8F20A">
      <w:pPr>
        <w:tabs>
          <w:tab w:val="right" w:leader="middleDot" w:pos="8190"/>
        </w:tabs>
        <w:spacing w:line="360" w:lineRule="auto"/>
        <w:ind w:firstLine="720"/>
        <w:jc w:val="center"/>
        <w:rPr>
          <w:rFonts w:ascii="黑体" w:eastAsia="黑体"/>
          <w:color w:val="auto"/>
          <w:sz w:val="36"/>
          <w:szCs w:val="36"/>
          <w:highlight w:val="none"/>
        </w:rPr>
      </w:pPr>
      <w:r>
        <w:rPr>
          <w:rFonts w:hint="eastAsia" w:ascii="黑体" w:eastAsia="黑体"/>
          <w:color w:val="auto"/>
          <w:sz w:val="36"/>
          <w:szCs w:val="36"/>
          <w:highlight w:val="none"/>
        </w:rPr>
        <w:t>使 用 说 明</w:t>
      </w:r>
    </w:p>
    <w:p w14:paraId="18187BA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一、《湖南省房屋建筑和市政基础设施工程</w:t>
      </w:r>
      <w:r>
        <w:rPr>
          <w:rFonts w:hint="eastAsia" w:ascii="仿宋_GB2312" w:hAnsi="宋体" w:eastAsia="仿宋_GB2312"/>
          <w:color w:val="auto"/>
          <w:sz w:val="28"/>
          <w:szCs w:val="28"/>
          <w:highlight w:val="none"/>
          <w:lang w:eastAsia="zh-CN"/>
        </w:rPr>
        <w:t>施工招标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》（以下简称《施工</w:t>
      </w:r>
      <w:r>
        <w:rPr>
          <w:rFonts w:hint="eastAsia" w:ascii="仿宋_GB2312" w:hAnsi="宋体" w:eastAsia="仿宋_GB2312"/>
          <w:color w:val="auto"/>
          <w:sz w:val="28"/>
          <w:szCs w:val="28"/>
          <w:highlight w:val="none"/>
          <w:lang w:eastAsia="zh-CN"/>
        </w:rPr>
        <w:t>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》）根据《中华人民共和国招标投标法》及其实施条例、《电子招标投标办法》、</w:t>
      </w:r>
      <w:r>
        <w:rPr>
          <w:rFonts w:hint="eastAsia" w:ascii="仿宋_GB2312" w:hAnsi="宋体" w:eastAsia="仿宋_GB2312"/>
          <w:color w:val="auto"/>
          <w:sz w:val="28"/>
          <w:szCs w:val="28"/>
          <w:highlight w:val="none"/>
          <w:lang w:eastAsia="zh-CN"/>
        </w:rPr>
        <w:t>《国务院办公厅关于创新完善体制机制推动招标投标市场规范健康发展的意见》（国办发</w:t>
      </w:r>
      <w:r>
        <w:rPr>
          <w:rFonts w:hint="eastAsia" w:ascii="仿宋_GB2312" w:hAnsi="宋体" w:eastAsia="仿宋_GB2312"/>
          <w:color w:val="auto"/>
          <w:sz w:val="28"/>
          <w:szCs w:val="28"/>
          <w:highlight w:val="none"/>
          <w:lang w:val="en"/>
        </w:rPr>
        <w:t>〔20</w:t>
      </w:r>
      <w:r>
        <w:rPr>
          <w:rFonts w:hint="default" w:ascii="仿宋_GB2312" w:hAnsi="宋体" w:eastAsia="仿宋_GB2312"/>
          <w:color w:val="auto"/>
          <w:sz w:val="28"/>
          <w:szCs w:val="28"/>
          <w:highlight w:val="none"/>
          <w:lang w:val="en"/>
        </w:rPr>
        <w:t>24</w:t>
      </w:r>
      <w:r>
        <w:rPr>
          <w:rFonts w:hint="eastAsia" w:ascii="仿宋_GB2312" w:hAnsi="宋体" w:eastAsia="仿宋_GB2312"/>
          <w:color w:val="auto"/>
          <w:sz w:val="28"/>
          <w:szCs w:val="28"/>
          <w:highlight w:val="none"/>
          <w:lang w:val="en"/>
        </w:rPr>
        <w:t>〕</w:t>
      </w:r>
      <w:r>
        <w:rPr>
          <w:rFonts w:hint="eastAsia" w:ascii="仿宋_GB2312" w:hAnsi="宋体" w:eastAsia="仿宋_GB2312"/>
          <w:color w:val="auto"/>
          <w:sz w:val="28"/>
          <w:szCs w:val="28"/>
          <w:highlight w:val="none"/>
          <w:lang w:val="en-US" w:eastAsia="zh-CN"/>
        </w:rPr>
        <w:t>21号</w:t>
      </w:r>
      <w:r>
        <w:rPr>
          <w:rFonts w:hint="eastAsia" w:ascii="仿宋_GB2312" w:hAnsi="宋体" w:eastAsia="仿宋_GB2312"/>
          <w:color w:val="auto"/>
          <w:sz w:val="28"/>
          <w:szCs w:val="28"/>
          <w:highlight w:val="none"/>
          <w:lang w:eastAsia="zh-CN"/>
        </w:rPr>
        <w:t>）、《国家发展改革委等部门关于印发</w:t>
      </w:r>
      <w:r>
        <w:rPr>
          <w:rFonts w:hint="eastAsia" w:ascii="仿宋_GB2312" w:hAnsi="宋体" w:eastAsia="仿宋_GB2312"/>
          <w:color w:val="auto"/>
          <w:sz w:val="28"/>
          <w:szCs w:val="28"/>
          <w:highlight w:val="none"/>
          <w:lang w:val="en-US" w:eastAsia="zh-CN"/>
        </w:rPr>
        <w:t>&lt;招标人主体责任履行指引&gt;的通知</w:t>
      </w:r>
      <w:r>
        <w:rPr>
          <w:rFonts w:hint="eastAsia" w:ascii="仿宋_GB2312" w:hAnsi="宋体" w:eastAsia="仿宋_GB2312"/>
          <w:color w:val="auto"/>
          <w:sz w:val="28"/>
          <w:szCs w:val="28"/>
          <w:highlight w:val="none"/>
          <w:lang w:eastAsia="zh-CN"/>
        </w:rPr>
        <w:t>》（发改法规</w:t>
      </w:r>
      <w:r>
        <w:rPr>
          <w:rFonts w:hint="eastAsia" w:ascii="仿宋_GB2312" w:hAnsi="宋体" w:eastAsia="仿宋_GB2312"/>
          <w:color w:val="auto"/>
          <w:sz w:val="28"/>
          <w:szCs w:val="28"/>
          <w:highlight w:val="none"/>
          <w:lang w:val="en"/>
        </w:rPr>
        <w:t>〔2025〕</w:t>
      </w:r>
      <w:r>
        <w:rPr>
          <w:rFonts w:hint="eastAsia" w:ascii="仿宋_GB2312" w:hAnsi="宋体" w:eastAsia="仿宋_GB2312"/>
          <w:color w:val="auto"/>
          <w:sz w:val="28"/>
          <w:szCs w:val="28"/>
          <w:highlight w:val="none"/>
          <w:lang w:val="en-US" w:eastAsia="zh-CN"/>
        </w:rPr>
        <w:t>1358号</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《湖南省公共资源交易数字化、模块化招标文件范本框架导引及编制导则》等法律法规、规章和文件编制。</w:t>
      </w:r>
    </w:p>
    <w:p w14:paraId="04D2156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二、《施工</w:t>
      </w:r>
      <w:r>
        <w:rPr>
          <w:rFonts w:hint="eastAsia" w:ascii="仿宋_GB2312" w:hAnsi="宋体" w:eastAsia="仿宋_GB2312"/>
          <w:color w:val="auto"/>
          <w:sz w:val="28"/>
          <w:szCs w:val="28"/>
          <w:highlight w:val="none"/>
          <w:lang w:eastAsia="zh-CN"/>
        </w:rPr>
        <w:t>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val="en-US" w:eastAsia="zh-CN"/>
        </w:rPr>
        <w:t>供招标人在</w:t>
      </w:r>
      <w:r>
        <w:rPr>
          <w:rFonts w:hint="eastAsia" w:ascii="仿宋_GB2312" w:hAnsi="宋体" w:eastAsia="仿宋_GB2312"/>
          <w:color w:val="auto"/>
          <w:sz w:val="28"/>
          <w:szCs w:val="28"/>
          <w:highlight w:val="none"/>
        </w:rPr>
        <w:t>房屋建筑和市政基础设施</w:t>
      </w:r>
      <w:r>
        <w:rPr>
          <w:rFonts w:hint="eastAsia" w:ascii="仿宋_GB2312" w:hAnsi="宋体" w:eastAsia="仿宋_GB2312"/>
          <w:color w:val="auto"/>
          <w:sz w:val="28"/>
          <w:szCs w:val="28"/>
          <w:highlight w:val="none"/>
          <w:lang w:val="en-US" w:eastAsia="zh-CN"/>
        </w:rPr>
        <w:t>工程施工项目招标时选择使用；勘察设计、工程总承包、监理等其他采用资格预审方式招标的，招标人可参照本示范文本制定具体资格预审文件。</w:t>
      </w:r>
    </w:p>
    <w:p w14:paraId="41AE8316">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三、《施工</w:t>
      </w:r>
      <w:r>
        <w:rPr>
          <w:rFonts w:hint="eastAsia" w:ascii="仿宋_GB2312" w:hAnsi="宋体" w:eastAsia="仿宋_GB2312"/>
          <w:color w:val="auto"/>
          <w:sz w:val="28"/>
          <w:szCs w:val="28"/>
          <w:highlight w:val="none"/>
          <w:lang w:eastAsia="zh-CN"/>
        </w:rPr>
        <w:t>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》用相同序号标示的章、节、条、款、项、目，供招标人和潜在投标人（以下简称：申请人）选择使用。以空格标示和</w:t>
      </w:r>
      <w:r>
        <w:rPr>
          <w:rFonts w:hint="eastAsia" w:ascii="仿宋_GB2312" w:hAnsi="宋体" w:eastAsia="仿宋_GB2312"/>
          <w:color w:val="auto"/>
          <w:sz w:val="28"/>
          <w:szCs w:val="28"/>
          <w:highlight w:val="none"/>
        </w:rPr>
        <w:sym w:font="Wingdings 2" w:char="00A3"/>
      </w:r>
      <w:r>
        <w:rPr>
          <w:rFonts w:hint="eastAsia" w:ascii="仿宋_GB2312" w:hAnsi="宋体" w:eastAsia="仿宋_GB2312"/>
          <w:color w:val="auto"/>
          <w:sz w:val="28"/>
          <w:szCs w:val="28"/>
          <w:highlight w:val="none"/>
        </w:rPr>
        <w:t>标示的由招标人填写和勾选的内容，招标人应根据招标项目具体特点和实际需要具体化，确实没有需要填写的，在空格中用“/”标示。其余内容应当不加修改地直接引用。《标准施工资格预审文件》中引用的政策文件发生了变化的，由招标人进行调整。</w:t>
      </w:r>
    </w:p>
    <w:p w14:paraId="771B2BE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四、招标人按照《施工</w:t>
      </w:r>
      <w:r>
        <w:rPr>
          <w:rFonts w:hint="eastAsia" w:ascii="仿宋_GB2312" w:hAnsi="宋体" w:eastAsia="仿宋_GB2312"/>
          <w:color w:val="auto"/>
          <w:sz w:val="28"/>
          <w:szCs w:val="28"/>
          <w:highlight w:val="none"/>
          <w:lang w:eastAsia="zh-CN"/>
        </w:rPr>
        <w:t>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》第一章的格式发布资格预审公告。</w:t>
      </w:r>
    </w:p>
    <w:p w14:paraId="4F05318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五、《施工</w:t>
      </w:r>
      <w:r>
        <w:rPr>
          <w:rFonts w:hint="eastAsia" w:ascii="仿宋_GB2312" w:hAnsi="宋体" w:eastAsia="仿宋_GB2312"/>
          <w:color w:val="auto"/>
          <w:sz w:val="28"/>
          <w:szCs w:val="28"/>
          <w:highlight w:val="none"/>
          <w:lang w:eastAsia="zh-CN"/>
        </w:rPr>
        <w:t>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》以附件方式集中列示的不能通过资格预审的情形是对申请人须知和资格审查办法有关条款的总结和补充，是资格审查办法的组成部分。</w:t>
      </w:r>
    </w:p>
    <w:p w14:paraId="3AB9F3D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left"/>
        <w:textAlignment w:val="auto"/>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六、《施工</w:t>
      </w:r>
      <w:r>
        <w:rPr>
          <w:rFonts w:hint="eastAsia" w:ascii="仿宋_GB2312" w:hAnsi="宋体" w:eastAsia="仿宋_GB2312"/>
          <w:color w:val="auto"/>
          <w:sz w:val="28"/>
          <w:szCs w:val="28"/>
          <w:highlight w:val="none"/>
          <w:lang w:eastAsia="zh-CN"/>
        </w:rPr>
        <w:t>招标</w:t>
      </w:r>
      <w:r>
        <w:rPr>
          <w:rFonts w:hint="eastAsia" w:ascii="仿宋_GB2312" w:hAnsi="宋体" w:eastAsia="仿宋_GB2312"/>
          <w:color w:val="auto"/>
          <w:sz w:val="28"/>
          <w:szCs w:val="28"/>
          <w:highlight w:val="none"/>
        </w:rPr>
        <w:t>资格预审</w:t>
      </w:r>
      <w:r>
        <w:rPr>
          <w:rFonts w:hint="eastAsia" w:ascii="仿宋_GB2312" w:hAnsi="宋体" w:eastAsia="仿宋_GB2312"/>
          <w:color w:val="auto"/>
          <w:sz w:val="28"/>
          <w:szCs w:val="28"/>
          <w:highlight w:val="none"/>
          <w:lang w:eastAsia="zh-CN"/>
        </w:rPr>
        <w:t>示范文本</w:t>
      </w:r>
      <w:r>
        <w:rPr>
          <w:rFonts w:hint="eastAsia" w:ascii="仿宋_GB2312" w:hAnsi="宋体" w:eastAsia="仿宋_GB2312"/>
          <w:color w:val="auto"/>
          <w:sz w:val="28"/>
          <w:szCs w:val="28"/>
          <w:highlight w:val="none"/>
        </w:rPr>
        <w:t>》第三章“资格审查办法”</w:t>
      </w:r>
      <w:bookmarkStart w:id="0" w:name="_Hlk194908753"/>
      <w:r>
        <w:rPr>
          <w:rFonts w:hint="eastAsia" w:ascii="仿宋_GB2312" w:hAnsi="宋体" w:eastAsia="仿宋_GB2312"/>
          <w:color w:val="auto"/>
          <w:sz w:val="28"/>
          <w:szCs w:val="28"/>
          <w:highlight w:val="none"/>
        </w:rPr>
        <w:t>规定合格制和有限数量制两种资格审查方法，</w:t>
      </w:r>
      <w:r>
        <w:rPr>
          <w:rFonts w:hint="eastAsia" w:ascii="仿宋_GB2312" w:hAnsi="宋体" w:eastAsia="仿宋_GB2312"/>
          <w:color w:val="auto"/>
          <w:sz w:val="28"/>
          <w:szCs w:val="28"/>
          <w:highlight w:val="none"/>
          <w:lang w:val="en-US" w:eastAsia="zh-CN"/>
        </w:rPr>
        <w:t>资格审查办法中明确的评审因素和评审标准为通用设置，</w:t>
      </w:r>
      <w:r>
        <w:rPr>
          <w:rFonts w:hint="eastAsia" w:ascii="仿宋_GB2312" w:hAnsi="宋体" w:eastAsia="仿宋_GB2312"/>
          <w:color w:val="auto"/>
          <w:sz w:val="28"/>
          <w:szCs w:val="28"/>
          <w:highlight w:val="none"/>
        </w:rPr>
        <w:t>招标人</w:t>
      </w:r>
      <w:r>
        <w:rPr>
          <w:rFonts w:hint="eastAsia" w:ascii="仿宋_GB2312" w:hAnsi="宋体" w:eastAsia="仿宋_GB2312"/>
          <w:color w:val="auto"/>
          <w:sz w:val="28"/>
          <w:szCs w:val="28"/>
          <w:highlight w:val="none"/>
          <w:lang w:val="en-US" w:eastAsia="zh-CN"/>
        </w:rPr>
        <w:t>可</w:t>
      </w:r>
      <w:r>
        <w:rPr>
          <w:rFonts w:hint="eastAsia" w:ascii="仿宋_GB2312" w:hAnsi="宋体" w:eastAsia="仿宋_GB2312"/>
          <w:color w:val="auto"/>
          <w:sz w:val="28"/>
          <w:szCs w:val="28"/>
          <w:highlight w:val="none"/>
        </w:rPr>
        <w:t>根据招标项目具体特点和实际需要</w:t>
      </w:r>
      <w:r>
        <w:rPr>
          <w:rFonts w:hint="eastAsia" w:ascii="仿宋_GB2312" w:hAnsi="宋体" w:eastAsia="仿宋_GB2312"/>
          <w:color w:val="auto"/>
          <w:sz w:val="28"/>
          <w:szCs w:val="28"/>
          <w:highlight w:val="none"/>
          <w:lang w:val="en-US" w:eastAsia="zh-CN"/>
        </w:rPr>
        <w:t>选择对应资格审查方法，并依法依规对评审因素和评审标准作进一步规定</w:t>
      </w:r>
      <w:r>
        <w:rPr>
          <w:rFonts w:hint="eastAsia" w:ascii="仿宋_GB2312" w:hAnsi="宋体" w:eastAsia="仿宋_GB2312"/>
          <w:color w:val="auto"/>
          <w:sz w:val="28"/>
          <w:szCs w:val="28"/>
          <w:highlight w:val="none"/>
        </w:rPr>
        <w:t>。</w:t>
      </w:r>
      <w:bookmarkEnd w:id="0"/>
    </w:p>
    <w:p w14:paraId="71B15FAF">
      <w:pPr>
        <w:ind w:firstLine="560"/>
        <w:rPr>
          <w:color w:val="auto"/>
          <w:highlight w:val="none"/>
        </w:rPr>
      </w:pPr>
    </w:p>
    <w:p w14:paraId="69DB2CDA">
      <w:pPr>
        <w:ind w:firstLine="560"/>
        <w:rPr>
          <w:color w:val="auto"/>
          <w:highlight w:val="none"/>
        </w:rPr>
      </w:pPr>
    </w:p>
    <w:p w14:paraId="120A61E4">
      <w:pPr>
        <w:ind w:firstLine="560"/>
        <w:rPr>
          <w:color w:val="auto"/>
          <w:highlight w:val="none"/>
        </w:rPr>
      </w:pPr>
    </w:p>
    <w:p w14:paraId="681AFC17">
      <w:pPr>
        <w:ind w:firstLine="560"/>
        <w:rPr>
          <w:color w:val="auto"/>
          <w:highlight w:val="none"/>
        </w:rPr>
      </w:pPr>
    </w:p>
    <w:p w14:paraId="1A02962D">
      <w:pPr>
        <w:ind w:firstLine="560"/>
        <w:rPr>
          <w:color w:val="auto"/>
          <w:highlight w:val="none"/>
        </w:rPr>
      </w:pPr>
    </w:p>
    <w:p w14:paraId="198A7EC5">
      <w:pPr>
        <w:ind w:firstLine="560"/>
        <w:rPr>
          <w:color w:val="auto"/>
          <w:highlight w:val="none"/>
        </w:rPr>
      </w:pPr>
    </w:p>
    <w:p w14:paraId="67266913">
      <w:pPr>
        <w:spacing w:line="540" w:lineRule="exact"/>
        <w:ind w:firstLine="560"/>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招标</w:t>
      </w:r>
      <w:r>
        <w:rPr>
          <w:rFonts w:eastAsia="黑体"/>
          <w:color w:val="auto"/>
          <w:sz w:val="28"/>
          <w:szCs w:val="28"/>
          <w:highlight w:val="none"/>
          <w:u w:val="single"/>
        </w:rPr>
        <w:t>项目</w:t>
      </w:r>
      <w:r>
        <w:rPr>
          <w:rFonts w:hint="eastAsia" w:eastAsia="黑体"/>
          <w:color w:val="auto"/>
          <w:sz w:val="28"/>
          <w:szCs w:val="28"/>
          <w:highlight w:val="none"/>
          <w:u w:val="single"/>
        </w:rPr>
        <w:t>名称及标段</w:t>
      </w:r>
      <w:r>
        <w:rPr>
          <w:rFonts w:eastAsia="黑体"/>
          <w:color w:val="auto"/>
          <w:sz w:val="28"/>
          <w:szCs w:val="28"/>
          <w:highlight w:val="none"/>
          <w:u w:val="single"/>
        </w:rPr>
        <w:t xml:space="preserve">）     </w:t>
      </w:r>
      <w:r>
        <w:rPr>
          <w:rFonts w:hint="eastAsia" w:eastAsia="黑体"/>
          <w:color w:val="auto"/>
          <w:sz w:val="28"/>
          <w:szCs w:val="28"/>
          <w:highlight w:val="none"/>
        </w:rPr>
        <w:t>施工招标</w:t>
      </w:r>
    </w:p>
    <w:p w14:paraId="2AE2158A">
      <w:pPr>
        <w:ind w:firstLine="560"/>
        <w:rPr>
          <w:color w:val="auto"/>
          <w:highlight w:val="none"/>
        </w:rPr>
      </w:pPr>
    </w:p>
    <w:p w14:paraId="65688755">
      <w:pPr>
        <w:ind w:firstLine="560"/>
        <w:rPr>
          <w:color w:val="auto"/>
          <w:highlight w:val="none"/>
        </w:rPr>
      </w:pPr>
    </w:p>
    <w:p w14:paraId="645C422A">
      <w:pPr>
        <w:ind w:firstLine="560"/>
        <w:rPr>
          <w:color w:val="auto"/>
          <w:highlight w:val="none"/>
        </w:rPr>
      </w:pPr>
    </w:p>
    <w:p w14:paraId="5FD0FBF3">
      <w:pPr>
        <w:ind w:firstLine="560"/>
        <w:rPr>
          <w:color w:val="auto"/>
          <w:highlight w:val="none"/>
        </w:rPr>
      </w:pPr>
    </w:p>
    <w:p w14:paraId="75C403E0">
      <w:pPr>
        <w:ind w:firstLine="560"/>
        <w:rPr>
          <w:color w:val="auto"/>
          <w:highlight w:val="none"/>
        </w:rPr>
      </w:pPr>
    </w:p>
    <w:p w14:paraId="25C38B11">
      <w:pPr>
        <w:ind w:firstLine="560"/>
        <w:rPr>
          <w:color w:val="auto"/>
          <w:highlight w:val="none"/>
        </w:rPr>
      </w:pPr>
    </w:p>
    <w:p w14:paraId="47E5E773">
      <w:pPr>
        <w:ind w:firstLine="560"/>
        <w:rPr>
          <w:color w:val="auto"/>
          <w:highlight w:val="none"/>
        </w:rPr>
      </w:pPr>
    </w:p>
    <w:p w14:paraId="54C4AD04">
      <w:pPr>
        <w:ind w:firstLine="560"/>
        <w:rPr>
          <w:color w:val="auto"/>
          <w:highlight w:val="none"/>
        </w:rPr>
      </w:pPr>
    </w:p>
    <w:p w14:paraId="6C499BE7">
      <w:pPr>
        <w:ind w:firstLine="560"/>
        <w:rPr>
          <w:color w:val="auto"/>
          <w:highlight w:val="none"/>
        </w:rPr>
      </w:pPr>
    </w:p>
    <w:p w14:paraId="59351646">
      <w:pPr>
        <w:ind w:firstLine="560"/>
        <w:rPr>
          <w:color w:val="auto"/>
          <w:highlight w:val="none"/>
        </w:rPr>
      </w:pPr>
    </w:p>
    <w:p w14:paraId="7A3EE73A">
      <w:pPr>
        <w:ind w:firstLine="560"/>
        <w:rPr>
          <w:color w:val="auto"/>
          <w:highlight w:val="none"/>
        </w:rPr>
      </w:pPr>
    </w:p>
    <w:p w14:paraId="1E9A3C7C">
      <w:pPr>
        <w:ind w:firstLine="1440"/>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rPr>
        <w:t>资 格 预 审 文 件</w:t>
      </w:r>
    </w:p>
    <w:p w14:paraId="53D9AC76">
      <w:pPr>
        <w:ind w:firstLine="560"/>
        <w:rPr>
          <w:color w:val="auto"/>
          <w:highlight w:val="none"/>
        </w:rPr>
      </w:pPr>
    </w:p>
    <w:p w14:paraId="3656D273">
      <w:pPr>
        <w:ind w:firstLine="560"/>
        <w:rPr>
          <w:color w:val="auto"/>
          <w:highlight w:val="none"/>
        </w:rPr>
      </w:pPr>
    </w:p>
    <w:p w14:paraId="708F26C2">
      <w:pPr>
        <w:ind w:firstLine="560"/>
        <w:rPr>
          <w:color w:val="auto"/>
          <w:highlight w:val="none"/>
        </w:rPr>
      </w:pPr>
    </w:p>
    <w:p w14:paraId="1257D083">
      <w:pPr>
        <w:ind w:firstLine="560"/>
        <w:rPr>
          <w:color w:val="auto"/>
          <w:highlight w:val="none"/>
        </w:rPr>
      </w:pPr>
    </w:p>
    <w:p w14:paraId="7DBC4342">
      <w:pPr>
        <w:ind w:firstLine="560"/>
        <w:rPr>
          <w:color w:val="auto"/>
          <w:highlight w:val="none"/>
        </w:rPr>
      </w:pPr>
    </w:p>
    <w:p w14:paraId="2A2E1B14">
      <w:pPr>
        <w:ind w:firstLine="560"/>
        <w:rPr>
          <w:color w:val="auto"/>
          <w:highlight w:val="none"/>
        </w:rPr>
      </w:pPr>
    </w:p>
    <w:p w14:paraId="00592272">
      <w:pPr>
        <w:ind w:firstLine="560"/>
        <w:rPr>
          <w:color w:val="auto"/>
          <w:highlight w:val="none"/>
        </w:rPr>
      </w:pPr>
    </w:p>
    <w:p w14:paraId="6BE3905A">
      <w:pPr>
        <w:ind w:firstLine="560"/>
        <w:rPr>
          <w:color w:val="auto"/>
          <w:highlight w:val="none"/>
        </w:rPr>
      </w:pPr>
    </w:p>
    <w:p w14:paraId="1139DBD3">
      <w:pPr>
        <w:ind w:firstLine="560"/>
        <w:rPr>
          <w:color w:val="auto"/>
          <w:highlight w:val="none"/>
        </w:rPr>
      </w:pPr>
    </w:p>
    <w:p w14:paraId="36BF7529">
      <w:pPr>
        <w:ind w:firstLine="560"/>
        <w:rPr>
          <w:color w:val="auto"/>
          <w:highlight w:val="none"/>
        </w:rPr>
      </w:pPr>
    </w:p>
    <w:p w14:paraId="5BFAC33E">
      <w:pPr>
        <w:ind w:firstLine="560"/>
        <w:rPr>
          <w:color w:val="auto"/>
          <w:highlight w:val="none"/>
        </w:rPr>
      </w:pPr>
    </w:p>
    <w:p w14:paraId="5876222F">
      <w:pPr>
        <w:ind w:firstLine="560"/>
        <w:rPr>
          <w:color w:val="auto"/>
          <w:highlight w:val="none"/>
        </w:rPr>
      </w:pPr>
    </w:p>
    <w:p w14:paraId="69499203">
      <w:pPr>
        <w:ind w:firstLine="560"/>
        <w:rPr>
          <w:color w:val="auto"/>
          <w:highlight w:val="none"/>
        </w:rPr>
      </w:pPr>
    </w:p>
    <w:p w14:paraId="3BC669C7">
      <w:pPr>
        <w:ind w:firstLine="560"/>
        <w:rPr>
          <w:color w:val="auto"/>
          <w:highlight w:val="none"/>
        </w:rPr>
      </w:pPr>
    </w:p>
    <w:p w14:paraId="331F7228">
      <w:pPr>
        <w:ind w:firstLine="560"/>
        <w:rPr>
          <w:color w:val="auto"/>
          <w:highlight w:val="none"/>
        </w:rPr>
      </w:pPr>
    </w:p>
    <w:p w14:paraId="39EDFE1F">
      <w:pPr>
        <w:ind w:firstLine="560"/>
        <w:rPr>
          <w:color w:val="auto"/>
          <w:highlight w:val="none"/>
        </w:rPr>
      </w:pPr>
    </w:p>
    <w:p w14:paraId="6D6D752B">
      <w:pPr>
        <w:ind w:firstLine="560"/>
        <w:rPr>
          <w:color w:val="auto"/>
          <w:highlight w:val="none"/>
        </w:rPr>
      </w:pPr>
    </w:p>
    <w:p w14:paraId="20D093DD">
      <w:pPr>
        <w:ind w:firstLine="560"/>
        <w:rPr>
          <w:color w:val="auto"/>
          <w:highlight w:val="none"/>
        </w:rPr>
      </w:pPr>
    </w:p>
    <w:p w14:paraId="416AB8C5">
      <w:pPr>
        <w:ind w:firstLine="560"/>
        <w:rPr>
          <w:color w:val="auto"/>
          <w:highlight w:val="none"/>
        </w:rPr>
      </w:pPr>
    </w:p>
    <w:p w14:paraId="64E5A902">
      <w:pPr>
        <w:ind w:firstLine="560"/>
        <w:rPr>
          <w:color w:val="auto"/>
          <w:highlight w:val="none"/>
        </w:rPr>
      </w:pPr>
    </w:p>
    <w:p w14:paraId="13FF3E9E">
      <w:pPr>
        <w:ind w:firstLine="560"/>
        <w:rPr>
          <w:color w:val="auto"/>
          <w:highlight w:val="none"/>
        </w:rPr>
      </w:pPr>
    </w:p>
    <w:p w14:paraId="1A833AFE">
      <w:pPr>
        <w:ind w:firstLine="560"/>
        <w:rPr>
          <w:color w:val="auto"/>
          <w:highlight w:val="none"/>
        </w:rPr>
      </w:pPr>
    </w:p>
    <w:p w14:paraId="43AA5D34">
      <w:pPr>
        <w:ind w:firstLine="560"/>
        <w:rPr>
          <w:color w:val="auto"/>
          <w:highlight w:val="none"/>
        </w:rPr>
      </w:pPr>
    </w:p>
    <w:p w14:paraId="2AACF19E">
      <w:pPr>
        <w:ind w:firstLine="560"/>
        <w:rPr>
          <w:color w:val="auto"/>
          <w:highlight w:val="none"/>
        </w:rPr>
      </w:pPr>
    </w:p>
    <w:p w14:paraId="62AA4C91">
      <w:pPr>
        <w:ind w:firstLine="560"/>
        <w:rPr>
          <w:color w:val="auto"/>
          <w:highlight w:val="none"/>
        </w:rPr>
      </w:pPr>
    </w:p>
    <w:p w14:paraId="55980595">
      <w:pPr>
        <w:ind w:firstLine="560"/>
        <w:rPr>
          <w:color w:val="auto"/>
          <w:highlight w:val="none"/>
        </w:rPr>
      </w:pPr>
    </w:p>
    <w:p w14:paraId="418E1803">
      <w:pPr>
        <w:ind w:firstLine="560"/>
        <w:rPr>
          <w:color w:val="auto"/>
          <w:highlight w:val="none"/>
        </w:rPr>
      </w:pPr>
    </w:p>
    <w:p w14:paraId="0F51E032">
      <w:pPr>
        <w:spacing w:line="360" w:lineRule="auto"/>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招标人（或招标代理机构）：</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（盖单位电子公章）</w:t>
      </w:r>
    </w:p>
    <w:p w14:paraId="1AB58845">
      <w:pPr>
        <w:spacing w:line="540" w:lineRule="exact"/>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日    期：</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年</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月</w:t>
      </w:r>
      <w:r>
        <w:rPr>
          <w:rFonts w:hint="eastAsia"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rPr>
        <w:t>日</w:t>
      </w:r>
    </w:p>
    <w:p w14:paraId="6B9595AD">
      <w:pPr>
        <w:ind w:firstLine="560"/>
        <w:rPr>
          <w:rFonts w:hint="eastAsia" w:ascii="宋体" w:hAnsi="宋体"/>
          <w:color w:val="auto"/>
          <w:highlight w:val="none"/>
        </w:rPr>
      </w:pPr>
      <w:r>
        <w:rPr>
          <w:rFonts w:ascii="宋体" w:hAnsi="宋体"/>
          <w:color w:val="auto"/>
          <w:highlight w:val="none"/>
        </w:rPr>
        <w:br w:type="column"/>
      </w:r>
    </w:p>
    <w:p w14:paraId="42E20CED">
      <w:pPr>
        <w:ind w:firstLine="960"/>
        <w:jc w:val="center"/>
        <w:rPr>
          <w:rFonts w:hint="eastAsia" w:ascii="黑体" w:hAnsi="宋体" w:eastAsia="黑体"/>
          <w:color w:val="auto"/>
          <w:sz w:val="48"/>
          <w:szCs w:val="48"/>
          <w:highlight w:val="none"/>
        </w:rPr>
      </w:pPr>
      <w:r>
        <w:rPr>
          <w:rFonts w:hint="eastAsia" w:ascii="黑体" w:hAnsi="宋体" w:eastAsia="黑体"/>
          <w:color w:val="auto"/>
          <w:sz w:val="48"/>
          <w:szCs w:val="48"/>
          <w:highlight w:val="none"/>
        </w:rPr>
        <w:t>目  录</w:t>
      </w:r>
    </w:p>
    <w:p w14:paraId="417FE235">
      <w:pPr>
        <w:pStyle w:val="15"/>
        <w:keepNext w:val="0"/>
        <w:keepLines w:val="0"/>
        <w:pageBreakBefore w:val="0"/>
        <w:widowControl w:val="0"/>
        <w:tabs>
          <w:tab w:val="right" w:leader="dot" w:pos="8900"/>
        </w:tabs>
        <w:kinsoku/>
        <w:wordWrap/>
        <w:overflowPunct/>
        <w:topLinePunct w:val="0"/>
        <w:autoSpaceDE/>
        <w:autoSpaceDN/>
        <w:bidi w:val="0"/>
        <w:adjustRightInd/>
        <w:snapToGrid/>
        <w:spacing w:line="360" w:lineRule="auto"/>
        <w:ind w:firstLine="480"/>
        <w:textAlignment w:val="auto"/>
        <w:rPr>
          <w:color w:val="auto"/>
          <w:highlight w:val="none"/>
        </w:rPr>
      </w:pPr>
      <w:r>
        <w:rPr>
          <w:rFonts w:ascii="宋体" w:hAnsi="宋体"/>
          <w:color w:val="auto"/>
          <w:sz w:val="24"/>
          <w:highlight w:val="none"/>
        </w:rPr>
        <w:fldChar w:fldCharType="begin"/>
      </w:r>
      <w:r>
        <w:rPr>
          <w:rFonts w:ascii="宋体" w:hAnsi="宋体"/>
          <w:color w:val="auto"/>
          <w:sz w:val="24"/>
          <w:highlight w:val="none"/>
        </w:rPr>
        <w:instrText xml:space="preserve"> TOC \o "1-3" \h \z \u </w:instrText>
      </w:r>
      <w:r>
        <w:rPr>
          <w:rFonts w:ascii="宋体" w:hAnsi="宋体"/>
          <w:color w:val="auto"/>
          <w:sz w:val="24"/>
          <w:highlight w:val="none"/>
        </w:rPr>
        <w:fldChar w:fldCharType="separate"/>
      </w:r>
      <w:r>
        <w:rPr>
          <w:color w:val="auto"/>
          <w:highlight w:val="none"/>
        </w:rPr>
        <w:fldChar w:fldCharType="begin"/>
      </w:r>
      <w:r>
        <w:rPr>
          <w:color w:val="auto"/>
          <w:highlight w:val="none"/>
        </w:rPr>
        <w:instrText xml:space="preserve"> HYPERLINK \l "_Toc4339" </w:instrText>
      </w:r>
      <w:r>
        <w:rPr>
          <w:color w:val="auto"/>
          <w:highlight w:val="none"/>
        </w:rPr>
        <w:fldChar w:fldCharType="separate"/>
      </w:r>
      <w:r>
        <w:rPr>
          <w:rFonts w:eastAsia="黑体"/>
          <w:color w:val="auto"/>
          <w:highlight w:val="none"/>
        </w:rPr>
        <w:t xml:space="preserve">第一章  </w:t>
      </w:r>
      <w:r>
        <w:rPr>
          <w:rFonts w:hint="eastAsia" w:eastAsia="黑体"/>
          <w:color w:val="auto"/>
          <w:highlight w:val="none"/>
        </w:rPr>
        <w:t>资格预审</w:t>
      </w:r>
      <w:r>
        <w:rPr>
          <w:rFonts w:eastAsia="黑体"/>
          <w:color w:val="auto"/>
          <w:highlight w:val="none"/>
        </w:rPr>
        <w:t>公告</w:t>
      </w:r>
      <w:r>
        <w:rPr>
          <w:color w:val="auto"/>
          <w:highlight w:val="none"/>
        </w:rPr>
        <w:tab/>
      </w:r>
      <w:r>
        <w:rPr>
          <w:color w:val="auto"/>
          <w:highlight w:val="none"/>
        </w:rPr>
        <w:fldChar w:fldCharType="begin"/>
      </w:r>
      <w:r>
        <w:rPr>
          <w:color w:val="auto"/>
          <w:highlight w:val="none"/>
        </w:rPr>
        <w:instrText xml:space="preserve"> PAGEREF _Toc4339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E63E0F9">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"_Toc7420" </w:instrText>
      </w:r>
      <w:r>
        <w:rPr>
          <w:color w:val="auto"/>
          <w:highlight w:val="none"/>
        </w:rPr>
        <w:fldChar w:fldCharType="separate"/>
      </w:r>
      <w:r>
        <w:rPr>
          <w:rFonts w:hint="eastAsia" w:ascii="黑体" w:hAnsi="黑体" w:eastAsia="黑体" w:cs="黑体"/>
          <w:color w:val="auto"/>
          <w:highlight w:val="none"/>
        </w:rPr>
        <w:t>1.招标条件</w:t>
      </w:r>
      <w:r>
        <w:rPr>
          <w:color w:val="auto"/>
          <w:highlight w:val="none"/>
        </w:rPr>
        <w:tab/>
      </w:r>
      <w:r>
        <w:rPr>
          <w:color w:val="auto"/>
          <w:highlight w:val="none"/>
        </w:rPr>
        <w:fldChar w:fldCharType="begin"/>
      </w:r>
      <w:r>
        <w:rPr>
          <w:color w:val="auto"/>
          <w:highlight w:val="none"/>
        </w:rPr>
        <w:instrText xml:space="preserve"> PAGEREF _Toc7420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7163E7C">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"_Toc21245" </w:instrText>
      </w:r>
      <w:r>
        <w:rPr>
          <w:color w:val="auto"/>
          <w:highlight w:val="none"/>
        </w:rPr>
        <w:fldChar w:fldCharType="separate"/>
      </w:r>
      <w:r>
        <w:rPr>
          <w:rFonts w:hint="eastAsia" w:ascii="黑体" w:hAnsi="黑体" w:eastAsia="黑体" w:cs="黑体"/>
          <w:color w:val="auto"/>
          <w:highlight w:val="none"/>
        </w:rPr>
        <w:t>2.项目概况</w:t>
      </w:r>
      <w:r>
        <w:rPr>
          <w:color w:val="auto"/>
          <w:highlight w:val="none"/>
        </w:rPr>
        <w:tab/>
      </w:r>
      <w:r>
        <w:rPr>
          <w:color w:val="auto"/>
          <w:highlight w:val="none"/>
        </w:rPr>
        <w:fldChar w:fldCharType="begin"/>
      </w:r>
      <w:r>
        <w:rPr>
          <w:color w:val="auto"/>
          <w:highlight w:val="none"/>
        </w:rPr>
        <w:instrText xml:space="preserve"> PAGEREF _Toc21245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61F2556">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"_Toc26620" </w:instrText>
      </w:r>
      <w:r>
        <w:rPr>
          <w:color w:val="auto"/>
          <w:highlight w:val="none"/>
        </w:rPr>
        <w:fldChar w:fldCharType="separate"/>
      </w:r>
      <w:r>
        <w:rPr>
          <w:rFonts w:hint="eastAsia" w:ascii="黑体" w:hAnsi="黑体" w:eastAsia="黑体" w:cs="宋体"/>
          <w:snapToGrid w:val="0"/>
          <w:color w:val="auto"/>
          <w:kern w:val="0"/>
          <w:szCs w:val="32"/>
          <w:highlight w:val="none"/>
        </w:rPr>
        <w:t>3.招标范围</w:t>
      </w:r>
      <w:r>
        <w:rPr>
          <w:color w:val="auto"/>
          <w:highlight w:val="none"/>
        </w:rPr>
        <w:tab/>
      </w:r>
      <w:r>
        <w:rPr>
          <w:color w:val="auto"/>
          <w:highlight w:val="none"/>
        </w:rPr>
        <w:fldChar w:fldCharType="begin"/>
      </w:r>
      <w:r>
        <w:rPr>
          <w:color w:val="auto"/>
          <w:highlight w:val="none"/>
        </w:rPr>
        <w:instrText xml:space="preserve"> PAGEREF _Toc26620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BCEA0D3">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"_Toc28461" </w:instrText>
      </w:r>
      <w:r>
        <w:rPr>
          <w:color w:val="auto"/>
          <w:highlight w:val="none"/>
        </w:rPr>
        <w:fldChar w:fldCharType="separate"/>
      </w:r>
      <w:r>
        <w:rPr>
          <w:rFonts w:ascii="黑体" w:hAnsi="黑体" w:eastAsia="黑体" w:cs="宋体"/>
          <w:snapToGrid w:val="0"/>
          <w:color w:val="auto"/>
          <w:kern w:val="0"/>
          <w:szCs w:val="32"/>
          <w:highlight w:val="none"/>
        </w:rPr>
        <w:t>4.</w:t>
      </w:r>
      <w:r>
        <w:rPr>
          <w:rFonts w:hint="eastAsia" w:ascii="黑体" w:hAnsi="黑体" w:eastAsia="黑体" w:cs="宋体"/>
          <w:snapToGrid w:val="0"/>
          <w:color w:val="auto"/>
          <w:kern w:val="0"/>
          <w:szCs w:val="32"/>
          <w:highlight w:val="none"/>
        </w:rPr>
        <w:t>申请人资格要求</w:t>
      </w:r>
      <w:r>
        <w:rPr>
          <w:color w:val="auto"/>
          <w:highlight w:val="none"/>
        </w:rPr>
        <w:tab/>
      </w:r>
      <w:r>
        <w:rPr>
          <w:color w:val="auto"/>
          <w:highlight w:val="none"/>
        </w:rPr>
        <w:fldChar w:fldCharType="begin"/>
      </w:r>
      <w:r>
        <w:rPr>
          <w:color w:val="auto"/>
          <w:highlight w:val="none"/>
        </w:rPr>
        <w:instrText xml:space="preserve"> PAGEREF _Toc28461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5420B0B">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"_Toc885" </w:instrText>
      </w:r>
      <w:r>
        <w:rPr>
          <w:color w:val="auto"/>
          <w:highlight w:val="none"/>
        </w:rPr>
        <w:fldChar w:fldCharType="separate"/>
      </w:r>
      <w:r>
        <w:rPr>
          <w:rFonts w:hint="eastAsia" w:eastAsia="黑体"/>
          <w:bCs/>
          <w:color w:val="auto"/>
          <w:szCs w:val="32"/>
          <w:highlight w:val="none"/>
        </w:rPr>
        <w:t>5.资格预审方法</w:t>
      </w:r>
      <w:r>
        <w:rPr>
          <w:color w:val="auto"/>
          <w:highlight w:val="none"/>
        </w:rPr>
        <w:tab/>
      </w:r>
      <w:r>
        <w:rPr>
          <w:color w:val="auto"/>
          <w:highlight w:val="none"/>
        </w:rPr>
        <w:fldChar w:fldCharType="begin"/>
      </w:r>
      <w:r>
        <w:rPr>
          <w:color w:val="auto"/>
          <w:highlight w:val="none"/>
        </w:rPr>
        <w:instrText xml:space="preserve"> PAGEREF _Toc885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27BF607">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"_Toc14515" </w:instrText>
      </w:r>
      <w:r>
        <w:rPr>
          <w:color w:val="auto"/>
          <w:highlight w:val="none"/>
        </w:rPr>
        <w:fldChar w:fldCharType="separate"/>
      </w:r>
      <w:r>
        <w:rPr>
          <w:rFonts w:hint="eastAsia" w:eastAsia="黑体"/>
          <w:color w:val="auto"/>
          <w:highlight w:val="none"/>
        </w:rPr>
        <w:t>6.资格预审文件的获取</w:t>
      </w:r>
      <w:r>
        <w:rPr>
          <w:color w:val="auto"/>
          <w:highlight w:val="none"/>
        </w:rPr>
        <w:tab/>
      </w:r>
      <w:r>
        <w:rPr>
          <w:color w:val="auto"/>
          <w:highlight w:val="none"/>
        </w:rPr>
        <w:fldChar w:fldCharType="begin"/>
      </w:r>
      <w:r>
        <w:rPr>
          <w:color w:val="auto"/>
          <w:highlight w:val="none"/>
        </w:rPr>
        <w:instrText xml:space="preserve"> PAGEREF _Toc14515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5B174A5">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"_Toc30187" </w:instrText>
      </w:r>
      <w:r>
        <w:rPr>
          <w:color w:val="auto"/>
          <w:highlight w:val="none"/>
        </w:rPr>
        <w:fldChar w:fldCharType="separate"/>
      </w:r>
      <w:r>
        <w:rPr>
          <w:rFonts w:hint="eastAsia" w:eastAsia="黑体"/>
          <w:color w:val="auto"/>
          <w:highlight w:val="none"/>
        </w:rPr>
        <w:t>7.资格预审申请文件的递交</w:t>
      </w:r>
      <w:r>
        <w:rPr>
          <w:color w:val="auto"/>
          <w:highlight w:val="none"/>
        </w:rPr>
        <w:tab/>
      </w:r>
      <w:r>
        <w:rPr>
          <w:color w:val="auto"/>
          <w:highlight w:val="none"/>
        </w:rPr>
        <w:fldChar w:fldCharType="begin"/>
      </w:r>
      <w:r>
        <w:rPr>
          <w:color w:val="auto"/>
          <w:highlight w:val="none"/>
        </w:rPr>
        <w:instrText xml:space="preserve"> PAGEREF _Toc30187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364C66">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"_Toc10463" </w:instrText>
      </w:r>
      <w:r>
        <w:rPr>
          <w:color w:val="auto"/>
          <w:highlight w:val="none"/>
        </w:rPr>
        <w:fldChar w:fldCharType="separate"/>
      </w:r>
      <w:r>
        <w:rPr>
          <w:rFonts w:hint="eastAsia" w:eastAsia="黑体"/>
          <w:color w:val="auto"/>
          <w:highlight w:val="none"/>
        </w:rPr>
        <w:t>8.评标办法</w:t>
      </w:r>
      <w:bookmarkStart w:id="333" w:name="_GoBack"/>
      <w:bookmarkEnd w:id="333"/>
      <w:r>
        <w:rPr>
          <w:color w:val="auto"/>
          <w:highlight w:val="none"/>
        </w:rPr>
        <w:tab/>
      </w:r>
      <w:r>
        <w:rPr>
          <w:color w:val="auto"/>
          <w:highlight w:val="none"/>
        </w:rPr>
        <w:fldChar w:fldCharType="begin"/>
      </w:r>
      <w:r>
        <w:rPr>
          <w:color w:val="auto"/>
          <w:highlight w:val="none"/>
        </w:rPr>
        <w:instrText xml:space="preserve"> PAGEREF _Toc10463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19657DF">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"_Toc3041" </w:instrText>
      </w:r>
      <w:r>
        <w:rPr>
          <w:color w:val="auto"/>
          <w:highlight w:val="none"/>
        </w:rPr>
        <w:fldChar w:fldCharType="separate"/>
      </w:r>
      <w:r>
        <w:rPr>
          <w:rFonts w:hint="eastAsia" w:eastAsia="黑体"/>
          <w:color w:val="auto"/>
          <w:highlight w:val="none"/>
        </w:rPr>
        <w:t>9.发布公告的媒介</w:t>
      </w:r>
      <w:r>
        <w:rPr>
          <w:color w:val="auto"/>
          <w:highlight w:val="none"/>
        </w:rPr>
        <w:tab/>
      </w:r>
      <w:r>
        <w:rPr>
          <w:color w:val="auto"/>
          <w:highlight w:val="none"/>
        </w:rPr>
        <w:fldChar w:fldCharType="begin"/>
      </w:r>
      <w:r>
        <w:rPr>
          <w:color w:val="auto"/>
          <w:highlight w:val="none"/>
        </w:rPr>
        <w:instrText xml:space="preserve"> PAGEREF _Toc3041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E4CE24E">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"_Toc31790" </w:instrText>
      </w:r>
      <w:r>
        <w:rPr>
          <w:color w:val="auto"/>
          <w:highlight w:val="none"/>
        </w:rPr>
        <w:fldChar w:fldCharType="separate"/>
      </w:r>
      <w:r>
        <w:rPr>
          <w:rFonts w:hint="eastAsia" w:eastAsia="黑体"/>
          <w:color w:val="auto"/>
          <w:highlight w:val="none"/>
        </w:rPr>
        <w:t>10.其它</w:t>
      </w:r>
      <w:r>
        <w:rPr>
          <w:color w:val="auto"/>
          <w:highlight w:val="none"/>
        </w:rPr>
        <w:tab/>
      </w:r>
      <w:r>
        <w:rPr>
          <w:color w:val="auto"/>
          <w:highlight w:val="none"/>
        </w:rPr>
        <w:fldChar w:fldCharType="begin"/>
      </w:r>
      <w:r>
        <w:rPr>
          <w:color w:val="auto"/>
          <w:highlight w:val="none"/>
        </w:rPr>
        <w:instrText xml:space="preserve"> PAGEREF _Toc31790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021957D2">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fldChar w:fldCharType="begin"/>
      </w:r>
      <w:r>
        <w:rPr>
          <w:color w:val="auto"/>
          <w:highlight w:val="none"/>
        </w:rPr>
        <w:instrText xml:space="preserve"> HYPERLINK \l "_Toc30840" </w:instrText>
      </w:r>
      <w:r>
        <w:rPr>
          <w:color w:val="auto"/>
          <w:highlight w:val="none"/>
        </w:rPr>
        <w:fldChar w:fldCharType="separate"/>
      </w:r>
      <w:r>
        <w:rPr>
          <w:rFonts w:hint="eastAsia" w:eastAsia="黑体"/>
          <w:color w:val="auto"/>
          <w:highlight w:val="none"/>
        </w:rPr>
        <w:t>11.联系方式</w:t>
      </w:r>
      <w:r>
        <w:rPr>
          <w:color w:val="auto"/>
          <w:highlight w:val="none"/>
        </w:rPr>
        <w:tab/>
      </w:r>
      <w:r>
        <w:rPr>
          <w:color w:val="auto"/>
          <w:highlight w:val="none"/>
        </w:rPr>
        <w:fldChar w:fldCharType="begin"/>
      </w:r>
      <w:r>
        <w:rPr>
          <w:color w:val="auto"/>
          <w:highlight w:val="none"/>
        </w:rPr>
        <w:instrText xml:space="preserve"> PAGEREF _Toc30840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EAC45F8">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"_Toc4212" </w:instrText>
      </w:r>
      <w:r>
        <w:rPr>
          <w:color w:val="auto"/>
          <w:highlight w:val="none"/>
        </w:rPr>
        <w:fldChar w:fldCharType="separate"/>
      </w:r>
      <w:r>
        <w:rPr>
          <w:rFonts w:hint="eastAsia" w:ascii="黑体" w:hAnsi="宋体" w:eastAsia="黑体" w:cs="黑体"/>
          <w:color w:val="auto"/>
          <w:highlight w:val="none"/>
        </w:rPr>
        <w:t>第二章  申请人须知</w:t>
      </w:r>
      <w:r>
        <w:rPr>
          <w:color w:val="auto"/>
          <w:highlight w:val="none"/>
        </w:rPr>
        <w:tab/>
      </w:r>
      <w:r>
        <w:rPr>
          <w:color w:val="auto"/>
          <w:highlight w:val="none"/>
        </w:rPr>
        <w:fldChar w:fldCharType="begin"/>
      </w:r>
      <w:r>
        <w:rPr>
          <w:color w:val="auto"/>
          <w:highlight w:val="none"/>
        </w:rPr>
        <w:instrText xml:space="preserve"> PAGEREF _Toc4212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FFB84AF">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"_Toc1190" </w:instrText>
      </w:r>
      <w:r>
        <w:rPr>
          <w:color w:val="auto"/>
          <w:highlight w:val="none"/>
        </w:rPr>
        <w:fldChar w:fldCharType="separate"/>
      </w:r>
      <w:r>
        <w:rPr>
          <w:rFonts w:hint="eastAsia" w:ascii="黑体" w:hAnsi="宋体" w:eastAsia="黑体"/>
          <w:color w:val="auto"/>
          <w:szCs w:val="28"/>
          <w:highlight w:val="none"/>
        </w:rPr>
        <w:t>1.总则</w:t>
      </w:r>
      <w:r>
        <w:rPr>
          <w:color w:val="auto"/>
          <w:highlight w:val="none"/>
        </w:rPr>
        <w:tab/>
      </w:r>
      <w:r>
        <w:rPr>
          <w:color w:val="auto"/>
          <w:highlight w:val="none"/>
        </w:rPr>
        <w:fldChar w:fldCharType="begin"/>
      </w:r>
      <w:r>
        <w:rPr>
          <w:color w:val="auto"/>
          <w:highlight w:val="none"/>
        </w:rPr>
        <w:instrText xml:space="preserve"> PAGEREF _Toc1190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B0B6060">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"_Toc2962" </w:instrText>
      </w:r>
      <w:r>
        <w:rPr>
          <w:color w:val="auto"/>
          <w:highlight w:val="none"/>
        </w:rPr>
        <w:fldChar w:fldCharType="separate"/>
      </w:r>
      <w:r>
        <w:rPr>
          <w:rFonts w:hint="eastAsia" w:ascii="黑体" w:hAnsi="宋体" w:eastAsia="黑体"/>
          <w:color w:val="auto"/>
          <w:szCs w:val="28"/>
          <w:highlight w:val="none"/>
        </w:rPr>
        <w:t>2.资格预审文件</w:t>
      </w:r>
      <w:r>
        <w:rPr>
          <w:color w:val="auto"/>
          <w:highlight w:val="none"/>
        </w:rPr>
        <w:tab/>
      </w:r>
      <w:r>
        <w:rPr>
          <w:color w:val="auto"/>
          <w:highlight w:val="none"/>
        </w:rPr>
        <w:fldChar w:fldCharType="begin"/>
      </w:r>
      <w:r>
        <w:rPr>
          <w:color w:val="auto"/>
          <w:highlight w:val="none"/>
        </w:rPr>
        <w:instrText xml:space="preserve"> PAGEREF _Toc2962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55206D55">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"_Toc17533" </w:instrText>
      </w:r>
      <w:r>
        <w:rPr>
          <w:color w:val="auto"/>
          <w:highlight w:val="none"/>
        </w:rPr>
        <w:fldChar w:fldCharType="separate"/>
      </w:r>
      <w:r>
        <w:rPr>
          <w:rFonts w:hint="eastAsia" w:ascii="黑体" w:hAnsi="宋体" w:eastAsia="黑体"/>
          <w:color w:val="auto"/>
          <w:szCs w:val="28"/>
          <w:highlight w:val="none"/>
        </w:rPr>
        <w:t>3.资格预审申请文件的编制</w:t>
      </w:r>
      <w:r>
        <w:rPr>
          <w:color w:val="auto"/>
          <w:highlight w:val="none"/>
        </w:rPr>
        <w:tab/>
      </w:r>
      <w:r>
        <w:rPr>
          <w:color w:val="auto"/>
          <w:highlight w:val="none"/>
        </w:rPr>
        <w:fldChar w:fldCharType="begin"/>
      </w:r>
      <w:r>
        <w:rPr>
          <w:color w:val="auto"/>
          <w:highlight w:val="none"/>
        </w:rPr>
        <w:instrText xml:space="preserve"> PAGEREF _Toc17533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5ED6330">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"_Toc2078" </w:instrText>
      </w:r>
      <w:r>
        <w:rPr>
          <w:color w:val="auto"/>
          <w:highlight w:val="none"/>
        </w:rPr>
        <w:fldChar w:fldCharType="separate"/>
      </w:r>
      <w:r>
        <w:rPr>
          <w:rFonts w:hint="eastAsia" w:ascii="黑体" w:hAnsi="宋体" w:eastAsia="黑体"/>
          <w:color w:val="auto"/>
          <w:szCs w:val="28"/>
          <w:highlight w:val="none"/>
        </w:rPr>
        <w:t>4.资格预审申请文件的递交</w:t>
      </w:r>
      <w:r>
        <w:rPr>
          <w:color w:val="auto"/>
          <w:highlight w:val="none"/>
        </w:rPr>
        <w:tab/>
      </w:r>
      <w:r>
        <w:rPr>
          <w:color w:val="auto"/>
          <w:highlight w:val="none"/>
        </w:rPr>
        <w:fldChar w:fldCharType="begin"/>
      </w:r>
      <w:r>
        <w:rPr>
          <w:color w:val="auto"/>
          <w:highlight w:val="none"/>
        </w:rPr>
        <w:instrText xml:space="preserve"> PAGEREF _Toc2078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6BE1304">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"_Toc11201" </w:instrText>
      </w:r>
      <w:r>
        <w:rPr>
          <w:color w:val="auto"/>
          <w:highlight w:val="none"/>
        </w:rPr>
        <w:fldChar w:fldCharType="separate"/>
      </w:r>
      <w:r>
        <w:rPr>
          <w:rFonts w:hint="eastAsia" w:ascii="黑体" w:hAnsi="宋体" w:eastAsia="黑体"/>
          <w:color w:val="auto"/>
          <w:szCs w:val="28"/>
          <w:highlight w:val="none"/>
        </w:rPr>
        <w:t>5.资格预审申请文件的审查</w:t>
      </w:r>
      <w:r>
        <w:rPr>
          <w:color w:val="auto"/>
          <w:highlight w:val="none"/>
        </w:rPr>
        <w:tab/>
      </w:r>
      <w:r>
        <w:rPr>
          <w:color w:val="auto"/>
          <w:highlight w:val="none"/>
        </w:rPr>
        <w:fldChar w:fldCharType="begin"/>
      </w:r>
      <w:r>
        <w:rPr>
          <w:color w:val="auto"/>
          <w:highlight w:val="none"/>
        </w:rPr>
        <w:instrText xml:space="preserve"> PAGEREF _Toc11201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FA3159C">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"_Toc2096" </w:instrText>
      </w:r>
      <w:r>
        <w:rPr>
          <w:color w:val="auto"/>
          <w:highlight w:val="none"/>
        </w:rPr>
        <w:fldChar w:fldCharType="separate"/>
      </w:r>
      <w:r>
        <w:rPr>
          <w:rFonts w:hint="eastAsia" w:ascii="黑体" w:hAnsi="宋体" w:eastAsia="黑体"/>
          <w:color w:val="auto"/>
          <w:szCs w:val="28"/>
          <w:highlight w:val="none"/>
        </w:rPr>
        <w:t>6.通知和确认</w:t>
      </w:r>
      <w:r>
        <w:rPr>
          <w:color w:val="auto"/>
          <w:highlight w:val="none"/>
        </w:rPr>
        <w:tab/>
      </w:r>
      <w:r>
        <w:rPr>
          <w:color w:val="auto"/>
          <w:highlight w:val="none"/>
        </w:rPr>
        <w:fldChar w:fldCharType="begin"/>
      </w:r>
      <w:r>
        <w:rPr>
          <w:color w:val="auto"/>
          <w:highlight w:val="none"/>
        </w:rPr>
        <w:instrText xml:space="preserve"> PAGEREF _Toc2096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ED616C3">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"_Toc9227" </w:instrText>
      </w:r>
      <w:r>
        <w:rPr>
          <w:color w:val="auto"/>
          <w:highlight w:val="none"/>
        </w:rPr>
        <w:fldChar w:fldCharType="separate"/>
      </w:r>
      <w:r>
        <w:rPr>
          <w:rFonts w:hint="eastAsia" w:ascii="黑体" w:hAnsi="宋体" w:eastAsia="黑体"/>
          <w:color w:val="auto"/>
          <w:szCs w:val="28"/>
          <w:highlight w:val="none"/>
        </w:rPr>
        <w:t>7.申请人的资格改变</w:t>
      </w:r>
      <w:r>
        <w:rPr>
          <w:color w:val="auto"/>
          <w:highlight w:val="none"/>
        </w:rPr>
        <w:tab/>
      </w:r>
      <w:r>
        <w:rPr>
          <w:color w:val="auto"/>
          <w:highlight w:val="none"/>
        </w:rPr>
        <w:fldChar w:fldCharType="begin"/>
      </w:r>
      <w:r>
        <w:rPr>
          <w:color w:val="auto"/>
          <w:highlight w:val="none"/>
        </w:rPr>
        <w:instrText xml:space="preserve"> PAGEREF _Toc9227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C5C8D36">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"_Toc26483" </w:instrText>
      </w:r>
      <w:r>
        <w:rPr>
          <w:color w:val="auto"/>
          <w:highlight w:val="none"/>
        </w:rPr>
        <w:fldChar w:fldCharType="separate"/>
      </w:r>
      <w:r>
        <w:rPr>
          <w:rFonts w:hint="eastAsia" w:ascii="黑体" w:hAnsi="宋体" w:eastAsia="黑体"/>
          <w:color w:val="auto"/>
          <w:szCs w:val="28"/>
          <w:highlight w:val="none"/>
        </w:rPr>
        <w:t>8.纪律与监督</w:t>
      </w:r>
      <w:r>
        <w:rPr>
          <w:color w:val="auto"/>
          <w:highlight w:val="none"/>
        </w:rPr>
        <w:tab/>
      </w:r>
      <w:r>
        <w:rPr>
          <w:color w:val="auto"/>
          <w:highlight w:val="none"/>
        </w:rPr>
        <w:fldChar w:fldCharType="begin"/>
      </w:r>
      <w:r>
        <w:rPr>
          <w:color w:val="auto"/>
          <w:highlight w:val="none"/>
        </w:rPr>
        <w:instrText xml:space="preserve"> PAGEREF _Toc26483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17A0630">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"_Toc6401" </w:instrText>
      </w:r>
      <w:r>
        <w:rPr>
          <w:color w:val="auto"/>
          <w:highlight w:val="none"/>
        </w:rPr>
        <w:fldChar w:fldCharType="separate"/>
      </w:r>
      <w:r>
        <w:rPr>
          <w:rFonts w:hint="eastAsia" w:ascii="黑体" w:hAnsi="宋体" w:eastAsia="黑体"/>
          <w:color w:val="auto"/>
          <w:szCs w:val="28"/>
          <w:highlight w:val="none"/>
        </w:rPr>
        <w:t>9.需要补充的其他内容</w:t>
      </w:r>
      <w:r>
        <w:rPr>
          <w:color w:val="auto"/>
          <w:highlight w:val="none"/>
        </w:rPr>
        <w:tab/>
      </w:r>
      <w:r>
        <w:rPr>
          <w:color w:val="auto"/>
          <w:highlight w:val="none"/>
        </w:rPr>
        <w:fldChar w:fldCharType="begin"/>
      </w:r>
      <w:r>
        <w:rPr>
          <w:color w:val="auto"/>
          <w:highlight w:val="none"/>
        </w:rPr>
        <w:instrText xml:space="preserve"> PAGEREF _Toc6401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5E172C0">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"_Toc3828" </w:instrText>
      </w:r>
      <w:r>
        <w:rPr>
          <w:color w:val="auto"/>
          <w:highlight w:val="none"/>
        </w:rPr>
        <w:fldChar w:fldCharType="separate"/>
      </w:r>
      <w:r>
        <w:rPr>
          <w:rFonts w:hint="eastAsia" w:ascii="黑体" w:hAnsi="宋体" w:eastAsia="黑体" w:cs="黑体"/>
          <w:color w:val="auto"/>
          <w:highlight w:val="none"/>
        </w:rPr>
        <w:t>第三章  资格审查办法（合格制）</w:t>
      </w:r>
      <w:r>
        <w:rPr>
          <w:color w:val="auto"/>
          <w:highlight w:val="none"/>
        </w:rPr>
        <w:tab/>
      </w:r>
      <w:r>
        <w:rPr>
          <w:color w:val="auto"/>
          <w:highlight w:val="none"/>
        </w:rPr>
        <w:fldChar w:fldCharType="begin"/>
      </w:r>
      <w:r>
        <w:rPr>
          <w:color w:val="auto"/>
          <w:highlight w:val="none"/>
        </w:rPr>
        <w:instrText xml:space="preserve"> PAGEREF _Toc3828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A4E7926">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"_Toc21367" </w:instrText>
      </w:r>
      <w:r>
        <w:rPr>
          <w:color w:val="auto"/>
          <w:highlight w:val="none"/>
        </w:rPr>
        <w:fldChar w:fldCharType="separate"/>
      </w:r>
      <w:r>
        <w:rPr>
          <w:rFonts w:hint="eastAsia" w:ascii="黑体" w:hAnsi="宋体" w:eastAsia="黑体"/>
          <w:color w:val="auto"/>
          <w:szCs w:val="28"/>
          <w:highlight w:val="none"/>
        </w:rPr>
        <w:t>1.审查方法</w:t>
      </w:r>
      <w:r>
        <w:rPr>
          <w:color w:val="auto"/>
          <w:highlight w:val="none"/>
        </w:rPr>
        <w:tab/>
      </w:r>
      <w:r>
        <w:rPr>
          <w:color w:val="auto"/>
          <w:highlight w:val="none"/>
        </w:rPr>
        <w:fldChar w:fldCharType="begin"/>
      </w:r>
      <w:r>
        <w:rPr>
          <w:color w:val="auto"/>
          <w:highlight w:val="none"/>
        </w:rPr>
        <w:instrText xml:space="preserve"> PAGEREF _Toc21367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162CA31">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"_Toc73" </w:instrText>
      </w:r>
      <w:r>
        <w:rPr>
          <w:color w:val="auto"/>
          <w:highlight w:val="none"/>
        </w:rPr>
        <w:fldChar w:fldCharType="separate"/>
      </w:r>
      <w:r>
        <w:rPr>
          <w:rFonts w:ascii="黑体" w:hAnsi="宋体" w:eastAsia="黑体"/>
          <w:color w:val="auto"/>
          <w:szCs w:val="28"/>
          <w:highlight w:val="none"/>
        </w:rPr>
        <w:t>2</w:t>
      </w:r>
      <w:r>
        <w:rPr>
          <w:rFonts w:hint="eastAsia" w:ascii="黑体" w:hAnsi="宋体" w:eastAsia="黑体"/>
          <w:color w:val="auto"/>
          <w:szCs w:val="28"/>
          <w:highlight w:val="none"/>
        </w:rPr>
        <w:t>.审查标准</w:t>
      </w:r>
      <w:r>
        <w:rPr>
          <w:color w:val="auto"/>
          <w:highlight w:val="none"/>
        </w:rPr>
        <w:tab/>
      </w:r>
      <w:r>
        <w:rPr>
          <w:color w:val="auto"/>
          <w:highlight w:val="none"/>
        </w:rPr>
        <w:fldChar w:fldCharType="begin"/>
      </w:r>
      <w:r>
        <w:rPr>
          <w:color w:val="auto"/>
          <w:highlight w:val="none"/>
        </w:rPr>
        <w:instrText xml:space="preserve"> PAGEREF _Toc73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9F2AEAA">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"_Toc627" </w:instrText>
      </w:r>
      <w:r>
        <w:rPr>
          <w:color w:val="auto"/>
          <w:highlight w:val="none"/>
        </w:rPr>
        <w:fldChar w:fldCharType="separate"/>
      </w:r>
      <w:r>
        <w:rPr>
          <w:rFonts w:ascii="黑体" w:hAnsi="宋体" w:eastAsia="黑体"/>
          <w:color w:val="auto"/>
          <w:szCs w:val="28"/>
          <w:highlight w:val="none"/>
        </w:rPr>
        <w:t>3</w:t>
      </w:r>
      <w:r>
        <w:rPr>
          <w:rFonts w:hint="eastAsia" w:ascii="黑体" w:hAnsi="宋体" w:eastAsia="黑体"/>
          <w:color w:val="auto"/>
          <w:szCs w:val="28"/>
          <w:highlight w:val="none"/>
        </w:rPr>
        <w:t>.审查程序</w:t>
      </w:r>
      <w:r>
        <w:rPr>
          <w:color w:val="auto"/>
          <w:highlight w:val="none"/>
        </w:rPr>
        <w:tab/>
      </w:r>
      <w:r>
        <w:rPr>
          <w:color w:val="auto"/>
          <w:highlight w:val="none"/>
        </w:rPr>
        <w:fldChar w:fldCharType="begin"/>
      </w:r>
      <w:r>
        <w:rPr>
          <w:color w:val="auto"/>
          <w:highlight w:val="none"/>
        </w:rPr>
        <w:instrText xml:space="preserve"> PAGEREF _Toc627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BDAF085">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"_Toc2408" </w:instrText>
      </w:r>
      <w:r>
        <w:rPr>
          <w:color w:val="auto"/>
          <w:highlight w:val="none"/>
        </w:rPr>
        <w:fldChar w:fldCharType="separate"/>
      </w:r>
      <w:r>
        <w:rPr>
          <w:rFonts w:hint="eastAsia" w:ascii="黑体" w:hAnsi="宋体" w:eastAsia="黑体" w:cs="黑体"/>
          <w:color w:val="auto"/>
          <w:highlight w:val="none"/>
        </w:rPr>
        <w:t>第三章  资格审查办法（有限数量制）</w:t>
      </w:r>
      <w:r>
        <w:rPr>
          <w:color w:val="auto"/>
          <w:highlight w:val="none"/>
        </w:rPr>
        <w:tab/>
      </w:r>
      <w:r>
        <w:rPr>
          <w:color w:val="auto"/>
          <w:highlight w:val="none"/>
        </w:rPr>
        <w:fldChar w:fldCharType="begin"/>
      </w:r>
      <w:r>
        <w:rPr>
          <w:color w:val="auto"/>
          <w:highlight w:val="none"/>
        </w:rPr>
        <w:instrText xml:space="preserve"> PAGEREF _Toc2408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19F6D08D">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"_Toc22137" </w:instrText>
      </w:r>
      <w:r>
        <w:rPr>
          <w:color w:val="auto"/>
          <w:highlight w:val="none"/>
        </w:rPr>
        <w:fldChar w:fldCharType="separate"/>
      </w:r>
      <w:r>
        <w:rPr>
          <w:rFonts w:hint="eastAsia" w:ascii="黑体" w:hAnsi="宋体" w:eastAsia="黑体"/>
          <w:color w:val="auto"/>
          <w:szCs w:val="28"/>
          <w:highlight w:val="none"/>
        </w:rPr>
        <w:t>1.审查方法</w:t>
      </w:r>
      <w:r>
        <w:rPr>
          <w:color w:val="auto"/>
          <w:highlight w:val="none"/>
        </w:rPr>
        <w:tab/>
      </w:r>
      <w:r>
        <w:rPr>
          <w:color w:val="auto"/>
          <w:highlight w:val="none"/>
        </w:rPr>
        <w:fldChar w:fldCharType="begin"/>
      </w:r>
      <w:r>
        <w:rPr>
          <w:color w:val="auto"/>
          <w:highlight w:val="none"/>
        </w:rPr>
        <w:instrText xml:space="preserve"> PAGEREF _Toc22137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1C8D540">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"_Toc9502" </w:instrText>
      </w:r>
      <w:r>
        <w:rPr>
          <w:color w:val="auto"/>
          <w:highlight w:val="none"/>
        </w:rPr>
        <w:fldChar w:fldCharType="separate"/>
      </w:r>
      <w:r>
        <w:rPr>
          <w:rFonts w:ascii="黑体" w:hAnsi="宋体" w:eastAsia="黑体"/>
          <w:color w:val="auto"/>
          <w:szCs w:val="28"/>
          <w:highlight w:val="none"/>
        </w:rPr>
        <w:t>2</w:t>
      </w:r>
      <w:r>
        <w:rPr>
          <w:rFonts w:hint="eastAsia" w:ascii="黑体" w:hAnsi="宋体" w:eastAsia="黑体"/>
          <w:color w:val="auto"/>
          <w:szCs w:val="28"/>
          <w:highlight w:val="none"/>
        </w:rPr>
        <w:t>.审查标准</w:t>
      </w:r>
      <w:r>
        <w:rPr>
          <w:color w:val="auto"/>
          <w:highlight w:val="none"/>
        </w:rPr>
        <w:tab/>
      </w:r>
      <w:r>
        <w:rPr>
          <w:color w:val="auto"/>
          <w:highlight w:val="none"/>
        </w:rPr>
        <w:fldChar w:fldCharType="begin"/>
      </w:r>
      <w:r>
        <w:rPr>
          <w:color w:val="auto"/>
          <w:highlight w:val="none"/>
        </w:rPr>
        <w:instrText xml:space="preserve"> PAGEREF _Toc9502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8E73B49">
      <w:pPr>
        <w:pStyle w:val="10"/>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"_Toc15252" </w:instrText>
      </w:r>
      <w:r>
        <w:rPr>
          <w:color w:val="auto"/>
          <w:highlight w:val="none"/>
        </w:rPr>
        <w:fldChar w:fldCharType="separate"/>
      </w:r>
      <w:r>
        <w:rPr>
          <w:rFonts w:ascii="黑体" w:hAnsi="宋体" w:eastAsia="黑体"/>
          <w:color w:val="auto"/>
          <w:szCs w:val="28"/>
          <w:highlight w:val="none"/>
        </w:rPr>
        <w:t>3</w:t>
      </w:r>
      <w:r>
        <w:rPr>
          <w:rFonts w:hint="eastAsia" w:ascii="黑体" w:hAnsi="宋体" w:eastAsia="黑体"/>
          <w:color w:val="auto"/>
          <w:szCs w:val="28"/>
          <w:highlight w:val="none"/>
        </w:rPr>
        <w:t>.审查程序</w:t>
      </w:r>
      <w:r>
        <w:rPr>
          <w:color w:val="auto"/>
          <w:highlight w:val="none"/>
        </w:rPr>
        <w:tab/>
      </w:r>
      <w:r>
        <w:rPr>
          <w:color w:val="auto"/>
          <w:highlight w:val="none"/>
        </w:rPr>
        <w:fldChar w:fldCharType="begin"/>
      </w:r>
      <w:r>
        <w:rPr>
          <w:color w:val="auto"/>
          <w:highlight w:val="none"/>
        </w:rPr>
        <w:instrText xml:space="preserve"> PAGEREF _Toc15252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3C506D14">
      <w:pPr>
        <w:pStyle w:val="17"/>
        <w:keepNext w:val="0"/>
        <w:keepLines w:val="0"/>
        <w:pageBreakBefore w:val="0"/>
        <w:widowControl w:val="0"/>
        <w:tabs>
          <w:tab w:val="right" w:leader="dot" w:pos="8900"/>
          <w:tab w:val="clear" w:pos="8891"/>
        </w:tabs>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begin"/>
      </w:r>
      <w:r>
        <w:rPr>
          <w:color w:val="auto"/>
          <w:highlight w:val="none"/>
        </w:rPr>
        <w:instrText xml:space="preserve"> HYPERLINK \l "_Toc9713" </w:instrText>
      </w:r>
      <w:r>
        <w:rPr>
          <w:color w:val="auto"/>
          <w:highlight w:val="none"/>
        </w:rPr>
        <w:fldChar w:fldCharType="separate"/>
      </w:r>
      <w:r>
        <w:rPr>
          <w:rFonts w:hint="eastAsia" w:ascii="黑体" w:hAnsi="宋体" w:eastAsia="黑体" w:cs="黑体"/>
          <w:color w:val="auto"/>
          <w:highlight w:val="none"/>
        </w:rPr>
        <w:t>第四章  资格预审申请文件格式</w:t>
      </w:r>
      <w:r>
        <w:rPr>
          <w:color w:val="auto"/>
          <w:highlight w:val="none"/>
        </w:rPr>
        <w:tab/>
      </w:r>
      <w:r>
        <w:rPr>
          <w:color w:val="auto"/>
          <w:highlight w:val="none"/>
        </w:rPr>
        <w:fldChar w:fldCharType="begin"/>
      </w:r>
      <w:r>
        <w:rPr>
          <w:color w:val="auto"/>
          <w:highlight w:val="none"/>
        </w:rPr>
        <w:instrText xml:space="preserve"> PAGEREF _Toc9713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5AC93502">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color w:val="auto"/>
          <w:highlight w:val="none"/>
        </w:rPr>
        <w:sectPr>
          <w:pgSz w:w="11906" w:h="16838"/>
          <w:pgMar w:top="1304" w:right="1503" w:bottom="1304" w:left="1503" w:header="851" w:footer="992" w:gutter="0"/>
          <w:pgNumType w:start="1"/>
          <w:cols w:space="720" w:num="1"/>
          <w:docGrid w:linePitch="312" w:charSpace="0"/>
        </w:sectPr>
      </w:pPr>
      <w:r>
        <w:rPr>
          <w:rFonts w:ascii="宋体" w:hAnsi="宋体"/>
          <w:color w:val="auto"/>
          <w:highlight w:val="none"/>
        </w:rPr>
        <w:fldChar w:fldCharType="end"/>
      </w:r>
    </w:p>
    <w:p w14:paraId="35C5E576">
      <w:pPr>
        <w:pStyle w:val="2"/>
        <w:spacing w:before="0" w:after="0"/>
        <w:ind w:firstLine="880"/>
        <w:jc w:val="center"/>
        <w:rPr>
          <w:rFonts w:eastAsia="黑体"/>
          <w:b w:val="0"/>
          <w:bCs w:val="0"/>
          <w:color w:val="auto"/>
          <w:highlight w:val="none"/>
        </w:rPr>
      </w:pPr>
      <w:bookmarkStart w:id="1" w:name="_Toc21505367"/>
      <w:bookmarkStart w:id="2" w:name="_Toc4339"/>
      <w:bookmarkStart w:id="3" w:name="_Toc295196485"/>
      <w:r>
        <w:rPr>
          <w:rFonts w:eastAsia="黑体"/>
          <w:b w:val="0"/>
          <w:bCs w:val="0"/>
          <w:color w:val="auto"/>
          <w:highlight w:val="none"/>
        </w:rPr>
        <w:t xml:space="preserve">第一章  </w:t>
      </w:r>
      <w:r>
        <w:rPr>
          <w:rFonts w:hint="eastAsia" w:eastAsia="黑体"/>
          <w:b w:val="0"/>
          <w:bCs w:val="0"/>
          <w:color w:val="auto"/>
          <w:highlight w:val="none"/>
        </w:rPr>
        <w:t>资格预审</w:t>
      </w:r>
      <w:r>
        <w:rPr>
          <w:rFonts w:eastAsia="黑体"/>
          <w:b w:val="0"/>
          <w:bCs w:val="0"/>
          <w:color w:val="auto"/>
          <w:highlight w:val="none"/>
        </w:rPr>
        <w:t>公告</w:t>
      </w:r>
      <w:bookmarkEnd w:id="1"/>
      <w:bookmarkEnd w:id="2"/>
    </w:p>
    <w:bookmarkEnd w:id="3"/>
    <w:p w14:paraId="2B7666E1">
      <w:pPr>
        <w:pStyle w:val="3"/>
        <w:ind w:firstLine="643"/>
        <w:jc w:val="center"/>
        <w:rPr>
          <w:rFonts w:hint="eastAsia" w:ascii="黑体" w:hAnsi="黑体" w:eastAsia="黑体" w:cs="黑体"/>
          <w:color w:val="auto"/>
          <w:sz w:val="32"/>
          <w:highlight w:val="none"/>
        </w:rPr>
      </w:pPr>
      <w:bookmarkStart w:id="4" w:name="_Toc15216"/>
      <w:bookmarkStart w:id="5" w:name="_Toc295196497"/>
      <w:r>
        <w:rPr>
          <w:rFonts w:hint="eastAsia" w:ascii="黑体" w:hAnsi="黑体" w:eastAsia="黑体" w:cs="黑体"/>
          <w:color w:val="auto"/>
          <w:sz w:val="32"/>
          <w:highlight w:val="none"/>
          <w:u w:val="single"/>
        </w:rPr>
        <w:t>（招标项目及标段）</w:t>
      </w:r>
      <w:r>
        <w:rPr>
          <w:rFonts w:hint="eastAsia" w:ascii="黑体" w:hAnsi="黑体" w:eastAsia="黑体" w:cs="黑体"/>
          <w:color w:val="auto"/>
          <w:sz w:val="32"/>
          <w:highlight w:val="none"/>
        </w:rPr>
        <w:t>施工</w:t>
      </w:r>
      <w:r>
        <w:rPr>
          <w:rFonts w:hint="eastAsia" w:ascii="黑体" w:hAnsi="黑体" w:eastAsia="黑体" w:cs="黑体"/>
          <w:color w:val="auto"/>
          <w:sz w:val="32"/>
          <w:highlight w:val="none"/>
          <w:lang w:eastAsia="zh-CN"/>
        </w:rPr>
        <w:t>招标</w:t>
      </w:r>
      <w:r>
        <w:rPr>
          <w:rFonts w:hint="eastAsia" w:ascii="黑体" w:hAnsi="黑体" w:eastAsia="黑体" w:cs="黑体"/>
          <w:color w:val="auto"/>
          <w:sz w:val="32"/>
          <w:highlight w:val="none"/>
        </w:rPr>
        <w:t>资格预审公告（代招标公告）</w:t>
      </w:r>
      <w:bookmarkEnd w:id="4"/>
    </w:p>
    <w:p w14:paraId="4841DB27">
      <w:pPr>
        <w:spacing w:line="360" w:lineRule="auto"/>
        <w:ind w:firstLine="560"/>
        <w:jc w:val="right"/>
        <w:rPr>
          <w:color w:val="auto"/>
          <w:szCs w:val="21"/>
          <w:highlight w:val="none"/>
        </w:rPr>
      </w:pPr>
    </w:p>
    <w:p w14:paraId="32F7430A">
      <w:pPr>
        <w:pStyle w:val="3"/>
        <w:ind w:firstLine="643"/>
        <w:rPr>
          <w:rFonts w:hint="eastAsia" w:ascii="黑体" w:hAnsi="黑体" w:eastAsia="黑体" w:cs="黑体"/>
          <w:color w:val="auto"/>
          <w:sz w:val="32"/>
          <w:highlight w:val="none"/>
        </w:rPr>
      </w:pPr>
      <w:bookmarkStart w:id="6" w:name="_Toc193802632"/>
      <w:bookmarkStart w:id="7" w:name="_Toc7420"/>
      <w:r>
        <w:rPr>
          <w:rFonts w:hint="eastAsia" w:ascii="黑体" w:hAnsi="黑体" w:eastAsia="黑体" w:cs="黑体"/>
          <w:color w:val="auto"/>
          <w:sz w:val="32"/>
          <w:highlight w:val="none"/>
        </w:rPr>
        <w:t>1.招标条件</w:t>
      </w:r>
      <w:bookmarkEnd w:id="6"/>
      <w:bookmarkEnd w:id="7"/>
    </w:p>
    <w:p w14:paraId="61A2FBD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w:t>
      </w:r>
      <w:r>
        <w:rPr>
          <w:rFonts w:hint="eastAsia" w:ascii="宋体" w:hAnsi="宋体" w:eastAsia="Arial" w:cs="Arial"/>
          <w:snapToGrid w:val="0"/>
          <w:color w:val="auto"/>
          <w:kern w:val="0"/>
          <w:sz w:val="24"/>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项目已具备招标条件，现进行公开招标</w:t>
      </w:r>
      <w:r>
        <w:rPr>
          <w:rFonts w:hint="eastAsia" w:ascii="宋体" w:hAnsi="宋体" w:cs="宋体"/>
          <w:snapToGrid w:val="0"/>
          <w:color w:val="auto"/>
          <w:kern w:val="0"/>
          <w:szCs w:val="21"/>
          <w:highlight w:val="none"/>
        </w:rPr>
        <w:t>，</w:t>
      </w:r>
      <w:r>
        <w:rPr>
          <w:rFonts w:hint="eastAsia"/>
          <w:color w:val="auto"/>
          <w:highlight w:val="none"/>
        </w:rPr>
        <w:t>特邀请有兴趣的潜在投标人（以下简称申请人）提出资格预审申请。</w:t>
      </w:r>
    </w:p>
    <w:p w14:paraId="302486CA">
      <w:pPr>
        <w:pStyle w:val="3"/>
        <w:ind w:firstLine="643"/>
        <w:rPr>
          <w:rFonts w:hint="eastAsia" w:ascii="黑体" w:hAnsi="黑体" w:eastAsia="黑体" w:cs="黑体"/>
          <w:color w:val="auto"/>
          <w:sz w:val="32"/>
          <w:highlight w:val="none"/>
        </w:rPr>
      </w:pPr>
      <w:bookmarkStart w:id="8" w:name="_Toc21245"/>
      <w:bookmarkStart w:id="9" w:name="_Toc193802633"/>
      <w:r>
        <w:rPr>
          <w:rFonts w:hint="eastAsia" w:ascii="黑体" w:hAnsi="黑体" w:eastAsia="黑体" w:cs="黑体"/>
          <w:color w:val="auto"/>
          <w:sz w:val="32"/>
          <w:highlight w:val="none"/>
        </w:rPr>
        <w:t>2.项目概况</w:t>
      </w:r>
      <w:bookmarkEnd w:id="8"/>
      <w:bookmarkEnd w:id="9"/>
    </w:p>
    <w:p w14:paraId="1B0184E5">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30728718">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785A323E">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699A48DE">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25CAB101">
      <w:pPr>
        <w:snapToGrid w:val="0"/>
        <w:spacing w:line="360" w:lineRule="auto"/>
        <w:ind w:firstLine="562"/>
        <w:rPr>
          <w:b/>
          <w:bCs/>
          <w:color w:val="auto"/>
          <w:sz w:val="28"/>
          <w:szCs w:val="28"/>
          <w:highlight w:val="none"/>
        </w:rPr>
      </w:pPr>
      <w:r>
        <w:rPr>
          <w:rFonts w:hint="eastAsia"/>
          <w:b/>
          <w:bCs/>
          <w:color w:val="auto"/>
          <w:sz w:val="28"/>
          <w:szCs w:val="28"/>
          <w:highlight w:val="none"/>
        </w:rPr>
        <w:t>建筑工程施工总承包</w:t>
      </w:r>
    </w:p>
    <w:p w14:paraId="3F3633F0">
      <w:pPr>
        <w:snapToGrid w:val="0"/>
        <w:spacing w:line="360" w:lineRule="auto"/>
        <w:ind w:firstLine="56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68A1B579">
      <w:pPr>
        <w:snapToGrid w:val="0"/>
        <w:spacing w:line="360" w:lineRule="auto"/>
        <w:ind w:firstLine="56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C302194">
      <w:pPr>
        <w:snapToGrid w:val="0"/>
        <w:spacing w:line="360" w:lineRule="auto"/>
        <w:ind w:firstLine="56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0DBEE6E0">
      <w:pPr>
        <w:snapToGrid w:val="0"/>
        <w:spacing w:line="360" w:lineRule="auto"/>
        <w:ind w:firstLine="56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7F9C2F68">
      <w:pPr>
        <w:snapToGrid w:val="0"/>
        <w:spacing w:line="360" w:lineRule="auto"/>
        <w:ind w:firstLine="562"/>
        <w:rPr>
          <w:b/>
          <w:bCs/>
          <w:color w:val="auto"/>
          <w:sz w:val="28"/>
          <w:szCs w:val="28"/>
          <w:highlight w:val="none"/>
        </w:rPr>
      </w:pPr>
      <w:r>
        <w:rPr>
          <w:rFonts w:hint="eastAsia"/>
          <w:b/>
          <w:bCs/>
          <w:color w:val="auto"/>
          <w:sz w:val="28"/>
          <w:szCs w:val="28"/>
          <w:highlight w:val="none"/>
        </w:rPr>
        <w:t>市政公用工程总承包</w:t>
      </w:r>
    </w:p>
    <w:p w14:paraId="351792AB">
      <w:pPr>
        <w:snapToGrid w:val="0"/>
        <w:spacing w:line="360" w:lineRule="auto"/>
        <w:ind w:firstLine="560"/>
        <w:rPr>
          <w:color w:val="auto"/>
          <w:highlight w:val="none"/>
        </w:rPr>
      </w:pPr>
      <w:r>
        <w:rPr>
          <w:rFonts w:hint="eastAsia"/>
          <w:color w:val="auto"/>
          <w:highlight w:val="none"/>
        </w:rPr>
        <w:t>□城市道路工程（含快速路）；</w:t>
      </w:r>
    </w:p>
    <w:p w14:paraId="2F0365EE">
      <w:pPr>
        <w:snapToGrid w:val="0"/>
        <w:spacing w:line="360" w:lineRule="auto"/>
        <w:ind w:firstLine="560"/>
        <w:rPr>
          <w:color w:val="auto"/>
          <w:highlight w:val="none"/>
        </w:rPr>
      </w:pPr>
      <w:r>
        <w:rPr>
          <w:rFonts w:hint="eastAsia"/>
          <w:color w:val="auto"/>
          <w:highlight w:val="none"/>
        </w:rPr>
        <w:t>□城市道路工程(不含快速路)；</w:t>
      </w:r>
    </w:p>
    <w:p w14:paraId="6E3574D6">
      <w:pPr>
        <w:snapToGrid w:val="0"/>
        <w:spacing w:line="360" w:lineRule="auto"/>
        <w:ind w:firstLine="56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063A7B68">
      <w:pPr>
        <w:snapToGrid w:val="0"/>
        <w:spacing w:line="360" w:lineRule="auto"/>
        <w:ind w:firstLine="56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052A8118">
      <w:pPr>
        <w:snapToGrid w:val="0"/>
        <w:spacing w:line="360" w:lineRule="auto"/>
        <w:ind w:firstLine="56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072A4BAD">
      <w:pPr>
        <w:snapToGrid w:val="0"/>
        <w:spacing w:line="360" w:lineRule="auto"/>
        <w:ind w:firstLine="56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4935C368">
      <w:pPr>
        <w:snapToGrid w:val="0"/>
        <w:spacing w:line="360" w:lineRule="auto"/>
        <w:ind w:firstLine="56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w:t>
      </w:r>
      <w:r>
        <w:rPr>
          <w:rFonts w:hint="eastAsia" w:eastAsia="宋体"/>
          <w:color w:val="auto"/>
          <w:highlight w:val="none"/>
          <w:lang w:val="en-US" w:eastAsia="zh-CN"/>
        </w:rPr>
        <w:t>或</w:t>
      </w:r>
      <w:r>
        <w:rPr>
          <w:rFonts w:hint="eastAsia"/>
          <w:color w:val="auto"/>
          <w:highlight w:val="none"/>
        </w:rPr>
        <w:t>雨水泵站；</w:t>
      </w:r>
    </w:p>
    <w:p w14:paraId="03CA94D5">
      <w:pPr>
        <w:snapToGrid w:val="0"/>
        <w:spacing w:line="360" w:lineRule="auto"/>
        <w:ind w:firstLine="56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7FF8CF66">
      <w:pPr>
        <w:snapToGrid w:val="0"/>
        <w:spacing w:line="360" w:lineRule="auto"/>
        <w:ind w:firstLine="56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w:t>
      </w:r>
      <w:r>
        <w:rPr>
          <w:rFonts w:hint="eastAsia" w:eastAsia="宋体"/>
          <w:color w:val="auto"/>
          <w:highlight w:val="none"/>
          <w:lang w:val="en-US" w:eastAsia="zh-CN"/>
        </w:rPr>
        <w:t>或</w:t>
      </w:r>
      <w:r>
        <w:rPr>
          <w:rFonts w:hint="eastAsia" w:eastAsia="宋体"/>
          <w:color w:val="auto"/>
          <w:highlight w:val="none"/>
        </w:rPr>
        <w:t>中水</w:t>
      </w:r>
      <w:r>
        <w:rPr>
          <w:rFonts w:hint="eastAsia" w:eastAsia="宋体"/>
          <w:color w:val="auto"/>
          <w:highlight w:val="none"/>
          <w:lang w:val="en-US" w:eastAsia="zh-CN"/>
        </w:rPr>
        <w:t>或雨水</w:t>
      </w:r>
      <w:r>
        <w:rPr>
          <w:rFonts w:hint="eastAsia"/>
          <w:color w:val="auto"/>
          <w:highlight w:val="none"/>
        </w:rPr>
        <w:t>管道；</w:t>
      </w:r>
    </w:p>
    <w:p w14:paraId="5E976492">
      <w:pPr>
        <w:snapToGrid w:val="0"/>
        <w:spacing w:line="360" w:lineRule="auto"/>
        <w:ind w:firstLine="56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1B97DC2E">
      <w:pPr>
        <w:snapToGrid w:val="0"/>
        <w:spacing w:line="360" w:lineRule="auto"/>
        <w:ind w:firstLine="560"/>
        <w:rPr>
          <w:color w:val="auto"/>
          <w:highlight w:val="none"/>
        </w:rPr>
      </w:pPr>
      <w:r>
        <w:rPr>
          <w:rFonts w:hint="eastAsia"/>
          <w:color w:val="auto"/>
          <w:highlight w:val="none"/>
        </w:rPr>
        <w:t>□ 中压以上燃气管道、调压站；</w:t>
      </w:r>
    </w:p>
    <w:p w14:paraId="0F47CE26">
      <w:pPr>
        <w:snapToGrid w:val="0"/>
        <w:spacing w:line="360" w:lineRule="auto"/>
        <w:ind w:firstLine="56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651539A1">
      <w:pPr>
        <w:snapToGrid w:val="0"/>
        <w:spacing w:line="360" w:lineRule="auto"/>
        <w:ind w:firstLine="56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46EE43AC">
      <w:pPr>
        <w:snapToGrid w:val="0"/>
        <w:spacing w:line="360" w:lineRule="auto"/>
        <w:ind w:firstLine="56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6284FA4D">
      <w:pPr>
        <w:snapToGrid w:val="0"/>
        <w:spacing w:line="360" w:lineRule="auto"/>
        <w:ind w:firstLine="56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5221BC69">
      <w:pPr>
        <w:snapToGrid w:val="0"/>
        <w:spacing w:line="360" w:lineRule="auto"/>
        <w:ind w:firstLine="56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1C4C0348">
      <w:pPr>
        <w:snapToGrid w:val="0"/>
        <w:spacing w:line="360" w:lineRule="auto"/>
        <w:ind w:firstLine="56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760D5E57">
      <w:pPr>
        <w:snapToGrid w:val="0"/>
        <w:spacing w:line="360" w:lineRule="auto"/>
        <w:ind w:firstLine="56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3F21F88D">
      <w:pPr>
        <w:snapToGrid w:val="0"/>
        <w:spacing w:line="360" w:lineRule="auto"/>
        <w:ind w:firstLine="562"/>
        <w:rPr>
          <w:b/>
          <w:bCs/>
          <w:color w:val="auto"/>
          <w:sz w:val="28"/>
          <w:szCs w:val="28"/>
          <w:highlight w:val="none"/>
        </w:rPr>
      </w:pPr>
      <w:r>
        <w:rPr>
          <w:rFonts w:hint="eastAsia"/>
          <w:b/>
          <w:bCs/>
          <w:color w:val="auto"/>
          <w:sz w:val="28"/>
          <w:szCs w:val="28"/>
          <w:highlight w:val="none"/>
        </w:rPr>
        <w:t>地基基础工程专业承包</w:t>
      </w:r>
    </w:p>
    <w:p w14:paraId="67252BE7">
      <w:pPr>
        <w:snapToGrid w:val="0"/>
        <w:spacing w:line="360" w:lineRule="auto"/>
        <w:ind w:firstLine="56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265AE0BE">
      <w:pPr>
        <w:snapToGrid w:val="0"/>
        <w:spacing w:line="360" w:lineRule="auto"/>
        <w:ind w:firstLine="56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278CE9E4">
      <w:pPr>
        <w:snapToGrid w:val="0"/>
        <w:spacing w:line="360" w:lineRule="auto"/>
        <w:ind w:firstLine="56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6979876C">
      <w:pPr>
        <w:snapToGrid w:val="0"/>
        <w:spacing w:line="360" w:lineRule="auto"/>
        <w:ind w:firstLine="56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139B5F1E">
      <w:pPr>
        <w:snapToGrid w:val="0"/>
        <w:spacing w:line="360" w:lineRule="auto"/>
        <w:ind w:firstLine="56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4C3A22C0">
      <w:pPr>
        <w:snapToGrid w:val="0"/>
        <w:spacing w:line="360" w:lineRule="auto"/>
        <w:ind w:firstLine="56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4D6F8054">
      <w:pPr>
        <w:snapToGrid w:val="0"/>
        <w:spacing w:line="360" w:lineRule="auto"/>
        <w:ind w:firstLine="562"/>
        <w:rPr>
          <w:b/>
          <w:bCs/>
          <w:color w:val="auto"/>
          <w:sz w:val="28"/>
          <w:szCs w:val="28"/>
          <w:highlight w:val="none"/>
        </w:rPr>
      </w:pPr>
      <w:r>
        <w:rPr>
          <w:rFonts w:hint="eastAsia"/>
          <w:b/>
          <w:bCs/>
          <w:color w:val="auto"/>
          <w:sz w:val="28"/>
          <w:szCs w:val="28"/>
          <w:highlight w:val="none"/>
        </w:rPr>
        <w:t>起重设备安装工程专业承包</w:t>
      </w:r>
    </w:p>
    <w:p w14:paraId="34943B57">
      <w:pPr>
        <w:snapToGrid w:val="0"/>
        <w:spacing w:line="360" w:lineRule="auto"/>
        <w:ind w:firstLine="56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181AF894">
      <w:pPr>
        <w:snapToGrid w:val="0"/>
        <w:spacing w:line="360" w:lineRule="auto"/>
        <w:ind w:firstLine="562"/>
        <w:rPr>
          <w:b/>
          <w:bCs/>
          <w:color w:val="auto"/>
          <w:sz w:val="28"/>
          <w:szCs w:val="28"/>
          <w:highlight w:val="none"/>
        </w:rPr>
      </w:pPr>
      <w:r>
        <w:rPr>
          <w:rFonts w:hint="eastAsia"/>
          <w:b/>
          <w:bCs/>
          <w:color w:val="auto"/>
          <w:sz w:val="28"/>
          <w:szCs w:val="28"/>
          <w:highlight w:val="none"/>
        </w:rPr>
        <w:t>预拌混凝土专业承包</w:t>
      </w:r>
    </w:p>
    <w:p w14:paraId="5F57449A">
      <w:pPr>
        <w:snapToGrid w:val="0"/>
        <w:spacing w:line="360" w:lineRule="auto"/>
        <w:ind w:firstLine="560"/>
        <w:rPr>
          <w:color w:val="auto"/>
          <w:highlight w:val="none"/>
        </w:rPr>
      </w:pPr>
      <w:r>
        <w:rPr>
          <w:rFonts w:hint="eastAsia"/>
          <w:color w:val="auto"/>
          <w:highlight w:val="none"/>
        </w:rPr>
        <w:t>□ 各种强度等级的混凝土和特种混凝土。</w:t>
      </w:r>
    </w:p>
    <w:p w14:paraId="38289D25">
      <w:pPr>
        <w:snapToGrid w:val="0"/>
        <w:spacing w:line="360" w:lineRule="auto"/>
        <w:ind w:firstLine="562"/>
        <w:rPr>
          <w:b/>
          <w:bCs/>
          <w:color w:val="auto"/>
          <w:sz w:val="28"/>
          <w:szCs w:val="28"/>
          <w:highlight w:val="none"/>
        </w:rPr>
      </w:pPr>
      <w:r>
        <w:rPr>
          <w:rFonts w:hint="eastAsia"/>
          <w:b/>
          <w:bCs/>
          <w:color w:val="auto"/>
          <w:sz w:val="28"/>
          <w:szCs w:val="28"/>
          <w:highlight w:val="none"/>
        </w:rPr>
        <w:t>电子与智能化工程专业</w:t>
      </w:r>
    </w:p>
    <w:p w14:paraId="563FC9EE">
      <w:pPr>
        <w:snapToGrid w:val="0"/>
        <w:spacing w:line="360" w:lineRule="auto"/>
        <w:ind w:firstLine="56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51EBE3E1">
      <w:pPr>
        <w:snapToGrid w:val="0"/>
        <w:spacing w:line="360" w:lineRule="auto"/>
        <w:ind w:firstLine="56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45193B3D">
      <w:pPr>
        <w:snapToGrid w:val="0"/>
        <w:spacing w:line="360" w:lineRule="auto"/>
        <w:ind w:firstLine="562"/>
        <w:rPr>
          <w:b/>
          <w:bCs/>
          <w:color w:val="auto"/>
          <w:sz w:val="28"/>
          <w:szCs w:val="28"/>
          <w:highlight w:val="none"/>
        </w:rPr>
      </w:pPr>
      <w:r>
        <w:rPr>
          <w:rFonts w:hint="eastAsia"/>
          <w:b/>
          <w:bCs/>
          <w:color w:val="auto"/>
          <w:sz w:val="28"/>
          <w:szCs w:val="28"/>
          <w:highlight w:val="none"/>
        </w:rPr>
        <w:t>消防设施工程专业</w:t>
      </w:r>
    </w:p>
    <w:p w14:paraId="74E9AF72">
      <w:pPr>
        <w:snapToGrid w:val="0"/>
        <w:spacing w:line="360" w:lineRule="auto"/>
        <w:ind w:firstLine="56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58D53259">
      <w:pPr>
        <w:snapToGrid w:val="0"/>
        <w:spacing w:line="360" w:lineRule="auto"/>
        <w:ind w:firstLine="560"/>
        <w:rPr>
          <w:color w:val="auto"/>
          <w:highlight w:val="none"/>
        </w:rPr>
      </w:pPr>
      <w:r>
        <w:rPr>
          <w:rFonts w:hint="eastAsia"/>
          <w:color w:val="auto"/>
          <w:highlight w:val="none"/>
        </w:rPr>
        <w:t>（1）一类高层民用建筑以外的民用建筑；</w:t>
      </w:r>
    </w:p>
    <w:p w14:paraId="0F89ED00">
      <w:pPr>
        <w:snapToGrid w:val="0"/>
        <w:spacing w:line="360" w:lineRule="auto"/>
        <w:ind w:firstLine="560"/>
        <w:rPr>
          <w:color w:val="auto"/>
          <w:highlight w:val="none"/>
        </w:rPr>
      </w:pPr>
      <w:r>
        <w:rPr>
          <w:rFonts w:hint="eastAsia"/>
          <w:color w:val="auto"/>
          <w:highlight w:val="none"/>
        </w:rPr>
        <w:t>（2）火灾危险性丙类以下的厂房、仓库、储罐、堆场。</w:t>
      </w:r>
    </w:p>
    <w:p w14:paraId="255DAE64">
      <w:pPr>
        <w:snapToGrid w:val="0"/>
        <w:spacing w:line="360" w:lineRule="auto"/>
        <w:ind w:firstLine="560"/>
        <w:rPr>
          <w:color w:val="auto"/>
          <w:highlight w:val="none"/>
        </w:rPr>
      </w:pPr>
      <w:r>
        <w:rPr>
          <w:rFonts w:hint="eastAsia"/>
          <w:color w:val="auto"/>
          <w:highlight w:val="none"/>
        </w:rPr>
        <w:t>□ 一类高层民用建筑；</w:t>
      </w:r>
    </w:p>
    <w:p w14:paraId="411ABEB7">
      <w:pPr>
        <w:snapToGrid w:val="0"/>
        <w:spacing w:line="360" w:lineRule="auto"/>
        <w:ind w:firstLine="560"/>
        <w:rPr>
          <w:color w:val="auto"/>
          <w:highlight w:val="none"/>
        </w:rPr>
      </w:pPr>
      <w:r>
        <w:rPr>
          <w:rFonts w:hint="eastAsia"/>
          <w:color w:val="auto"/>
          <w:highlight w:val="none"/>
        </w:rPr>
        <w:t>□ 火灾危险性乙类以上的厂房、仓库、储罐、堆场。</w:t>
      </w:r>
    </w:p>
    <w:p w14:paraId="51CB9C3D">
      <w:pPr>
        <w:snapToGrid w:val="0"/>
        <w:spacing w:line="360" w:lineRule="auto"/>
        <w:ind w:firstLine="562"/>
        <w:rPr>
          <w:b/>
          <w:bCs/>
          <w:color w:val="auto"/>
          <w:sz w:val="28"/>
          <w:szCs w:val="28"/>
          <w:highlight w:val="none"/>
        </w:rPr>
      </w:pPr>
      <w:r>
        <w:rPr>
          <w:rFonts w:hint="eastAsia"/>
          <w:b/>
          <w:bCs/>
          <w:color w:val="auto"/>
          <w:sz w:val="28"/>
          <w:szCs w:val="28"/>
          <w:highlight w:val="none"/>
        </w:rPr>
        <w:t>防水防腐保温工程</w:t>
      </w:r>
    </w:p>
    <w:p w14:paraId="23441467">
      <w:pPr>
        <w:snapToGrid w:val="0"/>
        <w:spacing w:line="360" w:lineRule="auto"/>
        <w:ind w:firstLine="56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3CC1CE6D">
      <w:pPr>
        <w:snapToGrid w:val="0"/>
        <w:spacing w:line="360" w:lineRule="auto"/>
        <w:ind w:firstLine="56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3423171C">
      <w:pPr>
        <w:snapToGrid w:val="0"/>
        <w:spacing w:line="360" w:lineRule="auto"/>
        <w:ind w:firstLine="562"/>
        <w:rPr>
          <w:b/>
          <w:bCs/>
          <w:color w:val="auto"/>
          <w:sz w:val="28"/>
          <w:szCs w:val="28"/>
          <w:highlight w:val="none"/>
        </w:rPr>
      </w:pPr>
      <w:r>
        <w:rPr>
          <w:rFonts w:hint="eastAsia"/>
          <w:b/>
          <w:bCs/>
          <w:color w:val="auto"/>
          <w:sz w:val="28"/>
          <w:szCs w:val="28"/>
          <w:highlight w:val="none"/>
        </w:rPr>
        <w:t>钢结构工程专业</w:t>
      </w:r>
    </w:p>
    <w:p w14:paraId="4E52C895">
      <w:pPr>
        <w:snapToGrid w:val="0"/>
        <w:spacing w:line="360" w:lineRule="auto"/>
        <w:ind w:firstLine="56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7837D69D">
      <w:pPr>
        <w:snapToGrid w:val="0"/>
        <w:spacing w:line="360" w:lineRule="auto"/>
        <w:ind w:firstLine="56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2454CB44">
      <w:pPr>
        <w:snapToGrid w:val="0"/>
        <w:spacing w:line="360" w:lineRule="auto"/>
        <w:ind w:firstLine="56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6B965244">
      <w:pPr>
        <w:snapToGrid w:val="0"/>
        <w:spacing w:line="360" w:lineRule="auto"/>
        <w:ind w:firstLine="56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19541BD5">
      <w:pPr>
        <w:snapToGrid w:val="0"/>
        <w:spacing w:line="360" w:lineRule="auto"/>
        <w:ind w:firstLine="56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01800E00">
      <w:pPr>
        <w:snapToGrid w:val="0"/>
        <w:spacing w:line="360" w:lineRule="auto"/>
        <w:ind w:firstLine="562"/>
        <w:rPr>
          <w:b/>
          <w:bCs/>
          <w:color w:val="auto"/>
          <w:sz w:val="28"/>
          <w:szCs w:val="28"/>
          <w:highlight w:val="none"/>
        </w:rPr>
      </w:pPr>
      <w:r>
        <w:rPr>
          <w:rFonts w:hint="eastAsia"/>
          <w:b/>
          <w:bCs/>
          <w:color w:val="auto"/>
          <w:sz w:val="28"/>
          <w:szCs w:val="28"/>
          <w:highlight w:val="none"/>
        </w:rPr>
        <w:t>模板脚手架专业</w:t>
      </w:r>
    </w:p>
    <w:p w14:paraId="6158C3EC">
      <w:pPr>
        <w:snapToGrid w:val="0"/>
        <w:spacing w:line="360" w:lineRule="auto"/>
        <w:ind w:firstLine="560"/>
        <w:rPr>
          <w:color w:val="auto"/>
          <w:highlight w:val="none"/>
        </w:rPr>
      </w:pPr>
      <w:r>
        <w:rPr>
          <w:rFonts w:hint="eastAsia"/>
          <w:color w:val="auto"/>
          <w:highlight w:val="none"/>
        </w:rPr>
        <w:t>□各类模板、脚手架工程的设计、制作、安装、施工。</w:t>
      </w:r>
    </w:p>
    <w:p w14:paraId="36509245">
      <w:pPr>
        <w:snapToGrid w:val="0"/>
        <w:spacing w:line="360" w:lineRule="auto"/>
        <w:ind w:firstLine="562"/>
        <w:rPr>
          <w:b/>
          <w:bCs/>
          <w:color w:val="auto"/>
          <w:sz w:val="28"/>
          <w:szCs w:val="28"/>
          <w:highlight w:val="none"/>
        </w:rPr>
      </w:pPr>
      <w:r>
        <w:rPr>
          <w:rFonts w:hint="eastAsia"/>
          <w:b/>
          <w:bCs/>
          <w:color w:val="auto"/>
          <w:sz w:val="28"/>
          <w:szCs w:val="28"/>
          <w:highlight w:val="none"/>
        </w:rPr>
        <w:t>建筑装修装饰工程专业</w:t>
      </w:r>
    </w:p>
    <w:p w14:paraId="3EBA9282">
      <w:pPr>
        <w:snapToGrid w:val="0"/>
        <w:spacing w:line="360" w:lineRule="auto"/>
        <w:ind w:firstLine="56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23825B0D">
      <w:pPr>
        <w:snapToGrid w:val="0"/>
        <w:spacing w:line="360" w:lineRule="auto"/>
        <w:ind w:firstLine="562"/>
        <w:rPr>
          <w:b/>
          <w:bCs/>
          <w:color w:val="auto"/>
          <w:sz w:val="28"/>
          <w:szCs w:val="28"/>
          <w:highlight w:val="none"/>
        </w:rPr>
      </w:pPr>
      <w:r>
        <w:rPr>
          <w:rFonts w:hint="eastAsia"/>
          <w:b/>
          <w:bCs/>
          <w:color w:val="auto"/>
          <w:sz w:val="28"/>
          <w:szCs w:val="28"/>
          <w:highlight w:val="none"/>
        </w:rPr>
        <w:t>建筑机电安装工程专业</w:t>
      </w:r>
    </w:p>
    <w:p w14:paraId="0E066610">
      <w:pPr>
        <w:snapToGrid w:val="0"/>
        <w:spacing w:line="360" w:lineRule="auto"/>
        <w:ind w:firstLine="56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1A8D7DD0">
      <w:pPr>
        <w:snapToGrid w:val="0"/>
        <w:spacing w:line="360" w:lineRule="auto"/>
        <w:ind w:firstLine="56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2D91F6E5">
      <w:pPr>
        <w:snapToGrid w:val="0"/>
        <w:spacing w:line="360" w:lineRule="auto"/>
        <w:ind w:firstLine="560"/>
        <w:rPr>
          <w:color w:val="auto"/>
          <w:highlight w:val="none"/>
        </w:rPr>
      </w:pPr>
      <w:r>
        <w:rPr>
          <w:rFonts w:hint="eastAsia"/>
          <w:color w:val="auto"/>
          <w:highlight w:val="none"/>
        </w:rPr>
        <w:t>□非标准钢结构件的制作、安装。</w:t>
      </w:r>
    </w:p>
    <w:p w14:paraId="67F78F31">
      <w:pPr>
        <w:snapToGrid w:val="0"/>
        <w:spacing w:line="360" w:lineRule="auto"/>
        <w:ind w:firstLine="562"/>
        <w:rPr>
          <w:b/>
          <w:bCs/>
          <w:color w:val="auto"/>
          <w:sz w:val="28"/>
          <w:szCs w:val="28"/>
          <w:highlight w:val="none"/>
        </w:rPr>
      </w:pPr>
      <w:r>
        <w:rPr>
          <w:rFonts w:hint="eastAsia"/>
          <w:b/>
          <w:bCs/>
          <w:color w:val="auto"/>
          <w:sz w:val="28"/>
          <w:szCs w:val="28"/>
          <w:highlight w:val="none"/>
        </w:rPr>
        <w:t>建筑幕墙工程专业</w:t>
      </w:r>
    </w:p>
    <w:p w14:paraId="3F63FE69">
      <w:pPr>
        <w:snapToGrid w:val="0"/>
        <w:spacing w:line="360" w:lineRule="auto"/>
        <w:ind w:firstLine="56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4B1ACF7E">
      <w:pPr>
        <w:snapToGrid w:val="0"/>
        <w:spacing w:line="360" w:lineRule="auto"/>
        <w:ind w:firstLine="562"/>
        <w:rPr>
          <w:b/>
          <w:bCs/>
          <w:color w:val="auto"/>
          <w:sz w:val="28"/>
          <w:szCs w:val="28"/>
          <w:highlight w:val="none"/>
        </w:rPr>
      </w:pPr>
      <w:r>
        <w:rPr>
          <w:rFonts w:hint="eastAsia"/>
          <w:b/>
          <w:bCs/>
          <w:color w:val="auto"/>
          <w:sz w:val="28"/>
          <w:szCs w:val="28"/>
          <w:highlight w:val="none"/>
        </w:rPr>
        <w:t>古建筑工程专业</w:t>
      </w:r>
    </w:p>
    <w:p w14:paraId="00DDDBA0">
      <w:pPr>
        <w:snapToGrid w:val="0"/>
        <w:spacing w:line="360" w:lineRule="auto"/>
        <w:ind w:firstLine="56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5A0DB769">
      <w:pPr>
        <w:snapToGrid w:val="0"/>
        <w:spacing w:line="360" w:lineRule="auto"/>
        <w:ind w:firstLine="56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51FE105C">
      <w:pPr>
        <w:snapToGrid w:val="0"/>
        <w:spacing w:line="360" w:lineRule="auto"/>
        <w:ind w:firstLine="56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62A20812">
      <w:pPr>
        <w:snapToGrid w:val="0"/>
        <w:spacing w:line="360" w:lineRule="auto"/>
        <w:ind w:firstLine="562"/>
        <w:rPr>
          <w:b/>
          <w:bCs/>
          <w:color w:val="auto"/>
          <w:sz w:val="28"/>
          <w:szCs w:val="28"/>
          <w:highlight w:val="none"/>
        </w:rPr>
      </w:pPr>
      <w:r>
        <w:rPr>
          <w:rFonts w:hint="eastAsia"/>
          <w:b/>
          <w:bCs/>
          <w:color w:val="auto"/>
          <w:sz w:val="28"/>
          <w:szCs w:val="28"/>
          <w:highlight w:val="none"/>
        </w:rPr>
        <w:t>城市及道路照明工程专业</w:t>
      </w:r>
    </w:p>
    <w:p w14:paraId="6DDC7C25">
      <w:pPr>
        <w:snapToGrid w:val="0"/>
        <w:spacing w:line="360" w:lineRule="auto"/>
        <w:ind w:firstLine="56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4F547D77">
      <w:pPr>
        <w:snapToGrid w:val="0"/>
        <w:spacing w:line="360" w:lineRule="auto"/>
        <w:ind w:firstLine="562"/>
        <w:rPr>
          <w:b/>
          <w:bCs/>
          <w:color w:val="auto"/>
          <w:sz w:val="28"/>
          <w:szCs w:val="28"/>
          <w:highlight w:val="none"/>
        </w:rPr>
      </w:pPr>
      <w:r>
        <w:rPr>
          <w:rFonts w:hint="eastAsia"/>
          <w:b/>
          <w:bCs/>
          <w:color w:val="auto"/>
          <w:sz w:val="28"/>
          <w:szCs w:val="28"/>
          <w:highlight w:val="none"/>
        </w:rPr>
        <w:t>特种专业工程</w:t>
      </w:r>
    </w:p>
    <w:p w14:paraId="6A8F2D24">
      <w:pPr>
        <w:snapToGrid w:val="0"/>
        <w:spacing w:line="360" w:lineRule="auto"/>
        <w:ind w:firstLine="315" w:firstLineChars="150"/>
        <w:rPr>
          <w:rFonts w:hint="eastAsia"/>
          <w:color w:val="auto"/>
          <w:highlight w:val="none"/>
        </w:rPr>
      </w:pPr>
      <w:r>
        <w:rPr>
          <w:rFonts w:hint="eastAsia"/>
          <w:color w:val="auto"/>
          <w:highlight w:val="none"/>
        </w:rPr>
        <w:t>□建筑物纠偏和平移</w:t>
      </w:r>
    </w:p>
    <w:p w14:paraId="573D9560">
      <w:pPr>
        <w:snapToGrid w:val="0"/>
        <w:spacing w:line="360" w:lineRule="auto"/>
        <w:ind w:firstLine="315" w:firstLineChars="150"/>
        <w:rPr>
          <w:rFonts w:hint="eastAsia"/>
          <w:color w:val="auto"/>
          <w:highlight w:val="none"/>
        </w:rPr>
      </w:pPr>
      <w:r>
        <w:rPr>
          <w:rFonts w:hint="eastAsia"/>
          <w:color w:val="auto"/>
          <w:highlight w:val="none"/>
        </w:rPr>
        <w:t>□结构补强</w:t>
      </w:r>
    </w:p>
    <w:p w14:paraId="23FD0E01">
      <w:pPr>
        <w:snapToGrid w:val="0"/>
        <w:spacing w:line="360" w:lineRule="auto"/>
        <w:ind w:firstLine="315" w:firstLineChars="150"/>
        <w:rPr>
          <w:rFonts w:hint="eastAsia"/>
          <w:color w:val="auto"/>
          <w:highlight w:val="none"/>
        </w:rPr>
      </w:pPr>
      <w:r>
        <w:rPr>
          <w:rFonts w:hint="eastAsia"/>
          <w:color w:val="auto"/>
          <w:highlight w:val="none"/>
        </w:rPr>
        <w:t>□特殊设备起重吊装</w:t>
      </w:r>
    </w:p>
    <w:p w14:paraId="2FA0022D">
      <w:pPr>
        <w:snapToGrid w:val="0"/>
        <w:spacing w:line="360" w:lineRule="auto"/>
        <w:ind w:firstLine="315" w:firstLineChars="150"/>
        <w:rPr>
          <w:rFonts w:hint="eastAsia"/>
          <w:color w:val="auto"/>
          <w:highlight w:val="none"/>
        </w:rPr>
      </w:pPr>
      <w:r>
        <w:rPr>
          <w:rFonts w:hint="eastAsia"/>
          <w:color w:val="auto"/>
          <w:highlight w:val="none"/>
        </w:rPr>
        <w:t>□特种防雷</w:t>
      </w:r>
    </w:p>
    <w:p w14:paraId="4007EC2E">
      <w:pPr>
        <w:snapToGrid w:val="0"/>
        <w:spacing w:line="360" w:lineRule="auto"/>
        <w:ind w:firstLine="315" w:firstLineChars="150"/>
        <w:rPr>
          <w:rFonts w:hint="default" w:eastAsia="宋体"/>
          <w:color w:val="auto"/>
          <w:highlight w:val="none"/>
          <w:lang w:val="en-US" w:eastAsia="zh-CN"/>
        </w:rPr>
      </w:pPr>
      <w:r>
        <w:rPr>
          <w:rFonts w:hint="eastAsia"/>
          <w:color w:val="auto"/>
          <w:highlight w:val="none"/>
        </w:rPr>
        <w:t>□</w:t>
      </w:r>
      <w:r>
        <w:rPr>
          <w:rFonts w:hint="eastAsia"/>
          <w:color w:val="auto"/>
          <w:highlight w:val="none"/>
          <w:lang w:val="en-US" w:eastAsia="zh-CN"/>
        </w:rPr>
        <w:t>特种专业工程</w:t>
      </w:r>
    </w:p>
    <w:p w14:paraId="729FB7E1">
      <w:pPr>
        <w:snapToGrid w:val="0"/>
        <w:spacing w:line="360" w:lineRule="auto"/>
        <w:ind w:firstLine="562"/>
        <w:rPr>
          <w:b/>
          <w:bCs/>
          <w:color w:val="auto"/>
          <w:sz w:val="28"/>
          <w:szCs w:val="28"/>
          <w:highlight w:val="none"/>
        </w:rPr>
      </w:pPr>
      <w:r>
        <w:rPr>
          <w:rFonts w:hint="eastAsia"/>
          <w:b/>
          <w:bCs/>
          <w:color w:val="auto"/>
          <w:sz w:val="28"/>
          <w:szCs w:val="28"/>
          <w:highlight w:val="none"/>
        </w:rPr>
        <w:t>桥梁工程专业</w:t>
      </w:r>
    </w:p>
    <w:p w14:paraId="2A4DB04D">
      <w:pPr>
        <w:snapToGrid w:val="0"/>
        <w:spacing w:line="360" w:lineRule="auto"/>
        <w:ind w:firstLine="56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7177BCA8">
      <w:pPr>
        <w:snapToGrid w:val="0"/>
        <w:spacing w:line="360" w:lineRule="auto"/>
        <w:ind w:firstLine="56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3EBF50EC">
      <w:pPr>
        <w:snapToGrid w:val="0"/>
        <w:spacing w:line="360" w:lineRule="auto"/>
        <w:ind w:firstLine="562"/>
        <w:rPr>
          <w:b/>
          <w:bCs/>
          <w:color w:val="auto"/>
          <w:sz w:val="28"/>
          <w:szCs w:val="28"/>
          <w:highlight w:val="none"/>
        </w:rPr>
      </w:pPr>
      <w:r>
        <w:rPr>
          <w:rFonts w:hint="eastAsia"/>
          <w:b/>
          <w:bCs/>
          <w:color w:val="auto"/>
          <w:sz w:val="28"/>
          <w:szCs w:val="28"/>
          <w:highlight w:val="none"/>
        </w:rPr>
        <w:t>隧道工程专业</w:t>
      </w:r>
    </w:p>
    <w:p w14:paraId="59776B16">
      <w:pPr>
        <w:snapToGrid w:val="0"/>
        <w:spacing w:line="360" w:lineRule="auto"/>
        <w:ind w:firstLine="56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15E57B67">
      <w:pPr>
        <w:snapToGrid w:val="0"/>
        <w:spacing w:line="360" w:lineRule="auto"/>
        <w:ind w:firstLine="56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152CE01E">
      <w:pPr>
        <w:snapToGrid w:val="0"/>
        <w:spacing w:line="360" w:lineRule="auto"/>
        <w:ind w:firstLine="562"/>
        <w:rPr>
          <w:b/>
          <w:bCs/>
          <w:color w:val="auto"/>
          <w:sz w:val="28"/>
          <w:szCs w:val="28"/>
          <w:highlight w:val="none"/>
        </w:rPr>
      </w:pPr>
      <w:r>
        <w:rPr>
          <w:rFonts w:hint="eastAsia"/>
          <w:b/>
          <w:bCs/>
          <w:color w:val="auto"/>
          <w:sz w:val="28"/>
          <w:szCs w:val="28"/>
          <w:highlight w:val="none"/>
        </w:rPr>
        <w:t>公路路面工程专业（适用于市政公用工程中单独招标的路面工程）</w:t>
      </w:r>
    </w:p>
    <w:p w14:paraId="5C6FA7E2">
      <w:pPr>
        <w:snapToGrid w:val="0"/>
        <w:spacing w:line="360" w:lineRule="auto"/>
        <w:ind w:firstLine="56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7D90A62F">
      <w:pPr>
        <w:snapToGrid w:val="0"/>
        <w:spacing w:line="360" w:lineRule="auto"/>
        <w:ind w:firstLine="562"/>
        <w:rPr>
          <w:b/>
          <w:bCs/>
          <w:color w:val="auto"/>
          <w:sz w:val="28"/>
          <w:szCs w:val="28"/>
          <w:highlight w:val="none"/>
        </w:rPr>
      </w:pPr>
      <w:r>
        <w:rPr>
          <w:rFonts w:hint="eastAsia"/>
          <w:b/>
          <w:bCs/>
          <w:color w:val="auto"/>
          <w:sz w:val="28"/>
          <w:szCs w:val="28"/>
          <w:highlight w:val="none"/>
        </w:rPr>
        <w:t>公路交通工程专业（适用于市政公用工程中单独招标的交通工程）</w:t>
      </w:r>
    </w:p>
    <w:p w14:paraId="48E3C4DC">
      <w:pPr>
        <w:snapToGrid w:val="0"/>
        <w:spacing w:line="360" w:lineRule="auto"/>
        <w:ind w:firstLine="560"/>
        <w:rPr>
          <w:color w:val="auto"/>
          <w:highlight w:val="none"/>
        </w:rPr>
      </w:pPr>
      <w:r>
        <w:rPr>
          <w:rFonts w:hint="eastAsia"/>
          <w:color w:val="auto"/>
          <w:highlight w:val="none"/>
        </w:rPr>
        <w:t>□公路安全设施分项</w:t>
      </w:r>
    </w:p>
    <w:p w14:paraId="11CD83DC">
      <w:pPr>
        <w:snapToGrid w:val="0"/>
        <w:spacing w:line="360" w:lineRule="auto"/>
        <w:ind w:firstLine="56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14E666AA">
      <w:pPr>
        <w:snapToGrid w:val="0"/>
        <w:spacing w:line="360" w:lineRule="auto"/>
        <w:ind w:firstLine="560"/>
        <w:rPr>
          <w:color w:val="auto"/>
          <w:highlight w:val="none"/>
        </w:rPr>
      </w:pPr>
      <w:r>
        <w:rPr>
          <w:rFonts w:hint="eastAsia"/>
          <w:color w:val="auto"/>
          <w:highlight w:val="none"/>
        </w:rPr>
        <w:t>□公路机电工程分项</w:t>
      </w:r>
    </w:p>
    <w:p w14:paraId="6B3965DB">
      <w:pPr>
        <w:snapToGrid w:val="0"/>
        <w:spacing w:line="360" w:lineRule="auto"/>
        <w:ind w:firstLine="560"/>
        <w:rPr>
          <w:b/>
          <w:bCs/>
          <w:color w:val="auto"/>
          <w:sz w:val="28"/>
          <w:szCs w:val="28"/>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p w14:paraId="61BF4E5A">
      <w:pPr>
        <w:snapToGrid w:val="0"/>
        <w:spacing w:line="360" w:lineRule="auto"/>
        <w:ind w:firstLine="562"/>
        <w:rPr>
          <w:b/>
          <w:bCs/>
          <w:color w:val="auto"/>
          <w:sz w:val="28"/>
          <w:szCs w:val="28"/>
          <w:highlight w:val="none"/>
        </w:rPr>
      </w:pPr>
      <w:r>
        <w:rPr>
          <w:rFonts w:hint="eastAsia"/>
          <w:b/>
          <w:bCs/>
          <w:color w:val="auto"/>
          <w:sz w:val="28"/>
          <w:szCs w:val="28"/>
          <w:highlight w:val="none"/>
        </w:rPr>
        <w:t>装配式建筑项目</w:t>
      </w:r>
    </w:p>
    <w:p w14:paraId="761A371F">
      <w:pPr>
        <w:snapToGrid w:val="0"/>
        <w:spacing w:line="360" w:lineRule="auto"/>
        <w:ind w:firstLine="420" w:firstLineChars="200"/>
        <w:rPr>
          <w:rFonts w:hint="eastAsia"/>
          <w:color w:val="auto"/>
          <w:highlight w:val="none"/>
        </w:rPr>
      </w:pPr>
      <w:r>
        <w:rPr>
          <w:rFonts w:hint="eastAsia"/>
          <w:color w:val="auto"/>
          <w:highlight w:val="none"/>
        </w:rPr>
        <w:t>口具备装配式建筑产业基地资格的生产企业</w:t>
      </w:r>
      <w:r>
        <w:rPr>
          <w:color w:val="auto"/>
          <w:highlight w:val="none"/>
        </w:rPr>
        <w:t>(</w:t>
      </w:r>
      <w:r>
        <w:rPr>
          <w:rFonts w:hint="eastAsia"/>
          <w:color w:val="auto"/>
          <w:highlight w:val="none"/>
        </w:rPr>
        <w:t>以省级及以上建设行政主管部门发布的文件为准，如划分了基地类型的，类型为生产类或综合类</w:t>
      </w:r>
      <w:r>
        <w:rPr>
          <w:color w:val="auto"/>
          <w:highlight w:val="none"/>
        </w:rPr>
        <w:t>)</w:t>
      </w:r>
      <w:r>
        <w:rPr>
          <w:rFonts w:hint="eastAsia"/>
          <w:color w:val="auto"/>
          <w:highlight w:val="none"/>
        </w:rPr>
        <w:t>。</w:t>
      </w:r>
    </w:p>
    <w:p w14:paraId="778FC9E9">
      <w:pPr>
        <w:snapToGrid w:val="0"/>
        <w:spacing w:line="360" w:lineRule="auto"/>
        <w:ind w:firstLine="562"/>
        <w:rPr>
          <w:b/>
          <w:bCs/>
          <w:color w:val="auto"/>
          <w:sz w:val="28"/>
          <w:szCs w:val="28"/>
          <w:highlight w:val="none"/>
        </w:rPr>
      </w:pPr>
      <w:r>
        <w:rPr>
          <w:rFonts w:hint="eastAsia"/>
          <w:b/>
          <w:bCs/>
          <w:color w:val="auto"/>
          <w:sz w:val="28"/>
          <w:szCs w:val="28"/>
          <w:highlight w:val="none"/>
        </w:rPr>
        <w:t>□总承包工程+总承包工程：</w:t>
      </w:r>
    </w:p>
    <w:p w14:paraId="17CBE195">
      <w:pPr>
        <w:snapToGrid w:val="0"/>
        <w:spacing w:line="360" w:lineRule="auto"/>
        <w:ind w:firstLine="56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41F91ACB">
      <w:pPr>
        <w:snapToGrid w:val="0"/>
        <w:spacing w:line="360" w:lineRule="auto"/>
        <w:ind w:firstLine="562"/>
        <w:rPr>
          <w:color w:val="auto"/>
          <w:highlight w:val="none"/>
        </w:rPr>
      </w:pPr>
      <w:r>
        <w:rPr>
          <w:rFonts w:hint="eastAsia"/>
          <w:b/>
          <w:bCs/>
          <w:color w:val="auto"/>
          <w:sz w:val="28"/>
          <w:szCs w:val="28"/>
          <w:highlight w:val="none"/>
        </w:rPr>
        <w:t>□建筑工程施工总承包工程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6FF6CC5B">
      <w:pPr>
        <w:snapToGrid w:val="0"/>
        <w:spacing w:line="360" w:lineRule="auto"/>
        <w:ind w:firstLine="56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3A87553F">
      <w:pPr>
        <w:snapToGrid w:val="0"/>
        <w:spacing w:line="360" w:lineRule="auto"/>
        <w:ind w:firstLine="562"/>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2BA0408F">
      <w:pPr>
        <w:snapToGrid w:val="0"/>
        <w:spacing w:line="360" w:lineRule="auto"/>
        <w:ind w:firstLine="56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1F84235F">
      <w:pPr>
        <w:snapToGrid w:val="0"/>
        <w:spacing w:line="360" w:lineRule="auto"/>
        <w:ind w:firstLine="562"/>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1525EE1F">
      <w:pPr>
        <w:snapToGrid w:val="0"/>
        <w:spacing w:line="360" w:lineRule="auto"/>
        <w:ind w:firstLine="56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B06A2EB">
      <w:pPr>
        <w:snapToGrid w:val="0"/>
        <w:spacing w:line="360" w:lineRule="auto"/>
        <w:ind w:firstLine="422" w:firstLineChars="200"/>
        <w:rPr>
          <w:rFonts w:hint="eastAsia" w:ascii="宋体" w:hAnsi="宋体" w:cs="Arial"/>
          <w:snapToGrid w:val="0"/>
          <w:color w:val="auto"/>
          <w:kern w:val="0"/>
          <w:szCs w:val="21"/>
          <w:highlight w:val="none"/>
        </w:rPr>
      </w:pPr>
      <w:r>
        <w:rPr>
          <w:rFonts w:hint="eastAsia"/>
          <w:b/>
          <w:bCs/>
          <w:color w:val="auto"/>
          <w:highlight w:val="none"/>
        </w:rPr>
        <w:t>注：采用多资质组合招标的工程项目，最多不超过三个（不包括装配式建筑项目要求具备的装配式资格）资质。</w:t>
      </w:r>
    </w:p>
    <w:p w14:paraId="0465DEA0">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28419362">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69AB38A5">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1F8C061C">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07A543DE">
      <w:pPr>
        <w:keepLines/>
        <w:kinsoku w:val="0"/>
        <w:autoSpaceDE w:val="0"/>
        <w:autoSpaceDN w:val="0"/>
        <w:spacing w:line="360" w:lineRule="auto"/>
        <w:ind w:firstLine="643"/>
        <w:jc w:val="left"/>
        <w:textAlignment w:val="baseline"/>
        <w:outlineLvl w:val="1"/>
        <w:rPr>
          <w:rFonts w:hint="eastAsia" w:ascii="黑体" w:hAnsi="黑体" w:eastAsia="黑体" w:cs="宋体"/>
          <w:b/>
          <w:snapToGrid w:val="0"/>
          <w:color w:val="auto"/>
          <w:kern w:val="0"/>
          <w:sz w:val="32"/>
          <w:szCs w:val="32"/>
          <w:highlight w:val="none"/>
        </w:rPr>
      </w:pPr>
      <w:bookmarkStart w:id="10" w:name="_Toc193802634"/>
      <w:bookmarkStart w:id="11" w:name="_Toc26620"/>
      <w:r>
        <w:rPr>
          <w:rFonts w:hint="eastAsia" w:ascii="黑体" w:hAnsi="黑体" w:eastAsia="黑体" w:cs="宋体"/>
          <w:b/>
          <w:snapToGrid w:val="0"/>
          <w:color w:val="auto"/>
          <w:kern w:val="0"/>
          <w:sz w:val="32"/>
          <w:szCs w:val="32"/>
          <w:highlight w:val="none"/>
        </w:rPr>
        <w:t>3.招标范围</w:t>
      </w:r>
      <w:bookmarkEnd w:id="10"/>
      <w:bookmarkEnd w:id="11"/>
    </w:p>
    <w:p w14:paraId="2F802A25">
      <w:pPr>
        <w:widowControl/>
        <w:kinsoku w:val="0"/>
        <w:autoSpaceDE w:val="0"/>
        <w:autoSpaceDN w:val="0"/>
        <w:spacing w:line="360" w:lineRule="auto"/>
        <w:ind w:firstLine="56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eastAsia="黑体"/>
          <w:color w:val="auto"/>
          <w:sz w:val="30"/>
          <w:highlight w:val="none"/>
          <w:u w:val="single"/>
        </w:rPr>
        <w:t xml:space="preserve">                 </w:t>
      </w:r>
      <w:r>
        <w:rPr>
          <w:rFonts w:hint="eastAsia" w:ascii="宋体" w:hAnsi="宋体" w:eastAsia="Arial" w:cs="Arial"/>
          <w:snapToGrid w:val="0"/>
          <w:color w:val="auto"/>
          <w:kern w:val="0"/>
          <w:szCs w:val="21"/>
          <w:highlight w:val="none"/>
        </w:rPr>
        <w:t xml:space="preserve">                            （招标人根据项目情况补充填写）。 </w:t>
      </w:r>
      <w:r>
        <w:rPr>
          <w:rFonts w:hint="eastAsia" w:eastAsia="黑体"/>
          <w:color w:val="auto"/>
          <w:sz w:val="30"/>
          <w:highlight w:val="none"/>
        </w:rPr>
        <w:t xml:space="preserve"> </w:t>
      </w:r>
    </w:p>
    <w:p w14:paraId="27E46CE2">
      <w:pPr>
        <w:keepLines/>
        <w:kinsoku w:val="0"/>
        <w:autoSpaceDE w:val="0"/>
        <w:autoSpaceDN w:val="0"/>
        <w:spacing w:line="360" w:lineRule="auto"/>
        <w:ind w:firstLine="643"/>
        <w:jc w:val="left"/>
        <w:textAlignment w:val="baseline"/>
        <w:outlineLvl w:val="1"/>
        <w:rPr>
          <w:rFonts w:hint="eastAsia" w:ascii="黑体" w:hAnsi="黑体" w:eastAsia="黑体" w:cs="宋体"/>
          <w:b/>
          <w:snapToGrid w:val="0"/>
          <w:color w:val="auto"/>
          <w:kern w:val="0"/>
          <w:sz w:val="32"/>
          <w:szCs w:val="32"/>
          <w:highlight w:val="none"/>
        </w:rPr>
      </w:pPr>
      <w:bookmarkStart w:id="12" w:name="_Toc28461"/>
      <w:bookmarkStart w:id="13" w:name="_Toc193802635"/>
      <w:r>
        <w:rPr>
          <w:rFonts w:ascii="黑体" w:hAnsi="黑体" w:eastAsia="黑体" w:cs="宋体"/>
          <w:b/>
          <w:snapToGrid w:val="0"/>
          <w:color w:val="auto"/>
          <w:kern w:val="0"/>
          <w:sz w:val="32"/>
          <w:szCs w:val="32"/>
          <w:highlight w:val="none"/>
        </w:rPr>
        <w:t>4.</w:t>
      </w:r>
      <w:r>
        <w:rPr>
          <w:rFonts w:hint="eastAsia" w:ascii="黑体" w:hAnsi="黑体" w:eastAsia="黑体" w:cs="宋体"/>
          <w:b/>
          <w:snapToGrid w:val="0"/>
          <w:color w:val="auto"/>
          <w:kern w:val="0"/>
          <w:sz w:val="32"/>
          <w:szCs w:val="32"/>
          <w:highlight w:val="none"/>
        </w:rPr>
        <w:t>申请人资格要求</w:t>
      </w:r>
      <w:bookmarkEnd w:id="12"/>
      <w:bookmarkEnd w:id="13"/>
    </w:p>
    <w:p w14:paraId="54907637">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14" w:name="_Toc193802256"/>
      <w:bookmarkStart w:id="15" w:name="_Toc193801679"/>
      <w:bookmarkStart w:id="16" w:name="_Toc195800122"/>
      <w:bookmarkStart w:id="17" w:name="_Toc193802636"/>
      <w:bookmarkStart w:id="18" w:name="_Toc1411"/>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w:t>
      </w:r>
      <w:r>
        <w:rPr>
          <w:rFonts w:hint="eastAsia" w:ascii="宋体" w:hAnsi="宋体" w:cs="宋体"/>
          <w:snapToGrid w:val="0"/>
          <w:color w:val="auto"/>
          <w:kern w:val="0"/>
          <w:szCs w:val="21"/>
          <w:highlight w:val="none"/>
        </w:rPr>
        <w:t>申请人</w:t>
      </w:r>
      <w:r>
        <w:rPr>
          <w:rFonts w:ascii="Arial" w:hAnsi="Arial" w:eastAsia="Arial" w:cs="Arial"/>
          <w:snapToGrid w:val="0"/>
          <w:color w:val="auto"/>
          <w:kern w:val="0"/>
          <w:szCs w:val="21"/>
          <w:highlight w:val="none"/>
        </w:rPr>
        <w:t>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14"/>
      <w:bookmarkEnd w:id="15"/>
      <w:bookmarkEnd w:id="16"/>
      <w:bookmarkEnd w:id="17"/>
      <w:bookmarkEnd w:id="18"/>
    </w:p>
    <w:p w14:paraId="6506A8DC">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5409D31C">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5C1D0AC6">
      <w:pPr>
        <w:spacing w:line="360" w:lineRule="auto"/>
        <w:ind w:firstLine="420" w:firstLineChars="200"/>
        <w:rPr>
          <w:rFonts w:hint="eastAsia" w:ascii="宋体" w:hAnsi="宋体" w:cs="宋体"/>
          <w:color w:val="auto"/>
          <w:szCs w:val="21"/>
          <w:highlight w:val="none"/>
        </w:rPr>
      </w:pPr>
      <w:r>
        <w:rPr>
          <w:rFonts w:hint="eastAsia"/>
          <w:color w:val="auto"/>
          <w:highlight w:val="none"/>
        </w:rPr>
        <w:t>（3）</w:t>
      </w:r>
      <w:r>
        <w:rPr>
          <w:rFonts w:hint="eastAsia" w:ascii="宋体" w:hAnsi="宋体" w:cs="宋体"/>
          <w:color w:val="auto"/>
          <w:szCs w:val="21"/>
          <w:highlight w:val="none"/>
        </w:rPr>
        <w:sym w:font="Wingdings 2" w:char="00A3"/>
      </w:r>
      <w:r>
        <w:rPr>
          <w:rFonts w:hint="eastAsia" w:ascii="宋体" w:hAnsi="宋体" w:cs="Arial"/>
          <w:snapToGrid w:val="0"/>
          <w:color w:val="auto"/>
          <w:kern w:val="0"/>
          <w:szCs w:val="21"/>
          <w:highlight w:val="none"/>
        </w:rPr>
        <w:t>拟任项目经理</w:t>
      </w:r>
      <w:r>
        <w:rPr>
          <w:rFonts w:hint="eastAsia"/>
          <w:color w:val="auto"/>
          <w:highlight w:val="none"/>
        </w:rPr>
        <w:t>资格：具有</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机电工程</w:t>
      </w:r>
      <w:r>
        <w:rPr>
          <w:rFonts w:hint="eastAsia"/>
          <w:color w:val="auto"/>
          <w:highlight w:val="none"/>
        </w:rPr>
        <w:t>专</w:t>
      </w:r>
      <w:r>
        <w:rPr>
          <w:color w:val="auto"/>
          <w:highlight w:val="none"/>
        </w:rPr>
        <w:t>业</w:t>
      </w:r>
      <w:r>
        <w:rPr>
          <w:rFonts w:hint="eastAsia"/>
          <w:color w:val="auto"/>
          <w:highlight w:val="none"/>
          <w:u w:val="single"/>
        </w:rPr>
        <w:t>□壹级□贰级及以上 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及有效的项目负责人安全生产考核合格证书，且须满足第二章申请人须知前附表第9.2款要求。</w:t>
      </w:r>
    </w:p>
    <w:p w14:paraId="2C7A9223">
      <w:pPr>
        <w:spacing w:line="360" w:lineRule="auto"/>
        <w:ind w:firstLine="56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Arial"/>
          <w:snapToGrid w:val="0"/>
          <w:color w:val="auto"/>
          <w:kern w:val="0"/>
          <w:szCs w:val="21"/>
          <w:highlight w:val="none"/>
        </w:rPr>
        <w:t>拟任项目经理</w:t>
      </w:r>
      <w:r>
        <w:rPr>
          <w:rFonts w:hint="eastAsia"/>
          <w:color w:val="auto"/>
          <w:highlight w:val="none"/>
        </w:rPr>
        <w:t>资格：具有风景园林专业或者园林绿化专业</w:t>
      </w:r>
      <w:r>
        <w:rPr>
          <w:color w:val="auto"/>
          <w:highlight w:val="none"/>
          <w:u w:val="single"/>
        </w:rPr>
        <w:t xml:space="preserve"> </w:t>
      </w:r>
      <w:r>
        <w:rPr>
          <w:rFonts w:hint="eastAsia" w:ascii="宋体" w:hAnsi="宋体" w:cs="宋体"/>
          <w:color w:val="auto"/>
          <w:szCs w:val="21"/>
          <w:highlight w:val="none"/>
          <w:u w:val="single"/>
        </w:rPr>
        <w:t xml:space="preserve">   </w:t>
      </w:r>
      <w:r>
        <w:rPr>
          <w:color w:val="auto"/>
          <w:highlight w:val="none"/>
          <w:u w:val="single"/>
        </w:rPr>
        <w:t xml:space="preserve"> </w:t>
      </w:r>
      <w:r>
        <w:rPr>
          <w:rFonts w:hint="eastAsia"/>
          <w:color w:val="auto"/>
          <w:highlight w:val="none"/>
        </w:rPr>
        <w:t>级及以上技术职称（或具备市政公用工程专业</w:t>
      </w:r>
      <w:r>
        <w:rPr>
          <w:rFonts w:hint="eastAsia"/>
          <w:color w:val="auto"/>
          <w:highlight w:val="none"/>
          <w:u w:val="single"/>
        </w:rPr>
        <w:t>□壹级□贰级及以上</w:t>
      </w:r>
      <w:r>
        <w:rPr>
          <w:rFonts w:hint="eastAsia"/>
          <w:color w:val="auto"/>
          <w:highlight w:val="none"/>
        </w:rPr>
        <w:t xml:space="preserve">  注册建造师执业资格证书）</w:t>
      </w:r>
      <w:r>
        <w:rPr>
          <w:rFonts w:hint="eastAsia"/>
          <w:color w:val="auto"/>
          <w:highlight w:val="none"/>
          <w:u w:val="single"/>
        </w:rPr>
        <w:t>，且须满足第二章申请人须知前附表第9.2款要求。（仅适用于园林绿化项目）</w:t>
      </w:r>
    </w:p>
    <w:p w14:paraId="2589B96B">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接受联合体资格预审申请</w:t>
      </w:r>
      <w:r>
        <w:rPr>
          <w:rFonts w:hint="eastAsia"/>
          <w:color w:val="auto"/>
          <w:highlight w:val="none"/>
        </w:rPr>
        <w:t>，联合体资格预审申请的相关要求见申请人须知前附表</w:t>
      </w:r>
    </w:p>
    <w:p w14:paraId="56D1C303">
      <w:pPr>
        <w:spacing w:line="360" w:lineRule="auto"/>
        <w:ind w:firstLine="560"/>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不接受联合体资格预审申请</w:t>
      </w:r>
    </w:p>
    <w:p w14:paraId="6F8D3FAA">
      <w:pPr>
        <w:spacing w:line="360" w:lineRule="auto"/>
        <w:ind w:left="208" w:leftChars="99" w:firstLine="220" w:firstLineChars="105"/>
        <w:rPr>
          <w:color w:val="auto"/>
          <w:highlight w:val="none"/>
        </w:rPr>
      </w:pPr>
      <w:r>
        <w:rPr>
          <w:rFonts w:hint="eastAsia"/>
          <w:color w:val="auto"/>
          <w:highlight w:val="none"/>
        </w:rPr>
        <w:t>4.3  入围业绩要求：</w:t>
      </w:r>
    </w:p>
    <w:p w14:paraId="1FD3968F">
      <w:pPr>
        <w:spacing w:line="360" w:lineRule="auto"/>
        <w:ind w:left="208" w:leftChars="99" w:firstLine="220" w:firstLineChars="105"/>
        <w:rPr>
          <w:color w:val="auto"/>
          <w:highlight w:val="none"/>
        </w:rPr>
      </w:pPr>
      <w:r>
        <w:rPr>
          <w:color w:val="auto"/>
          <w:highlight w:val="none"/>
        </w:rPr>
        <w:t xml:space="preserve">4.3.1 </w:t>
      </w:r>
      <w:r>
        <w:rPr>
          <w:rFonts w:hint="eastAsia"/>
          <w:color w:val="auto"/>
          <w:highlight w:val="none"/>
        </w:rPr>
        <w:t>企业类似工程业绩</w:t>
      </w:r>
    </w:p>
    <w:p w14:paraId="0083E497">
      <w:pPr>
        <w:spacing w:line="360" w:lineRule="auto"/>
        <w:ind w:firstLine="420" w:firstLineChars="200"/>
        <w:rPr>
          <w:color w:val="auto"/>
          <w:highlight w:val="none"/>
        </w:rPr>
      </w:pPr>
      <w:r>
        <w:rPr>
          <w:color w:val="auto"/>
          <w:highlight w:val="none"/>
        </w:rPr>
        <w:sym w:font="Wingdings" w:char="00A8"/>
      </w:r>
      <w:r>
        <w:rPr>
          <w:rFonts w:hint="eastAsia"/>
          <w:color w:val="auto"/>
          <w:highlight w:val="none"/>
        </w:rPr>
        <w:t>不要求类似工程业绩；</w:t>
      </w:r>
    </w:p>
    <w:p w14:paraId="5CACA3F0">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w:t>
      </w:r>
      <w:r>
        <w:rPr>
          <w:b/>
          <w:bCs/>
          <w:color w:val="auto"/>
          <w:szCs w:val="21"/>
          <w:highlight w:val="none"/>
          <w:u w:val="single"/>
        </w:rPr>
        <w:t xml:space="preserve"> </w:t>
      </w:r>
      <w:r>
        <w:rPr>
          <w:rFonts w:hint="eastAsia"/>
          <w:b/>
          <w:bCs/>
          <w:color w:val="auto"/>
          <w:szCs w:val="21"/>
          <w:highlight w:val="none"/>
          <w:u w:val="single"/>
        </w:rPr>
        <w:t>的</w:t>
      </w:r>
      <w:r>
        <w:rPr>
          <w:rFonts w:hint="eastAsia"/>
          <w:color w:val="auto"/>
          <w:szCs w:val="21"/>
          <w:highlight w:val="none"/>
        </w:rPr>
        <w:t>施工业绩。</w:t>
      </w:r>
    </w:p>
    <w:p w14:paraId="5032CB95">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399B71A5">
      <w:pPr>
        <w:spacing w:line="360" w:lineRule="auto"/>
        <w:ind w:firstLine="420" w:firstLineChars="200"/>
        <w:rPr>
          <w:color w:val="auto"/>
          <w:highlight w:val="none"/>
        </w:rPr>
      </w:pPr>
      <w:r>
        <w:rPr>
          <w:rFonts w:hint="eastAsia"/>
          <w:color w:val="auto"/>
          <w:highlight w:val="none"/>
        </w:rPr>
        <w:sym w:font="Wingdings" w:char="00A8"/>
      </w:r>
      <w:r>
        <w:rPr>
          <w:rFonts w:hint="eastAsia"/>
          <w:color w:val="auto"/>
          <w:highlight w:val="none"/>
        </w:rPr>
        <w:t>不要求类似工程业绩；</w:t>
      </w:r>
    </w:p>
    <w:p w14:paraId="0E3D6AF2">
      <w:pPr>
        <w:spacing w:line="360" w:lineRule="auto"/>
        <w:ind w:firstLine="420" w:firstLineChars="200"/>
        <w:rPr>
          <w:b/>
          <w:bCs/>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59C13D91">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05C167A3">
      <w:pPr>
        <w:spacing w:line="360" w:lineRule="auto"/>
        <w:ind w:firstLine="422" w:firstLineChars="200"/>
        <w:rPr>
          <w:color w:val="auto"/>
          <w:szCs w:val="21"/>
          <w:highlight w:val="none"/>
        </w:rPr>
      </w:pPr>
      <w:r>
        <w:rPr>
          <w:rFonts w:hint="eastAsia"/>
          <w:b/>
          <w:bCs/>
          <w:color w:val="auto"/>
          <w:szCs w:val="21"/>
          <w:highlight w:val="none"/>
        </w:rPr>
        <w:t>类似工程业绩具体要求详见第二章申请人须知第9.1款。</w:t>
      </w:r>
    </w:p>
    <w:p w14:paraId="50BBE1E8">
      <w:pPr>
        <w:spacing w:line="360" w:lineRule="auto"/>
        <w:ind w:left="199" w:leftChars="95" w:firstLine="211" w:firstLineChars="100"/>
        <w:rPr>
          <w:b/>
          <w:bCs/>
          <w:color w:val="auto"/>
          <w:szCs w:val="21"/>
          <w:highlight w:val="none"/>
        </w:rPr>
      </w:pPr>
      <w:r>
        <w:rPr>
          <w:rFonts w:hint="eastAsia"/>
          <w:b/>
          <w:bCs/>
          <w:color w:val="auto"/>
          <w:highlight w:val="none"/>
        </w:rPr>
        <w:t>业绩牵引指标：可由招标人根据项目情况从下述指标项中选择1-2项</w:t>
      </w:r>
      <w:r>
        <w:rPr>
          <w:rFonts w:hint="eastAsia"/>
          <w:b/>
          <w:bCs/>
          <w:color w:val="auto"/>
          <w:highlight w:val="none"/>
          <w:lang w:eastAsia="zh-CN"/>
        </w:rPr>
        <w:t>。</w:t>
      </w:r>
      <w:r>
        <w:rPr>
          <w:rFonts w:hint="eastAsia"/>
          <w:b/>
          <w:bCs/>
          <w:color w:val="auto"/>
          <w:highlight w:val="none"/>
        </w:rPr>
        <w:t>多资质组合招标时，</w:t>
      </w:r>
      <w:r>
        <w:rPr>
          <w:rFonts w:hint="eastAsia"/>
          <w:b/>
          <w:bCs/>
          <w:color w:val="auto"/>
          <w:highlight w:val="none"/>
          <w:lang w:val="en-US" w:eastAsia="zh-CN"/>
        </w:rPr>
        <w:t>最多选2个专业，</w:t>
      </w:r>
      <w:r>
        <w:rPr>
          <w:rFonts w:hint="eastAsia"/>
          <w:b/>
          <w:bCs/>
          <w:color w:val="auto"/>
          <w:highlight w:val="none"/>
        </w:rPr>
        <w:t>各专业对应选取1-2个指标项。</w:t>
      </w:r>
    </w:p>
    <w:p w14:paraId="6F2840CD">
      <w:pPr>
        <w:spacing w:line="360" w:lineRule="auto"/>
        <w:ind w:firstLine="422" w:firstLineChars="200"/>
        <w:rPr>
          <w:b/>
          <w:bCs/>
          <w:color w:val="auto"/>
          <w:szCs w:val="21"/>
          <w:highlight w:val="none"/>
        </w:rPr>
      </w:pPr>
    </w:p>
    <w:p w14:paraId="6487C7BC">
      <w:pPr>
        <w:spacing w:line="360" w:lineRule="auto"/>
        <w:ind w:firstLine="562"/>
        <w:rPr>
          <w:rFonts w:hint="eastAsia" w:ascii="宋体" w:hAnsi="宋体" w:cs="宋体"/>
          <w:color w:val="auto"/>
          <w:szCs w:val="21"/>
          <w:highlight w:val="none"/>
        </w:rPr>
      </w:pPr>
      <w:r>
        <w:rPr>
          <w:rFonts w:hint="eastAsia" w:ascii="宋体" w:hAnsi="宋体" w:cs="宋体"/>
          <w:b/>
          <w:bCs/>
          <w:color w:val="auto"/>
          <w:szCs w:val="21"/>
          <w:highlight w:val="none"/>
        </w:rPr>
        <w:t>建筑工程施工总承包</w:t>
      </w:r>
    </w:p>
    <w:p w14:paraId="13F34AF0">
      <w:pPr>
        <w:spacing w:line="360" w:lineRule="auto"/>
        <w:ind w:firstLine="56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（高度、建筑面积、单跨跨度、单项合同额）。</w:t>
      </w:r>
    </w:p>
    <w:p w14:paraId="3B1A51EE">
      <w:pPr>
        <w:spacing w:line="360" w:lineRule="auto"/>
        <w:ind w:firstLine="560"/>
        <w:rPr>
          <w:rFonts w:hint="eastAsia" w:ascii="宋体" w:hAnsi="宋体" w:cs="宋体"/>
          <w:color w:val="auto"/>
          <w:szCs w:val="21"/>
          <w:highlight w:val="none"/>
        </w:rPr>
      </w:pPr>
      <w:r>
        <w:rPr>
          <w:rFonts w:hint="eastAsia" w:ascii="宋体" w:hAnsi="宋体" w:cs="宋体"/>
          <w:color w:val="auto"/>
          <w:szCs w:val="21"/>
          <w:highlight w:val="none"/>
        </w:rPr>
        <w:t>注：采用单项合同额作为指标的，不再将面积、高度、跨度作为指标。</w:t>
      </w:r>
    </w:p>
    <w:p w14:paraId="7D29F305">
      <w:pPr>
        <w:spacing w:line="360" w:lineRule="auto"/>
        <w:ind w:firstLine="422" w:firstLineChars="200"/>
        <w:rPr>
          <w:rFonts w:hint="eastAsia" w:eastAsia="宋体"/>
          <w:b/>
          <w:bCs/>
          <w:color w:val="auto"/>
          <w:highlight w:val="none"/>
        </w:rPr>
      </w:pPr>
      <w:r>
        <w:rPr>
          <w:rFonts w:hint="eastAsia" w:eastAsia="宋体"/>
          <w:b/>
          <w:bCs/>
          <w:color w:val="auto"/>
          <w:highlight w:val="none"/>
        </w:rPr>
        <w:t>市政公用工程总承包</w:t>
      </w:r>
    </w:p>
    <w:p w14:paraId="7B9CDD1A">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□桥梁</w:t>
      </w:r>
      <w:r>
        <w:rPr>
          <w:rFonts w:hint="eastAsia" w:ascii="宋体" w:hAnsi="宋体" w:cs="宋体"/>
          <w:color w:val="auto"/>
          <w:szCs w:val="21"/>
          <w:highlight w:val="none"/>
          <w:lang w:val="en-US" w:eastAsia="zh-CN"/>
        </w:rPr>
        <w:t>工程（长度、单跨</w:t>
      </w:r>
      <w:r>
        <w:rPr>
          <w:rFonts w:ascii="宋体" w:hAnsi="宋体" w:cs="宋体"/>
          <w:color w:val="auto"/>
          <w:szCs w:val="21"/>
          <w:highlight w:val="none"/>
        </w:rPr>
        <w:t>跨度、</w:t>
      </w:r>
      <w:r>
        <w:rPr>
          <w:rFonts w:hint="eastAsia" w:ascii="宋体" w:hAnsi="宋体" w:cs="宋体"/>
          <w:color w:val="auto"/>
          <w:szCs w:val="21"/>
          <w:highlight w:val="none"/>
          <w:lang w:val="en-US" w:eastAsia="zh-CN"/>
        </w:rPr>
        <w:t>单项合同额）</w:t>
      </w:r>
    </w:p>
    <w:p w14:paraId="1E5FE7D6">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□管道</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lang w:eastAsia="zh-CN"/>
        </w:rPr>
        <w:t>（</w:t>
      </w:r>
      <w:r>
        <w:rPr>
          <w:rFonts w:ascii="宋体" w:hAnsi="宋体" w:cs="宋体"/>
          <w:color w:val="auto"/>
          <w:szCs w:val="21"/>
          <w:highlight w:val="none"/>
        </w:rPr>
        <w:t>直径或者压力、</w:t>
      </w:r>
      <w:r>
        <w:rPr>
          <w:rFonts w:hint="eastAsia" w:ascii="宋体" w:hAnsi="宋体" w:cs="宋体"/>
          <w:color w:val="auto"/>
          <w:szCs w:val="21"/>
          <w:highlight w:val="none"/>
          <w:lang w:val="en-US" w:eastAsia="zh-CN"/>
        </w:rPr>
        <w:t>单项合同额）</w:t>
      </w:r>
    </w:p>
    <w:p w14:paraId="45BE13C3">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□供水</w:t>
      </w:r>
      <w:r>
        <w:rPr>
          <w:rFonts w:hint="eastAsia" w:ascii="宋体" w:hAnsi="宋体" w:cs="宋体"/>
          <w:color w:val="auto"/>
          <w:szCs w:val="21"/>
          <w:highlight w:val="none"/>
          <w:lang w:val="en-US" w:eastAsia="zh-CN"/>
        </w:rPr>
        <w:t>工程（供水</w:t>
      </w:r>
      <w:r>
        <w:rPr>
          <w:rFonts w:ascii="宋体" w:hAnsi="宋体" w:cs="宋体"/>
          <w:color w:val="auto"/>
          <w:szCs w:val="21"/>
          <w:highlight w:val="none"/>
        </w:rPr>
        <w:t>能力、</w:t>
      </w:r>
      <w:r>
        <w:rPr>
          <w:rFonts w:hint="eastAsia" w:ascii="宋体" w:hAnsi="宋体" w:cs="宋体"/>
          <w:color w:val="auto"/>
          <w:szCs w:val="21"/>
          <w:highlight w:val="none"/>
          <w:lang w:val="en-US" w:eastAsia="zh-CN"/>
        </w:rPr>
        <w:t>单项合同额）</w:t>
      </w:r>
    </w:p>
    <w:p w14:paraId="56A64395">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供气工程（</w:t>
      </w:r>
      <w:r>
        <w:rPr>
          <w:rFonts w:ascii="宋体" w:hAnsi="宋体" w:cs="宋体"/>
          <w:color w:val="auto"/>
          <w:szCs w:val="21"/>
          <w:highlight w:val="none"/>
        </w:rPr>
        <w:t>供气能力、</w:t>
      </w:r>
      <w:r>
        <w:rPr>
          <w:rFonts w:hint="eastAsia" w:ascii="宋体" w:hAnsi="宋体" w:cs="宋体"/>
          <w:color w:val="auto"/>
          <w:szCs w:val="21"/>
          <w:highlight w:val="none"/>
          <w:lang w:val="en-US" w:eastAsia="zh-CN"/>
        </w:rPr>
        <w:t>单项合同额）</w:t>
      </w:r>
    </w:p>
    <w:p w14:paraId="5405B04E">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供热工程（</w:t>
      </w:r>
      <w:r>
        <w:rPr>
          <w:rFonts w:ascii="宋体" w:hAnsi="宋体" w:cs="宋体"/>
          <w:color w:val="auto"/>
          <w:szCs w:val="21"/>
          <w:highlight w:val="none"/>
        </w:rPr>
        <w:t>供热能力、</w:t>
      </w:r>
      <w:r>
        <w:rPr>
          <w:rFonts w:hint="eastAsia" w:ascii="宋体" w:hAnsi="宋体" w:cs="宋体"/>
          <w:color w:val="auto"/>
          <w:szCs w:val="21"/>
          <w:highlight w:val="none"/>
          <w:lang w:val="en-US" w:eastAsia="zh-CN"/>
        </w:rPr>
        <w:t>单项合同额）</w:t>
      </w:r>
    </w:p>
    <w:p w14:paraId="5870181D">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污水处理工程（</w:t>
      </w:r>
      <w:r>
        <w:rPr>
          <w:rFonts w:ascii="宋体" w:hAnsi="宋体" w:cs="宋体"/>
          <w:color w:val="auto"/>
          <w:szCs w:val="21"/>
          <w:highlight w:val="none"/>
        </w:rPr>
        <w:t>污水处理能力、</w:t>
      </w:r>
      <w:r>
        <w:rPr>
          <w:rFonts w:hint="eastAsia" w:ascii="宋体" w:hAnsi="宋体" w:cs="宋体"/>
          <w:color w:val="auto"/>
          <w:szCs w:val="21"/>
          <w:highlight w:val="none"/>
          <w:lang w:val="en-US" w:eastAsia="zh-CN"/>
        </w:rPr>
        <w:t>单项合同额）</w:t>
      </w:r>
    </w:p>
    <w:p w14:paraId="2DE71F66">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垃圾处理工程（</w:t>
      </w:r>
      <w:r>
        <w:rPr>
          <w:rFonts w:ascii="宋体" w:hAnsi="宋体" w:cs="宋体"/>
          <w:color w:val="auto"/>
          <w:szCs w:val="21"/>
          <w:highlight w:val="none"/>
        </w:rPr>
        <w:t>垃圾处理能力、</w:t>
      </w:r>
      <w:r>
        <w:rPr>
          <w:rFonts w:hint="eastAsia" w:ascii="宋体" w:hAnsi="宋体" w:cs="宋体"/>
          <w:color w:val="auto"/>
          <w:szCs w:val="21"/>
          <w:highlight w:val="none"/>
          <w:lang w:val="en-US" w:eastAsia="zh-CN"/>
        </w:rPr>
        <w:t>单项合同额）</w:t>
      </w:r>
    </w:p>
    <w:p w14:paraId="7AEBEABE">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lang w:val="en-US" w:eastAsia="zh-CN"/>
        </w:rPr>
        <w:t>城市广场工程（</w:t>
      </w:r>
      <w:r>
        <w:rPr>
          <w:rFonts w:hint="eastAsia" w:ascii="宋体" w:hAnsi="宋体" w:cs="宋体"/>
          <w:color w:val="auto"/>
          <w:szCs w:val="21"/>
          <w:highlight w:val="none"/>
        </w:rPr>
        <w:t>城市广场面积、</w:t>
      </w:r>
      <w:r>
        <w:rPr>
          <w:rFonts w:hint="eastAsia" w:ascii="宋体" w:hAnsi="宋体" w:cs="宋体"/>
          <w:color w:val="auto"/>
          <w:szCs w:val="21"/>
          <w:highlight w:val="none"/>
          <w:lang w:val="en-US" w:eastAsia="zh-CN"/>
        </w:rPr>
        <w:t>单项合同额）</w:t>
      </w:r>
    </w:p>
    <w:p w14:paraId="0698A42A">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地面停车场</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硬质铺装面积、</w:t>
      </w:r>
      <w:r>
        <w:rPr>
          <w:rFonts w:hint="eastAsia" w:ascii="宋体" w:hAnsi="宋体" w:cs="宋体"/>
          <w:color w:val="auto"/>
          <w:szCs w:val="21"/>
          <w:highlight w:val="none"/>
          <w:lang w:val="en-US" w:eastAsia="zh-CN"/>
        </w:rPr>
        <w:t>单项合同额）</w:t>
      </w:r>
    </w:p>
    <w:p w14:paraId="585C2781">
      <w:pPr>
        <w:spacing w:line="360" w:lineRule="auto"/>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隧道工程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5DFF7AA7">
      <w:pPr>
        <w:spacing w:line="360" w:lineRule="auto"/>
        <w:ind w:firstLine="420"/>
        <w:rPr>
          <w:rFonts w:hint="eastAsia" w:ascii="宋体" w:hAnsi="宋体" w:cs="宋体"/>
          <w:color w:val="auto"/>
          <w:szCs w:val="21"/>
          <w:highlight w:val="none"/>
          <w:lang w:val="en-US" w:eastAsia="zh-CN"/>
        </w:rPr>
      </w:pPr>
      <w:r>
        <w:rPr>
          <w:rFonts w:ascii="宋体" w:hAnsi="宋体" w:cs="宋体"/>
          <w:color w:val="auto"/>
          <w:szCs w:val="21"/>
          <w:highlight w:val="none"/>
        </w:rPr>
        <w:t>□</w:t>
      </w:r>
      <w:r>
        <w:rPr>
          <w:rFonts w:hint="eastAsia" w:ascii="宋体" w:hAnsi="宋体" w:cs="宋体"/>
          <w:color w:val="auto"/>
          <w:szCs w:val="21"/>
          <w:highlight w:val="none"/>
        </w:rPr>
        <w:t>地下交通工程</w:t>
      </w:r>
      <w:r>
        <w:rPr>
          <w:rFonts w:hint="eastAsia" w:ascii="宋体" w:hAnsi="宋体" w:cs="宋体"/>
          <w:color w:val="auto"/>
          <w:szCs w:val="21"/>
          <w:highlight w:val="none"/>
          <w:lang w:eastAsia="zh-CN"/>
        </w:rPr>
        <w:t>（</w:t>
      </w:r>
      <w:r>
        <w:rPr>
          <w:rFonts w:hint="eastAsia" w:ascii="宋体" w:hAnsi="宋体" w:cs="宋体"/>
          <w:color w:val="auto"/>
          <w:szCs w:val="21"/>
          <w:highlight w:val="none"/>
        </w:rPr>
        <w:t>断面面积、</w:t>
      </w:r>
      <w:r>
        <w:rPr>
          <w:rFonts w:hint="eastAsia" w:ascii="宋体" w:hAnsi="宋体" w:cs="宋体"/>
          <w:color w:val="auto"/>
          <w:szCs w:val="21"/>
          <w:highlight w:val="none"/>
          <w:lang w:val="en-US" w:eastAsia="zh-CN"/>
        </w:rPr>
        <w:t>单项合同额）</w:t>
      </w:r>
    </w:p>
    <w:p w14:paraId="6006D6C7">
      <w:pPr>
        <w:spacing w:line="360" w:lineRule="auto"/>
        <w:ind w:firstLine="420"/>
        <w:rPr>
          <w:rFonts w:hint="eastAsia" w:ascii="宋体" w:hAnsi="宋体" w:cs="宋体"/>
          <w:color w:val="auto"/>
          <w:szCs w:val="21"/>
          <w:highlight w:val="none"/>
          <w:lang w:eastAsia="zh-CN"/>
        </w:rPr>
      </w:pPr>
      <w:r>
        <w:rPr>
          <w:rFonts w:ascii="宋体" w:hAnsi="宋体" w:cs="宋体"/>
          <w:color w:val="auto"/>
          <w:szCs w:val="21"/>
          <w:highlight w:val="none"/>
        </w:rPr>
        <w:t>□</w:t>
      </w:r>
      <w:r>
        <w:rPr>
          <w:rFonts w:hint="eastAsia" w:ascii="宋体" w:hAnsi="宋体" w:cs="宋体"/>
          <w:color w:val="auto"/>
          <w:szCs w:val="21"/>
          <w:highlight w:val="none"/>
        </w:rPr>
        <w:t>市政综合工程</w:t>
      </w:r>
      <w:r>
        <w:rPr>
          <w:rFonts w:hint="eastAsia" w:ascii="宋体" w:hAnsi="宋体" w:cs="宋体"/>
          <w:color w:val="auto"/>
          <w:szCs w:val="21"/>
          <w:highlight w:val="none"/>
          <w:lang w:eastAsia="zh-CN"/>
        </w:rPr>
        <w:t>（</w:t>
      </w:r>
      <w:r>
        <w:rPr>
          <w:rFonts w:ascii="宋体" w:hAnsi="宋体" w:cs="宋体"/>
          <w:color w:val="auto"/>
          <w:szCs w:val="21"/>
          <w:highlight w:val="none"/>
        </w:rPr>
        <w:t>单项合同额</w:t>
      </w:r>
      <w:r>
        <w:rPr>
          <w:rFonts w:hint="eastAsia" w:ascii="宋体" w:hAnsi="宋体" w:cs="宋体"/>
          <w:color w:val="auto"/>
          <w:szCs w:val="21"/>
          <w:highlight w:val="none"/>
          <w:lang w:eastAsia="zh-CN"/>
        </w:rPr>
        <w:t>）</w:t>
      </w:r>
    </w:p>
    <w:p w14:paraId="27D17019">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地基基础工程</w:t>
      </w:r>
    </w:p>
    <w:p w14:paraId="355A028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p>
    <w:p w14:paraId="58547FCF">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2414C32F">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p>
    <w:p w14:paraId="6901E326">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66C1E725">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16629470">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66D57C37">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392728F7">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1BEA7644">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5C764F80">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680281FA">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61A2D78D">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3DBA959F">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58F415EC">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6715AC6C">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6E7698C0">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76734522">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55D49B2B">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532A4878">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35CD0791">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3F586912">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p>
    <w:p w14:paraId="446361E3">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660E62CE">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p>
    <w:p w14:paraId="4E6E5F7D">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4E4C0105">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2EC6C116">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503824DF">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581E06E2">
      <w:pPr>
        <w:spacing w:line="360" w:lineRule="auto"/>
        <w:ind w:firstLine="562"/>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1E780AE1">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ascii="宋体" w:hAnsi="宋体" w:cs="宋体"/>
          <w:color w:val="auto"/>
          <w:szCs w:val="21"/>
          <w:highlight w:val="none"/>
        </w:rPr>
        <w:t>）。</w:t>
      </w:r>
    </w:p>
    <w:p w14:paraId="5634DF47">
      <w:pPr>
        <w:spacing w:line="360" w:lineRule="auto"/>
        <w:ind w:firstLine="562"/>
        <w:rPr>
          <w:rFonts w:hint="eastAsia" w:ascii="宋体" w:hAnsi="宋体" w:cs="宋体"/>
          <w:color w:val="auto"/>
          <w:szCs w:val="21"/>
          <w:highlight w:val="none"/>
        </w:rPr>
      </w:pPr>
      <w:r>
        <w:rPr>
          <w:rFonts w:ascii="宋体" w:hAnsi="宋体" w:cs="宋体"/>
          <w:b/>
          <w:bCs/>
          <w:color w:val="auto"/>
          <w:szCs w:val="21"/>
          <w:highlight w:val="none"/>
        </w:rPr>
        <w:t>隧道工程</w:t>
      </w:r>
    </w:p>
    <w:p w14:paraId="1A49CDD4">
      <w:pPr>
        <w:spacing w:line="360" w:lineRule="auto"/>
        <w:ind w:firstLine="56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（断面面积、单洞长度</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hint="eastAsia" w:ascii="宋体" w:hAnsi="宋体" w:cs="宋体"/>
          <w:color w:val="auto"/>
          <w:szCs w:val="21"/>
          <w:highlight w:val="none"/>
        </w:rPr>
        <w:t>）。</w:t>
      </w:r>
    </w:p>
    <w:p w14:paraId="0A7CC74B">
      <w:pPr>
        <w:spacing w:line="360" w:lineRule="auto"/>
        <w:ind w:firstLine="562"/>
        <w:rPr>
          <w:rFonts w:hint="eastAsia" w:ascii="宋体" w:hAnsi="宋体" w:cs="宋体"/>
          <w:b/>
          <w:bCs/>
          <w:color w:val="auto"/>
          <w:szCs w:val="21"/>
          <w:highlight w:val="none"/>
        </w:rPr>
      </w:pPr>
      <w:r>
        <w:rPr>
          <w:rFonts w:hint="eastAsia" w:ascii="宋体" w:hAnsi="宋体" w:cs="宋体"/>
          <w:b/>
          <w:bCs/>
          <w:color w:val="auto"/>
          <w:szCs w:val="21"/>
          <w:highlight w:val="none"/>
        </w:rPr>
        <w:t>路面工程（适用于市政公用工程中单独招标的路面工程）</w:t>
      </w:r>
    </w:p>
    <w:p w14:paraId="353C2550">
      <w:pPr>
        <w:snapToGrid w:val="0"/>
        <w:spacing w:line="360" w:lineRule="auto"/>
        <w:ind w:firstLine="56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hint="eastAsia"/>
          <w:color w:val="auto"/>
          <w:highlight w:val="none"/>
        </w:rPr>
        <w:t>）</w:t>
      </w:r>
    </w:p>
    <w:p w14:paraId="4D22EA61">
      <w:pPr>
        <w:snapToGrid w:val="0"/>
        <w:spacing w:line="360" w:lineRule="auto"/>
        <w:ind w:firstLine="562"/>
        <w:rPr>
          <w:rFonts w:hint="eastAsia" w:ascii="宋体" w:hAnsi="宋体" w:cs="宋体"/>
          <w:b/>
          <w:bCs/>
          <w:color w:val="auto"/>
          <w:szCs w:val="21"/>
          <w:highlight w:val="none"/>
        </w:rPr>
      </w:pPr>
      <w:r>
        <w:rPr>
          <w:rFonts w:hint="eastAsia" w:ascii="宋体" w:hAnsi="宋体" w:cs="宋体"/>
          <w:b/>
          <w:bCs/>
          <w:color w:val="auto"/>
          <w:szCs w:val="21"/>
          <w:highlight w:val="none"/>
        </w:rPr>
        <w:t>交通工程（适用于市政公用工程中单独招标的交通工程）</w:t>
      </w:r>
    </w:p>
    <w:p w14:paraId="0168C48F">
      <w:pPr>
        <w:snapToGrid w:val="0"/>
        <w:spacing w:line="360" w:lineRule="auto"/>
        <w:ind w:firstLine="560"/>
        <w:rPr>
          <w:color w:val="auto"/>
          <w:highlight w:val="none"/>
        </w:rPr>
      </w:pPr>
      <w:r>
        <w:rPr>
          <w:rFonts w:hint="eastAsia"/>
          <w:color w:val="auto"/>
          <w:highlight w:val="none"/>
        </w:rPr>
        <w:t>□安全设施工程</w:t>
      </w:r>
    </w:p>
    <w:p w14:paraId="7899FD7F">
      <w:pPr>
        <w:snapToGrid w:val="0"/>
        <w:spacing w:line="360" w:lineRule="auto"/>
        <w:ind w:firstLine="56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hint="eastAsia"/>
          <w:color w:val="auto"/>
          <w:highlight w:val="none"/>
        </w:rPr>
        <w:t>）</w:t>
      </w:r>
    </w:p>
    <w:p w14:paraId="162001B7">
      <w:pPr>
        <w:snapToGrid w:val="0"/>
        <w:spacing w:line="360" w:lineRule="auto"/>
        <w:ind w:firstLine="560"/>
        <w:rPr>
          <w:color w:val="auto"/>
          <w:highlight w:val="none"/>
        </w:rPr>
      </w:pPr>
      <w:r>
        <w:rPr>
          <w:rFonts w:hint="eastAsia"/>
          <w:color w:val="auto"/>
          <w:highlight w:val="none"/>
        </w:rPr>
        <w:t>□机电工程</w:t>
      </w:r>
    </w:p>
    <w:p w14:paraId="156A4094">
      <w:pPr>
        <w:snapToGrid w:val="0"/>
        <w:spacing w:line="360" w:lineRule="auto"/>
        <w:ind w:firstLine="560"/>
        <w:rPr>
          <w:color w:val="auto"/>
          <w:highlight w:val="none"/>
        </w:rPr>
      </w:pPr>
      <w:r>
        <w:rPr>
          <w:color w:val="auto"/>
          <w:highlight w:val="none"/>
          <w:u w:val="single"/>
        </w:rPr>
        <w:t xml:space="preserve">     </w:t>
      </w:r>
      <w:r>
        <w:rPr>
          <w:rFonts w:hint="eastAsia"/>
          <w:color w:val="auto"/>
          <w:highlight w:val="none"/>
        </w:rPr>
        <w:t>（道路等级</w:t>
      </w:r>
      <w:r>
        <w:rPr>
          <w:rFonts w:hint="eastAsia" w:ascii="宋体" w:hAnsi="宋体" w:cs="宋体"/>
          <w:color w:val="auto"/>
          <w:szCs w:val="21"/>
          <w:highlight w:val="none"/>
          <w:lang w:eastAsia="zh-CN"/>
        </w:rPr>
        <w:t>、</w:t>
      </w:r>
      <w:r>
        <w:rPr>
          <w:rFonts w:hint="eastAsia" w:eastAsia="宋体"/>
          <w:b/>
          <w:bCs/>
          <w:color w:val="auto"/>
          <w:highlight w:val="none"/>
          <w:lang w:val="en-US" w:eastAsia="zh-CN"/>
        </w:rPr>
        <w:t>单项合同额</w:t>
      </w:r>
      <w:r>
        <w:rPr>
          <w:rFonts w:hint="eastAsia"/>
          <w:color w:val="auto"/>
          <w:highlight w:val="none"/>
        </w:rPr>
        <w:t>）</w:t>
      </w:r>
    </w:p>
    <w:p w14:paraId="5FD9310A">
      <w:pPr>
        <w:snapToGrid w:val="0"/>
        <w:spacing w:line="360" w:lineRule="auto"/>
        <w:ind w:firstLine="562"/>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503310F4">
      <w:pPr>
        <w:snapToGrid w:val="0"/>
        <w:spacing w:line="360" w:lineRule="auto"/>
        <w:ind w:firstLine="56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2E7182DC">
      <w:pPr>
        <w:snapToGrid w:val="0"/>
        <w:spacing w:line="360" w:lineRule="auto"/>
        <w:ind w:firstLine="562"/>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5F61D643">
      <w:pPr>
        <w:snapToGrid w:val="0"/>
        <w:spacing w:line="360" w:lineRule="auto"/>
        <w:ind w:firstLine="56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05D74B3D">
      <w:pPr>
        <w:spacing w:line="360" w:lineRule="auto"/>
        <w:ind w:left="199" w:leftChars="95" w:firstLine="560"/>
        <w:rPr>
          <w:color w:val="auto"/>
          <w:highlight w:val="none"/>
        </w:rPr>
      </w:pPr>
    </w:p>
    <w:p w14:paraId="732EEAAE">
      <w:pPr>
        <w:spacing w:line="360" w:lineRule="auto"/>
        <w:ind w:firstLine="420" w:firstLineChars="200"/>
        <w:rPr>
          <w:color w:val="auto"/>
          <w:highlight w:val="none"/>
        </w:rPr>
      </w:pPr>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申请人可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（具体数量）个标段</w:t>
      </w:r>
      <w:r>
        <w:rPr>
          <w:rFonts w:hint="eastAsia"/>
          <w:color w:val="auto"/>
          <w:highlight w:val="none"/>
        </w:rPr>
        <w:t>提出资格预审申请</w:t>
      </w:r>
      <w:r>
        <w:rPr>
          <w:color w:val="auto"/>
          <w:highlight w:val="none"/>
        </w:rPr>
        <w:t>，但最多允许中标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13C25C80">
      <w:pPr>
        <w:spacing w:line="360" w:lineRule="auto"/>
        <w:ind w:firstLine="420" w:firstLineChars="2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14:paraId="31A76DAE">
      <w:pPr>
        <w:keepNext/>
        <w:keepLines/>
        <w:spacing w:line="360" w:lineRule="auto"/>
        <w:ind w:firstLine="643"/>
        <w:outlineLvl w:val="1"/>
        <w:rPr>
          <w:rFonts w:eastAsia="黑体"/>
          <w:color w:val="auto"/>
          <w:sz w:val="30"/>
          <w:szCs w:val="32"/>
          <w:highlight w:val="none"/>
        </w:rPr>
      </w:pPr>
      <w:bookmarkStart w:id="19" w:name="_Toc885"/>
      <w:bookmarkStart w:id="20" w:name="_Toc193802637"/>
      <w:r>
        <w:rPr>
          <w:rFonts w:hint="eastAsia" w:eastAsia="黑体"/>
          <w:b/>
          <w:bCs/>
          <w:color w:val="auto"/>
          <w:sz w:val="32"/>
          <w:szCs w:val="32"/>
          <w:highlight w:val="none"/>
        </w:rPr>
        <w:t>5.资格预审方法</w:t>
      </w:r>
      <w:bookmarkEnd w:id="19"/>
      <w:bookmarkEnd w:id="20"/>
      <w:r>
        <w:rPr>
          <w:rFonts w:hint="eastAsia" w:eastAsia="黑体"/>
          <w:b/>
          <w:bCs/>
          <w:color w:val="auto"/>
          <w:sz w:val="32"/>
          <w:szCs w:val="32"/>
          <w:highlight w:val="none"/>
        </w:rPr>
        <w:t xml:space="preserve"> </w:t>
      </w:r>
      <w:r>
        <w:rPr>
          <w:rFonts w:hint="eastAsia" w:eastAsia="黑体"/>
          <w:color w:val="auto"/>
          <w:sz w:val="30"/>
          <w:szCs w:val="32"/>
          <w:highlight w:val="none"/>
        </w:rPr>
        <w:t xml:space="preserve">   </w:t>
      </w:r>
    </w:p>
    <w:p w14:paraId="27D0253F">
      <w:pPr>
        <w:snapToGrid w:val="0"/>
        <w:spacing w:line="360" w:lineRule="auto"/>
        <w:ind w:firstLine="420" w:firstLineChars="200"/>
        <w:rPr>
          <w:color w:val="auto"/>
          <w:highlight w:val="none"/>
        </w:rPr>
      </w:pPr>
      <w:r>
        <w:rPr>
          <w:rFonts w:hint="eastAsia"/>
          <w:color w:val="auto"/>
          <w:highlight w:val="none"/>
        </w:rPr>
        <w:t>按下述第</w:t>
      </w:r>
      <w:r>
        <w:rPr>
          <w:color w:val="auto"/>
          <w:highlight w:val="none"/>
          <w:u w:val="single"/>
        </w:rPr>
        <w:t xml:space="preserve">    </w:t>
      </w:r>
      <w:r>
        <w:rPr>
          <w:rFonts w:hint="eastAsia"/>
          <w:color w:val="auto"/>
          <w:highlight w:val="none"/>
        </w:rPr>
        <w:t>种资格审查方法确定通过资格预审的申请人：</w:t>
      </w:r>
    </w:p>
    <w:p w14:paraId="09482DFE">
      <w:pPr>
        <w:snapToGrid w:val="0"/>
        <w:spacing w:line="360" w:lineRule="auto"/>
        <w:ind w:firstLine="420" w:firstLineChars="200"/>
        <w:rPr>
          <w:rFonts w:hint="eastAsia" w:ascii="宋体" w:hAnsi="宋体" w:cs="仿宋_GB2312"/>
          <w:color w:val="auto"/>
          <w:szCs w:val="21"/>
          <w:highlight w:val="none"/>
        </w:rPr>
      </w:pPr>
      <w:r>
        <w:rPr>
          <w:rFonts w:hint="eastAsia"/>
          <w:color w:val="auto"/>
          <w:highlight w:val="none"/>
        </w:rPr>
        <w:t>（1）合格制，即</w:t>
      </w:r>
      <w:r>
        <w:rPr>
          <w:rFonts w:hint="eastAsia" w:ascii="宋体" w:hAnsi="宋体" w:cs="仿宋_GB2312"/>
          <w:color w:val="auto"/>
          <w:szCs w:val="21"/>
          <w:highlight w:val="none"/>
        </w:rPr>
        <w:t>通过初步审查和详细审查的合格申请人均通过资格预审。</w:t>
      </w:r>
    </w:p>
    <w:p w14:paraId="6A77C341">
      <w:pPr>
        <w:spacing w:line="360" w:lineRule="auto"/>
        <w:ind w:firstLine="420" w:firstLineChars="200"/>
        <w:rPr>
          <w:color w:val="auto"/>
          <w:highlight w:val="none"/>
        </w:rPr>
      </w:pPr>
      <w:r>
        <w:rPr>
          <w:rFonts w:hint="eastAsia" w:ascii="宋体" w:hAnsi="宋体" w:cs="仿宋_GB2312"/>
          <w:color w:val="auto"/>
          <w:szCs w:val="21"/>
          <w:highlight w:val="none"/>
        </w:rPr>
        <w:t>（2）有限数量制，如通过初步审查和详细审查的合格申请人不足30个（含本数）的，均通过资格预审，如通过初步审查和详细审查的合格申请人超过30个的，对合格申请人的资格预审申请文件进行量化打分，按得分由高到低的顺序确定</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个（招标人填写的个数不得低于30个）申请人通过资格预审。得分相同无法确定前</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个（</w:t>
      </w:r>
      <w:r>
        <w:rPr>
          <w:rFonts w:hint="eastAsia" w:ascii="宋体" w:hAnsi="宋体" w:cs="仿宋_GB2312"/>
          <w:color w:val="auto"/>
          <w:szCs w:val="21"/>
          <w:highlight w:val="none"/>
          <w:lang w:val="en-US" w:eastAsia="zh-CN"/>
        </w:rPr>
        <w:t>同上</w:t>
      </w:r>
      <w:r>
        <w:rPr>
          <w:rFonts w:hint="eastAsia" w:ascii="宋体" w:hAnsi="宋体" w:cs="仿宋_GB2312"/>
          <w:color w:val="auto"/>
          <w:szCs w:val="21"/>
          <w:highlight w:val="none"/>
        </w:rPr>
        <w:t>）申请人时，其末位申请人得分相同的均通过资格预审。</w:t>
      </w:r>
    </w:p>
    <w:p w14:paraId="0D262AAD">
      <w:pPr>
        <w:pStyle w:val="3"/>
        <w:ind w:firstLine="643"/>
        <w:rPr>
          <w:rFonts w:ascii="Times New Roman" w:hAnsi="Times New Roman" w:eastAsia="黑体"/>
          <w:color w:val="auto"/>
          <w:sz w:val="32"/>
          <w:highlight w:val="none"/>
        </w:rPr>
      </w:pPr>
      <w:bookmarkStart w:id="21" w:name="_Toc14515"/>
      <w:bookmarkStart w:id="22" w:name="_Toc193802638"/>
      <w:r>
        <w:rPr>
          <w:rFonts w:hint="eastAsia" w:ascii="Times New Roman" w:hAnsi="Times New Roman" w:eastAsia="黑体"/>
          <w:color w:val="auto"/>
          <w:sz w:val="32"/>
          <w:highlight w:val="none"/>
        </w:rPr>
        <w:t>6.资格预审文件的获取</w:t>
      </w:r>
      <w:bookmarkEnd w:id="21"/>
      <w:bookmarkEnd w:id="22"/>
    </w:p>
    <w:p w14:paraId="62DDC9AA">
      <w:pPr>
        <w:spacing w:line="360" w:lineRule="auto"/>
        <w:ind w:firstLine="420" w:firstLineChars="200"/>
        <w:rPr>
          <w:color w:val="auto"/>
          <w:highlight w:val="none"/>
        </w:rPr>
      </w:pPr>
      <w:r>
        <w:rPr>
          <w:rFonts w:hint="eastAsia"/>
          <w:color w:val="auto"/>
          <w:highlight w:val="none"/>
        </w:rPr>
        <w:t>6</w:t>
      </w:r>
      <w:r>
        <w:rPr>
          <w:color w:val="auto"/>
          <w:highlight w:val="none"/>
        </w:rPr>
        <w:t>.1 请</w:t>
      </w:r>
      <w:r>
        <w:rPr>
          <w:rFonts w:hint="eastAsia"/>
          <w:color w:val="auto"/>
          <w:highlight w:val="none"/>
        </w:rPr>
        <w:t>申请人</w:t>
      </w:r>
      <w:r>
        <w:rPr>
          <w:color w:val="auto"/>
          <w:highlight w:val="none"/>
        </w:rPr>
        <w:t>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highlight w:val="none"/>
        </w:rPr>
        <w:t>在</w:t>
      </w:r>
      <w:r>
        <w:rPr>
          <w:color w:val="auto"/>
          <w:highlight w:val="none"/>
          <w:u w:val="single"/>
        </w:rPr>
        <w:t xml:space="preserve">  </w:t>
      </w:r>
      <w:r>
        <w:rPr>
          <w:rFonts w:hint="eastAsia"/>
          <w:color w:val="auto"/>
          <w:highlight w:val="none"/>
          <w:u w:val="single"/>
        </w:rPr>
        <w:t xml:space="preserve">  </w:t>
      </w:r>
      <w:r>
        <w:rPr>
          <w:rFonts w:hint="eastAsia"/>
          <w:i/>
          <w:iCs/>
          <w:color w:val="auto"/>
          <w:highlight w:val="none"/>
          <w:u w:val="single"/>
        </w:rPr>
        <w:t>电子招标投标交易</w:t>
      </w:r>
      <w:r>
        <w:rPr>
          <w:i/>
          <w:iCs/>
          <w:color w:val="auto"/>
          <w:highlight w:val="none"/>
          <w:u w:val="single"/>
        </w:rPr>
        <w:t>平台</w:t>
      </w:r>
      <w:r>
        <w:rPr>
          <w:rFonts w:hint="eastAsia"/>
          <w:i/>
          <w:iCs/>
          <w:color w:val="auto"/>
          <w:highlight w:val="none"/>
          <w:u w:val="single"/>
        </w:rPr>
        <w:t>名称</w:t>
      </w:r>
      <w:r>
        <w:rPr>
          <w:rFonts w:hint="eastAsia"/>
          <w:color w:val="auto"/>
          <w:highlight w:val="none"/>
          <w:u w:val="single"/>
        </w:rPr>
        <w:t xml:space="preserve">  </w:t>
      </w:r>
      <w:r>
        <w:rPr>
          <w:color w:val="auto"/>
          <w:highlight w:val="none"/>
        </w:rPr>
        <w:t>下载</w:t>
      </w:r>
      <w:r>
        <w:rPr>
          <w:rFonts w:hint="eastAsia"/>
          <w:color w:val="auto"/>
          <w:highlight w:val="none"/>
        </w:rPr>
        <w:t>数据电文形式的资格预审</w:t>
      </w:r>
      <w:r>
        <w:rPr>
          <w:color w:val="auto"/>
          <w:highlight w:val="none"/>
        </w:rPr>
        <w:t>文件。</w:t>
      </w:r>
    </w:p>
    <w:p w14:paraId="271505EF">
      <w:pPr>
        <w:spacing w:line="360" w:lineRule="auto"/>
        <w:ind w:firstLine="420" w:firstLineChars="200"/>
        <w:rPr>
          <w:color w:val="auto"/>
          <w:highlight w:val="none"/>
        </w:rPr>
      </w:pPr>
      <w:r>
        <w:rPr>
          <w:color w:val="auto"/>
          <w:highlight w:val="none"/>
        </w:rPr>
        <w:t>6.2</w:t>
      </w:r>
      <w:r>
        <w:rPr>
          <w:rFonts w:hint="eastAsia"/>
          <w:color w:val="auto"/>
          <w:highlight w:val="none"/>
        </w:rPr>
        <w:t xml:space="preserve"> 申请人要求澄清资格预审文件的截止时间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w:t>
      </w:r>
    </w:p>
    <w:p w14:paraId="2DC41748">
      <w:pPr>
        <w:pStyle w:val="3"/>
        <w:ind w:firstLine="643"/>
        <w:rPr>
          <w:rFonts w:ascii="Times New Roman" w:hAnsi="Times New Roman" w:eastAsia="黑体"/>
          <w:color w:val="auto"/>
          <w:sz w:val="32"/>
          <w:highlight w:val="none"/>
        </w:rPr>
      </w:pPr>
      <w:bookmarkStart w:id="23" w:name="_Toc193802639"/>
      <w:bookmarkStart w:id="24" w:name="_Toc30187"/>
      <w:r>
        <w:rPr>
          <w:rFonts w:hint="eastAsia" w:ascii="Times New Roman" w:hAnsi="Times New Roman" w:eastAsia="黑体"/>
          <w:color w:val="auto"/>
          <w:sz w:val="32"/>
          <w:highlight w:val="none"/>
        </w:rPr>
        <w:t>7.资格预审申请文件的递交</w:t>
      </w:r>
      <w:bookmarkEnd w:id="23"/>
      <w:bookmarkEnd w:id="24"/>
    </w:p>
    <w:p w14:paraId="1B572EB4">
      <w:pPr>
        <w:spacing w:line="360" w:lineRule="auto"/>
        <w:ind w:firstLine="420" w:firstLineChars="200"/>
        <w:rPr>
          <w:color w:val="auto"/>
          <w:highlight w:val="none"/>
        </w:rPr>
      </w:pPr>
      <w:r>
        <w:rPr>
          <w:rFonts w:hint="eastAsia"/>
          <w:color w:val="auto"/>
          <w:highlight w:val="none"/>
        </w:rPr>
        <w:t>7</w:t>
      </w:r>
      <w:r>
        <w:rPr>
          <w:color w:val="auto"/>
          <w:highlight w:val="none"/>
        </w:rPr>
        <w:t xml:space="preserve">.1 </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w:t>
      </w:r>
      <w:r>
        <w:rPr>
          <w:rFonts w:hint="eastAsia"/>
          <w:i/>
          <w:iCs/>
          <w:color w:val="auto"/>
          <w:highlight w:val="none"/>
          <w:u w:val="single"/>
        </w:rPr>
        <w:t xml:space="preserve"> 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u w:val="single"/>
        </w:rPr>
        <w:t>（电子招标投标交易平台名称）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14:paraId="37F501D7">
      <w:pPr>
        <w:spacing w:line="360" w:lineRule="auto"/>
        <w:ind w:firstLine="420" w:firstLineChars="200"/>
        <w:rPr>
          <w:color w:val="auto"/>
          <w:highlight w:val="none"/>
        </w:rPr>
      </w:pPr>
      <w:r>
        <w:rPr>
          <w:rFonts w:hint="eastAsia"/>
          <w:color w:val="auto"/>
          <w:highlight w:val="none"/>
        </w:rPr>
        <w:t xml:space="preserve">7.2 </w:t>
      </w: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rFonts w:hint="eastAsia"/>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w:t>
      </w:r>
      <w:r>
        <w:rPr>
          <w:rFonts w:hint="eastAsia"/>
          <w:color w:val="auto"/>
          <w:highlight w:val="none"/>
        </w:rPr>
        <w:t xml:space="preserve"> </w:t>
      </w:r>
    </w:p>
    <w:p w14:paraId="02FB4380">
      <w:pPr>
        <w:pStyle w:val="3"/>
        <w:spacing w:before="0" w:after="0" w:line="360" w:lineRule="auto"/>
        <w:ind w:firstLine="643" w:firstLineChars="200"/>
        <w:rPr>
          <w:rFonts w:ascii="Times New Roman" w:hAnsi="Times New Roman" w:eastAsia="黑体"/>
          <w:color w:val="auto"/>
          <w:highlight w:val="none"/>
        </w:rPr>
      </w:pPr>
      <w:bookmarkStart w:id="25" w:name="_Toc10463"/>
      <w:bookmarkStart w:id="26" w:name="_Toc193802640"/>
      <w:r>
        <w:rPr>
          <w:rFonts w:hint="eastAsia" w:ascii="Times New Roman" w:hAnsi="Times New Roman" w:eastAsia="黑体"/>
          <w:color w:val="auto"/>
          <w:sz w:val="32"/>
          <w:highlight w:val="none"/>
        </w:rPr>
        <w:t>8.评标办法</w:t>
      </w:r>
      <w:bookmarkEnd w:id="25"/>
      <w:bookmarkEnd w:id="26"/>
      <w:r>
        <w:rPr>
          <w:rFonts w:hint="eastAsia" w:ascii="Times New Roman" w:hAnsi="Times New Roman" w:eastAsia="黑体"/>
          <w:color w:val="auto"/>
          <w:sz w:val="32"/>
          <w:highlight w:val="none"/>
        </w:rPr>
        <w:t>及确定中标人方式</w:t>
      </w:r>
    </w:p>
    <w:p w14:paraId="206B60BE">
      <w:pPr>
        <w:snapToGrid w:val="0"/>
        <w:spacing w:line="360" w:lineRule="auto"/>
        <w:ind w:firstLine="420" w:firstLineChars="200"/>
        <w:rPr>
          <w:color w:val="auto"/>
          <w:highlight w:val="none"/>
        </w:rPr>
      </w:pPr>
      <w:r>
        <w:rPr>
          <w:rFonts w:hint="eastAsia"/>
          <w:color w:val="auto"/>
          <w:highlight w:val="none"/>
          <w:lang w:val="en-US" w:eastAsia="zh-CN"/>
        </w:rPr>
        <w:t xml:space="preserve">8.1 </w:t>
      </w: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6BCBFAE5">
      <w:pPr>
        <w:snapToGrid w:val="0"/>
        <w:spacing w:after="0" w:line="360" w:lineRule="auto"/>
        <w:ind w:firstLine="315" w:firstLineChars="150"/>
        <w:rPr>
          <w:color w:val="auto"/>
          <w:highlight w:val="none"/>
        </w:rPr>
      </w:pPr>
      <w:r>
        <w:rPr>
          <w:rFonts w:hint="eastAsia"/>
          <w:color w:val="auto"/>
          <w:highlight w:val="none"/>
          <w:lang w:val="en-US" w:eastAsia="zh-CN"/>
        </w:rPr>
        <w:t xml:space="preserve"> </w:t>
      </w:r>
      <w:r>
        <w:rPr>
          <w:rFonts w:hint="eastAsia"/>
          <w:color w:val="auto"/>
          <w:highlight w:val="none"/>
        </w:rPr>
        <w:t>8.2确定中标人方式</w:t>
      </w:r>
    </w:p>
    <w:p w14:paraId="538A88EA">
      <w:pPr>
        <w:snapToGrid w:val="0"/>
        <w:spacing w:after="0" w:line="360" w:lineRule="auto"/>
        <w:ind w:firstLine="315" w:firstLineChars="150"/>
        <w:rPr>
          <w:color w:val="auto"/>
          <w:highlight w:val="none"/>
        </w:rPr>
      </w:pPr>
      <w:r>
        <w:rPr>
          <w:color w:val="auto"/>
          <w:szCs w:val="21"/>
          <w:highlight w:val="none"/>
        </w:rPr>
        <w:sym w:font="Wingdings 2" w:char="00A3"/>
      </w:r>
      <w:r>
        <w:rPr>
          <w:rFonts w:hint="eastAsia"/>
          <w:color w:val="auto"/>
          <w:szCs w:val="21"/>
          <w:highlight w:val="none"/>
        </w:rPr>
        <w:t>排序法；</w:t>
      </w:r>
      <w:r>
        <w:rPr>
          <w:color w:val="auto"/>
          <w:szCs w:val="21"/>
          <w:highlight w:val="none"/>
        </w:rPr>
        <w:sym w:font="Wingdings 2" w:char="00A3"/>
      </w:r>
      <w:r>
        <w:rPr>
          <w:rFonts w:hint="eastAsia"/>
          <w:color w:val="auto"/>
          <w:szCs w:val="21"/>
          <w:highlight w:val="none"/>
        </w:rPr>
        <w:t>评定分离法</w:t>
      </w:r>
    </w:p>
    <w:p w14:paraId="2E58CAF4">
      <w:pPr>
        <w:pStyle w:val="3"/>
        <w:ind w:firstLine="643"/>
        <w:rPr>
          <w:rFonts w:ascii="Times New Roman" w:hAnsi="Times New Roman" w:eastAsia="黑体"/>
          <w:color w:val="auto"/>
          <w:sz w:val="32"/>
          <w:highlight w:val="none"/>
        </w:rPr>
      </w:pPr>
      <w:bookmarkStart w:id="27" w:name="_Toc3041"/>
      <w:bookmarkStart w:id="28" w:name="_Toc193802641"/>
      <w:r>
        <w:rPr>
          <w:rFonts w:hint="eastAsia" w:ascii="Times New Roman" w:hAnsi="Times New Roman" w:eastAsia="黑体"/>
          <w:color w:val="auto"/>
          <w:sz w:val="32"/>
          <w:highlight w:val="none"/>
        </w:rPr>
        <w:t>9.发布公告的媒介</w:t>
      </w:r>
      <w:bookmarkEnd w:id="27"/>
      <w:bookmarkEnd w:id="28"/>
    </w:p>
    <w:p w14:paraId="3E5022DB">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158312D1">
      <w:pPr>
        <w:pStyle w:val="3"/>
        <w:ind w:firstLine="643"/>
        <w:rPr>
          <w:rFonts w:ascii="Times New Roman" w:hAnsi="Times New Roman" w:eastAsia="黑体"/>
          <w:color w:val="auto"/>
          <w:sz w:val="32"/>
          <w:highlight w:val="none"/>
        </w:rPr>
      </w:pPr>
      <w:bookmarkStart w:id="29" w:name="_Toc193802642"/>
      <w:bookmarkStart w:id="30" w:name="_Toc31790"/>
      <w:r>
        <w:rPr>
          <w:rFonts w:hint="eastAsia" w:ascii="Times New Roman" w:hAnsi="Times New Roman" w:eastAsia="黑体"/>
          <w:color w:val="auto"/>
          <w:sz w:val="32"/>
          <w:highlight w:val="none"/>
        </w:rPr>
        <w:t>10.其它</w:t>
      </w:r>
      <w:bookmarkEnd w:id="29"/>
      <w:bookmarkEnd w:id="30"/>
    </w:p>
    <w:p w14:paraId="7A9466D8">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w:t>
      </w:r>
      <w:r>
        <w:rPr>
          <w:rFonts w:hint="eastAsia" w:ascii="宋体" w:hAnsi="宋体" w:cs="宋体"/>
          <w:snapToGrid w:val="0"/>
          <w:color w:val="auto"/>
          <w:kern w:val="0"/>
          <w:szCs w:val="21"/>
          <w:highlight w:val="none"/>
        </w:rPr>
        <w:t>标，申请人</w:t>
      </w:r>
      <w:r>
        <w:rPr>
          <w:rFonts w:hint="eastAsia" w:ascii="Arial" w:hAnsi="Arial" w:eastAsia="Arial" w:cs="Arial"/>
          <w:snapToGrid w:val="0"/>
          <w:color w:val="auto"/>
          <w:kern w:val="0"/>
          <w:szCs w:val="21"/>
          <w:highlight w:val="none"/>
        </w:rPr>
        <w:t>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w:t>
      </w:r>
      <w:r>
        <w:rPr>
          <w:rFonts w:hint="eastAsia" w:ascii="宋体" w:hAnsi="宋体" w:cs="宋体"/>
          <w:snapToGrid w:val="0"/>
          <w:color w:val="auto"/>
          <w:kern w:val="0"/>
          <w:szCs w:val="21"/>
          <w:highlight w:val="none"/>
        </w:rPr>
        <w:t>资格预审</w:t>
      </w:r>
      <w:r>
        <w:rPr>
          <w:rFonts w:hint="eastAsia" w:ascii="Arial" w:hAnsi="Arial" w:eastAsia="Arial" w:cs="Arial"/>
          <w:snapToGrid w:val="0"/>
          <w:color w:val="auto"/>
          <w:kern w:val="0"/>
          <w:szCs w:val="21"/>
          <w:highlight w:val="none"/>
        </w:rPr>
        <w:t>文件等相关资料。</w:t>
      </w:r>
    </w:p>
    <w:p w14:paraId="120DD344">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w:t>
      </w:r>
      <w:r>
        <w:rPr>
          <w:rFonts w:hint="eastAsia" w:ascii="Arial" w:hAnsi="Arial" w:eastAsia="Arial" w:cs="Arial"/>
          <w:snapToGrid w:val="0"/>
          <w:color w:val="auto"/>
          <w:kern w:val="0"/>
          <w:szCs w:val="21"/>
          <w:highlight w:val="none"/>
        </w:rPr>
        <w:t>，参与投标的</w:t>
      </w:r>
      <w:r>
        <w:rPr>
          <w:rFonts w:hint="eastAsia" w:ascii="宋体" w:hAnsi="宋体" w:cs="宋体"/>
          <w:snapToGrid w:val="0"/>
          <w:color w:val="auto"/>
          <w:kern w:val="0"/>
          <w:szCs w:val="21"/>
          <w:highlight w:val="none"/>
        </w:rPr>
        <w:t>申请人</w:t>
      </w:r>
      <w:r>
        <w:rPr>
          <w:rFonts w:hint="eastAsia" w:ascii="Arial" w:hAnsi="Arial" w:cs="Arial"/>
          <w:snapToGrid w:val="0"/>
          <w:color w:val="auto"/>
          <w:kern w:val="0"/>
          <w:szCs w:val="21"/>
          <w:highlight w:val="none"/>
        </w:rPr>
        <w:t>需使用电子投标文件制作软件制作资格预审申请文件</w:t>
      </w:r>
      <w:r>
        <w:rPr>
          <w:rFonts w:hint="eastAsia" w:ascii="Arial" w:hAnsi="Arial" w:eastAsia="Arial" w:cs="Arial"/>
          <w:snapToGrid w:val="0"/>
          <w:color w:val="auto"/>
          <w:kern w:val="0"/>
          <w:szCs w:val="21"/>
          <w:highlight w:val="none"/>
        </w:rPr>
        <w:t>。</w:t>
      </w:r>
    </w:p>
    <w:p w14:paraId="4ED4A806">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w:t>
      </w:r>
      <w:r>
        <w:rPr>
          <w:rFonts w:hint="eastAsia" w:ascii="宋体" w:hAnsi="宋体" w:cs="宋体"/>
          <w:snapToGrid w:val="0"/>
          <w:color w:val="auto"/>
          <w:kern w:val="0"/>
          <w:szCs w:val="21"/>
          <w:highlight w:val="none"/>
        </w:rPr>
        <w:t>申请人</w:t>
      </w:r>
      <w:r>
        <w:rPr>
          <w:rFonts w:hint="eastAsia" w:ascii="Arial" w:hAnsi="Arial" w:eastAsia="Arial" w:cs="Arial"/>
          <w:snapToGrid w:val="0"/>
          <w:color w:val="auto"/>
          <w:kern w:val="0"/>
          <w:szCs w:val="21"/>
          <w:highlight w:val="none"/>
        </w:rPr>
        <w:t>须在</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33B4C23D">
      <w:pPr>
        <w:spacing w:line="360" w:lineRule="auto"/>
        <w:ind w:firstLine="420" w:firstLineChars="200"/>
        <w:rPr>
          <w:rFonts w:eastAsia="黑体"/>
          <w:b/>
          <w:bCs/>
          <w:color w:val="auto"/>
          <w:sz w:val="30"/>
          <w:highlight w:val="none"/>
        </w:rPr>
      </w:pPr>
      <w:r>
        <w:rPr>
          <w:rFonts w:hint="eastAsia" w:ascii="宋体" w:hAnsi="宋体" w:cs="宋体"/>
          <w:snapToGrid w:val="0"/>
          <w:color w:val="auto"/>
          <w:kern w:val="0"/>
          <w:szCs w:val="21"/>
          <w:highlight w:val="none"/>
        </w:rPr>
        <w:t>注：本项目资格预审</w:t>
      </w:r>
      <w:r>
        <w:rPr>
          <w:rFonts w:hint="eastAsia" w:ascii="宋体" w:hAnsi="宋体" w:cs="宋体"/>
          <w:snapToGrid w:val="0"/>
          <w:color w:val="auto"/>
          <w:kern w:val="0"/>
          <w:szCs w:val="21"/>
          <w:highlight w:val="none"/>
          <w:lang w:val="en-US" w:eastAsia="zh-CN"/>
        </w:rPr>
        <w:t>申请</w:t>
      </w:r>
      <w:r>
        <w:rPr>
          <w:rFonts w:hint="eastAsia" w:ascii="宋体" w:hAnsi="宋体" w:cs="宋体"/>
          <w:snapToGrid w:val="0"/>
          <w:color w:val="auto"/>
          <w:kern w:val="0"/>
          <w:szCs w:val="21"/>
          <w:highlight w:val="none"/>
        </w:rPr>
        <w:t>投标过程中，电子系统使用操作遇到问题时可及时向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hint="eastAsia" w:ascii="宋体" w:hAnsi="宋体" w:cs="宋体"/>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0AF38C08">
      <w:pPr>
        <w:pStyle w:val="3"/>
        <w:ind w:firstLine="643"/>
        <w:rPr>
          <w:rFonts w:ascii="Times New Roman" w:hAnsi="Times New Roman" w:eastAsia="黑体"/>
          <w:color w:val="auto"/>
          <w:highlight w:val="none"/>
        </w:rPr>
      </w:pPr>
      <w:bookmarkStart w:id="31" w:name="_Toc30840"/>
      <w:bookmarkStart w:id="32" w:name="_Toc193802643"/>
      <w:r>
        <w:rPr>
          <w:rFonts w:hint="eastAsia" w:ascii="Times New Roman" w:hAnsi="Times New Roman" w:eastAsia="黑体"/>
          <w:color w:val="auto"/>
          <w:sz w:val="32"/>
          <w:highlight w:val="none"/>
        </w:rPr>
        <w:t>11.联系方式</w:t>
      </w:r>
      <w:bookmarkEnd w:id="31"/>
      <w:bookmarkEnd w:id="32"/>
    </w:p>
    <w:p w14:paraId="199F4D1D">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w:t>
      </w:r>
      <w:r>
        <w:rPr>
          <w:rFonts w:ascii="Arial" w:hAnsi="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w:t>
      </w:r>
    </w:p>
    <w:p w14:paraId="051D976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850B16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A4F1C1C">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782FF84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22B5838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A60BA2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w:t>
      </w:r>
      <w:r>
        <w:rPr>
          <w:rFonts w:hint="eastAsia" w:ascii="宋体" w:hAnsi="宋体" w:eastAsia="Arial" w:cs="Arial"/>
          <w:snapToGrid w:val="0"/>
          <w:color w:val="auto"/>
          <w:kern w:val="0"/>
          <w:szCs w:val="21"/>
          <w:highlight w:val="none"/>
        </w:rPr>
        <w:t xml:space="preserve">                           </w:t>
      </w:r>
    </w:p>
    <w:p w14:paraId="1CAD2AB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p>
    <w:p w14:paraId="07874D5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15BEBD8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02116DD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F5E96A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9411D19">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C99293D">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9DF38C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BBD65B4">
      <w:pPr>
        <w:ind w:firstLine="420" w:firstLineChars="200"/>
        <w:rPr>
          <w:rFonts w:hint="eastAsia" w:ascii="宋体" w:hAnsi="宋体" w:cs="Arial" w:eastAsiaTheme="minorEastAsia"/>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EC0AB97">
      <w:pPr>
        <w:ind w:firstLine="420" w:firstLineChars="200"/>
        <w:rPr>
          <w:rFonts w:hint="eastAsia" w:ascii="宋体" w:hAnsi="宋体" w:cs="Arial" w:eastAsiaTheme="minorEastAsia"/>
          <w:snapToGrid w:val="0"/>
          <w:color w:val="auto"/>
          <w:kern w:val="0"/>
          <w:szCs w:val="21"/>
          <w:highlight w:val="none"/>
        </w:rPr>
      </w:pPr>
    </w:p>
    <w:p w14:paraId="4EBB9432">
      <w:pPr>
        <w:ind w:firstLine="420" w:firstLineChars="200"/>
        <w:rPr>
          <w:rFonts w:hint="eastAsia" w:ascii="宋体" w:hAnsi="宋体" w:cs="Arial" w:eastAsiaTheme="minorEastAsia"/>
          <w:snapToGrid w:val="0"/>
          <w:color w:val="auto"/>
          <w:kern w:val="0"/>
          <w:szCs w:val="21"/>
          <w:highlight w:val="none"/>
        </w:rPr>
      </w:pPr>
    </w:p>
    <w:p w14:paraId="23D3DB97">
      <w:pPr>
        <w:ind w:firstLine="420" w:firstLineChars="200"/>
        <w:rPr>
          <w:rFonts w:hint="eastAsia" w:ascii="宋体" w:hAnsi="宋体" w:cs="Arial" w:eastAsiaTheme="minorEastAsia"/>
          <w:snapToGrid w:val="0"/>
          <w:color w:val="auto"/>
          <w:kern w:val="0"/>
          <w:szCs w:val="21"/>
          <w:highlight w:val="none"/>
        </w:rPr>
      </w:pPr>
    </w:p>
    <w:p w14:paraId="1BE8EA41">
      <w:pPr>
        <w:ind w:firstLine="420" w:firstLineChars="200"/>
        <w:rPr>
          <w:rFonts w:hint="eastAsia" w:ascii="宋体" w:hAnsi="宋体" w:cs="Arial" w:eastAsiaTheme="minorEastAsia"/>
          <w:snapToGrid w:val="0"/>
          <w:color w:val="auto"/>
          <w:kern w:val="0"/>
          <w:szCs w:val="21"/>
          <w:highlight w:val="none"/>
        </w:rPr>
      </w:pPr>
    </w:p>
    <w:p w14:paraId="65DB6F5E">
      <w:pPr>
        <w:ind w:firstLine="420" w:firstLineChars="200"/>
        <w:rPr>
          <w:rFonts w:eastAsiaTheme="minorEastAsia"/>
          <w:color w:val="auto"/>
          <w:highlight w:val="none"/>
        </w:rPr>
      </w:pPr>
    </w:p>
    <w:p w14:paraId="64411D6C">
      <w:pPr>
        <w:ind w:firstLine="640"/>
        <w:rPr>
          <w:rFonts w:hint="eastAsia" w:ascii="黑体" w:hAnsi="宋体" w:eastAsia="黑体" w:cs="黑体"/>
          <w:color w:val="auto"/>
          <w:sz w:val="32"/>
          <w:highlight w:val="none"/>
        </w:rPr>
      </w:pPr>
      <w:r>
        <w:rPr>
          <w:rFonts w:hint="eastAsia" w:ascii="黑体" w:hAnsi="宋体" w:eastAsia="黑体" w:cs="黑体"/>
          <w:color w:val="auto"/>
          <w:sz w:val="32"/>
          <w:highlight w:val="none"/>
        </w:rPr>
        <w:br w:type="page"/>
      </w:r>
    </w:p>
    <w:p w14:paraId="4E8107F4">
      <w:pPr>
        <w:pStyle w:val="2"/>
        <w:spacing w:before="0" w:after="0"/>
        <w:jc w:val="center"/>
        <w:rPr>
          <w:rFonts w:ascii="Times New Roman" w:hAnsi="Times New Roman" w:eastAsia="黑体"/>
          <w:b w:val="0"/>
          <w:bCs w:val="0"/>
          <w:color w:val="auto"/>
          <w:highlight w:val="none"/>
        </w:rPr>
      </w:pPr>
      <w:bookmarkStart w:id="33" w:name="_Toc211498592"/>
      <w:r>
        <w:rPr>
          <w:rFonts w:ascii="Times New Roman" w:hAnsi="Times New Roman" w:eastAsia="黑体"/>
          <w:b w:val="0"/>
          <w:bCs w:val="0"/>
          <w:color w:val="auto"/>
          <w:highlight w:val="none"/>
        </w:rPr>
        <w:t xml:space="preserve"> 资格预审通过通知书</w:t>
      </w:r>
      <w:bookmarkEnd w:id="33"/>
    </w:p>
    <w:p w14:paraId="6CE73EDE">
      <w:pPr>
        <w:rPr>
          <w:color w:val="auto"/>
          <w:highlight w:val="none"/>
        </w:rPr>
      </w:pPr>
    </w:p>
    <w:p w14:paraId="51395619">
      <w:pPr>
        <w:jc w:val="center"/>
        <w:rPr>
          <w:rFonts w:eastAsia="黑体"/>
          <w:color w:val="auto"/>
          <w:sz w:val="28"/>
          <w:highlight w:val="none"/>
        </w:rPr>
      </w:pP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14:paraId="706B1B86">
      <w:pPr>
        <w:rPr>
          <w:color w:val="auto"/>
          <w:highlight w:val="none"/>
        </w:rPr>
      </w:pPr>
    </w:p>
    <w:p w14:paraId="0B54AA71">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1BBFCD94">
      <w:pPr>
        <w:spacing w:line="360" w:lineRule="auto"/>
        <w:ind w:firstLine="420" w:firstLineChars="200"/>
        <w:rPr>
          <w:rFonts w:hint="eastAsia" w:ascii="宋体" w:hAnsi="宋体"/>
          <w:color w:val="auto"/>
          <w:szCs w:val="21"/>
          <w:highlight w:val="none"/>
        </w:rPr>
      </w:pPr>
    </w:p>
    <w:p w14:paraId="1CC2C07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ascii="宋体" w:hAnsi="宋体"/>
          <w:color w:val="auto"/>
          <w:szCs w:val="21"/>
          <w:highlight w:val="none"/>
        </w:rPr>
        <w:t>施工投标。</w:t>
      </w:r>
    </w:p>
    <w:p w14:paraId="3E8123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起在</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 xml:space="preserve">电子招标投标交易平台名称 </w:t>
      </w:r>
      <w:r>
        <w:rPr>
          <w:rFonts w:hint="eastAsia" w:ascii="宋体" w:hAnsi="宋体"/>
          <w:color w:val="auto"/>
          <w:szCs w:val="21"/>
          <w:highlight w:val="none"/>
        </w:rPr>
        <w:t>下载数据电文形式的招标文件。</w:t>
      </w:r>
    </w:p>
    <w:p w14:paraId="3F68EA1F">
      <w:pPr>
        <w:spacing w:line="360" w:lineRule="auto"/>
        <w:ind w:firstLine="420" w:firstLineChars="200"/>
        <w:rPr>
          <w:rFonts w:hint="eastAsia" w:ascii="宋体" w:hAnsi="宋体"/>
          <w:color w:val="auto"/>
          <w:szCs w:val="21"/>
          <w:highlight w:val="none"/>
          <w:u w:val="single"/>
        </w:rPr>
      </w:pPr>
      <w:r>
        <w:rPr>
          <w:color w:val="auto"/>
          <w:szCs w:val="21"/>
          <w:highlight w:val="none"/>
        </w:rPr>
        <w:t>电子</w:t>
      </w:r>
      <w:r>
        <w:rPr>
          <w:color w:val="auto"/>
          <w:highlight w:val="none"/>
        </w:rPr>
        <w:t>投标文件递交的截止时间（即：投标截止时间，下同）及开标时间为</w:t>
      </w:r>
      <w:r>
        <w:rPr>
          <w:rFonts w:hint="eastAsia" w:ascii="宋体" w:hAnsi="宋体"/>
          <w:color w:val="auto"/>
          <w:szCs w:val="21"/>
          <w:highlight w:val="none"/>
          <w:u w:val="single"/>
        </w:rPr>
        <w:t xml:space="preserve">    年    月    日</w:t>
      </w:r>
    </w:p>
    <w:p w14:paraId="085F6E7B">
      <w:pPr>
        <w:spacing w:line="360" w:lineRule="auto"/>
        <w:rPr>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时 </w:t>
      </w:r>
      <w:r>
        <w:rPr>
          <w:rFonts w:hint="eastAsia"/>
          <w:color w:val="auto"/>
          <w:highlight w:val="none"/>
          <w:u w:val="single"/>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w:t>
      </w:r>
      <w:r>
        <w:rPr>
          <w:rFonts w:hint="eastAsia"/>
          <w:i/>
          <w:iCs/>
          <w:color w:val="auto"/>
          <w:highlight w:val="none"/>
          <w:u w:val="single"/>
        </w:rPr>
        <w:t>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14:paraId="78EEE2F8">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14:paraId="5F5AB4E0">
      <w:pPr>
        <w:spacing w:line="360" w:lineRule="auto"/>
        <w:ind w:firstLine="420" w:firstLineChars="200"/>
        <w:rPr>
          <w:color w:val="auto"/>
          <w:szCs w:val="21"/>
          <w:highlight w:val="none"/>
        </w:rPr>
      </w:pPr>
    </w:p>
    <w:p w14:paraId="43759431">
      <w:pPr>
        <w:spacing w:line="360" w:lineRule="auto"/>
        <w:ind w:firstLine="420" w:firstLineChars="200"/>
        <w:jc w:val="left"/>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14:paraId="2B86D06C">
      <w:pPr>
        <w:spacing w:line="360" w:lineRule="auto"/>
        <w:ind w:firstLine="420" w:firstLineChars="200"/>
        <w:jc w:val="left"/>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4CC5984E">
      <w:pPr>
        <w:spacing w:line="360" w:lineRule="auto"/>
        <w:ind w:firstLine="420" w:firstLineChars="200"/>
        <w:jc w:val="left"/>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6E9D14F6">
      <w:pPr>
        <w:spacing w:line="360" w:lineRule="auto"/>
        <w:ind w:firstLine="420" w:firstLineChars="200"/>
        <w:jc w:val="left"/>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5F7470A6">
      <w:pPr>
        <w:spacing w:line="360" w:lineRule="auto"/>
        <w:ind w:firstLine="420" w:firstLineChars="200"/>
        <w:jc w:val="left"/>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14:paraId="4F824ABF">
      <w:pPr>
        <w:spacing w:line="360" w:lineRule="auto"/>
        <w:ind w:firstLine="420" w:firstLineChars="200"/>
        <w:jc w:val="left"/>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1F3320E7">
      <w:pPr>
        <w:spacing w:line="360" w:lineRule="auto"/>
        <w:ind w:firstLine="420" w:firstLineChars="200"/>
        <w:jc w:val="left"/>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3F283559">
      <w:pPr>
        <w:spacing w:line="360" w:lineRule="auto"/>
        <w:ind w:firstLine="420" w:firstLineChars="200"/>
        <w:jc w:val="left"/>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67F820BA">
      <w:pPr>
        <w:jc w:val="right"/>
        <w:rPr>
          <w:rFonts w:hint="eastAsia" w:ascii="黑体" w:hAnsi="宋体" w:eastAsia="黑体" w:cs="黑体"/>
          <w:color w:val="auto"/>
          <w:sz w:val="32"/>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52C3A182">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bookmarkStart w:id="34" w:name="_Toc4212"/>
    </w:p>
    <w:p w14:paraId="349AF72D">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p>
    <w:p w14:paraId="169CBD7E">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p>
    <w:p w14:paraId="00872CA2">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p>
    <w:p w14:paraId="7FD892FB">
      <w:pPr>
        <w:rPr>
          <w:rFonts w:hint="eastAsia" w:ascii="黑体" w:hAnsi="宋体" w:eastAsia="黑体" w:cs="黑体"/>
          <w:b w:val="0"/>
          <w:color w:val="auto"/>
          <w:sz w:val="32"/>
          <w:highlight w:val="none"/>
        </w:rPr>
      </w:pPr>
    </w:p>
    <w:p w14:paraId="3A99592B">
      <w:pPr>
        <w:rPr>
          <w:rFonts w:hint="eastAsia" w:ascii="黑体" w:hAnsi="宋体" w:eastAsia="黑体" w:cs="黑体"/>
          <w:b w:val="0"/>
          <w:color w:val="auto"/>
          <w:sz w:val="32"/>
          <w:highlight w:val="none"/>
        </w:rPr>
      </w:pPr>
    </w:p>
    <w:p w14:paraId="47E7D62D">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r>
        <w:rPr>
          <w:rFonts w:hint="eastAsia" w:ascii="黑体" w:hAnsi="宋体" w:eastAsia="黑体" w:cs="黑体"/>
          <w:b w:val="0"/>
          <w:color w:val="auto"/>
          <w:sz w:val="32"/>
          <w:highlight w:val="none"/>
        </w:rPr>
        <w:t>第二章  申请人须知</w:t>
      </w:r>
      <w:bookmarkEnd w:id="5"/>
      <w:bookmarkEnd w:id="34"/>
    </w:p>
    <w:p w14:paraId="282BB056">
      <w:pPr>
        <w:ind w:firstLine="560"/>
        <w:rPr>
          <w:rFonts w:hint="eastAsia" w:ascii="宋体" w:hAnsi="宋体"/>
          <w:color w:val="auto"/>
          <w:highlight w:val="none"/>
        </w:rPr>
      </w:pPr>
    </w:p>
    <w:p w14:paraId="47C1FDEA">
      <w:pPr>
        <w:snapToGrid w:val="0"/>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申请人须知前附表</w:t>
      </w:r>
    </w:p>
    <w:tbl>
      <w:tblPr>
        <w:tblStyle w:val="20"/>
        <w:tblW w:w="92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5" w:type="dxa"/>
          <w:bottom w:w="0" w:type="dxa"/>
          <w:right w:w="45" w:type="dxa"/>
        </w:tblCellMar>
      </w:tblPr>
      <w:tblGrid>
        <w:gridCol w:w="878"/>
        <w:gridCol w:w="1855"/>
        <w:gridCol w:w="6514"/>
      </w:tblGrid>
      <w:tr w14:paraId="168B1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blHeader/>
          <w:jc w:val="center"/>
        </w:trPr>
        <w:tc>
          <w:tcPr>
            <w:tcW w:w="878" w:type="dxa"/>
            <w:vAlign w:val="center"/>
          </w:tcPr>
          <w:p w14:paraId="6D51D9E9">
            <w:pPr>
              <w:snapToGrid w:val="0"/>
              <w:jc w:val="center"/>
              <w:rPr>
                <w:rFonts w:hint="eastAsia" w:ascii="宋体" w:hAnsi="宋体"/>
                <w:b/>
                <w:color w:val="auto"/>
                <w:sz w:val="24"/>
                <w:highlight w:val="none"/>
              </w:rPr>
            </w:pPr>
            <w:r>
              <w:rPr>
                <w:rFonts w:hint="eastAsia" w:ascii="宋体" w:hAnsi="宋体"/>
                <w:b/>
                <w:color w:val="auto"/>
                <w:sz w:val="24"/>
                <w:highlight w:val="none"/>
              </w:rPr>
              <w:t>条款号</w:t>
            </w:r>
          </w:p>
        </w:tc>
        <w:tc>
          <w:tcPr>
            <w:tcW w:w="1855" w:type="dxa"/>
            <w:vAlign w:val="center"/>
          </w:tcPr>
          <w:p w14:paraId="37B13480">
            <w:pPr>
              <w:snapToGrid w:val="0"/>
              <w:jc w:val="center"/>
              <w:rPr>
                <w:rFonts w:hint="eastAsia" w:ascii="宋体" w:hAnsi="宋体"/>
                <w:b/>
                <w:color w:val="auto"/>
                <w:sz w:val="24"/>
                <w:highlight w:val="none"/>
              </w:rPr>
            </w:pPr>
            <w:r>
              <w:rPr>
                <w:rFonts w:hint="eastAsia" w:ascii="宋体" w:hAnsi="宋体"/>
                <w:b/>
                <w:color w:val="auto"/>
                <w:sz w:val="24"/>
                <w:highlight w:val="none"/>
              </w:rPr>
              <w:t>条款名称</w:t>
            </w:r>
          </w:p>
        </w:tc>
        <w:tc>
          <w:tcPr>
            <w:tcW w:w="6514" w:type="dxa"/>
            <w:vAlign w:val="center"/>
          </w:tcPr>
          <w:p w14:paraId="12AAB386">
            <w:pPr>
              <w:snapToGrid w:val="0"/>
              <w:jc w:val="center"/>
              <w:rPr>
                <w:rFonts w:hint="eastAsia" w:ascii="宋体" w:hAnsi="宋体"/>
                <w:b/>
                <w:color w:val="auto"/>
                <w:sz w:val="24"/>
                <w:highlight w:val="none"/>
              </w:rPr>
            </w:pPr>
            <w:r>
              <w:rPr>
                <w:rFonts w:hint="eastAsia" w:ascii="宋体" w:hAnsi="宋体"/>
                <w:b/>
                <w:color w:val="auto"/>
                <w:sz w:val="24"/>
                <w:highlight w:val="none"/>
              </w:rPr>
              <w:t>编  列  内  容</w:t>
            </w:r>
          </w:p>
        </w:tc>
      </w:tr>
      <w:tr w14:paraId="7557C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187" w:hRule="atLeast"/>
          <w:jc w:val="center"/>
        </w:trPr>
        <w:tc>
          <w:tcPr>
            <w:tcW w:w="878" w:type="dxa"/>
            <w:vAlign w:val="center"/>
          </w:tcPr>
          <w:p w14:paraId="1E7772AB">
            <w:pPr>
              <w:tabs>
                <w:tab w:val="left" w:pos="630"/>
              </w:tabs>
              <w:snapToGrid w:val="0"/>
              <w:jc w:val="center"/>
              <w:rPr>
                <w:rFonts w:hint="eastAsia" w:ascii="宋体" w:hAnsi="宋体"/>
                <w:color w:val="auto"/>
                <w:szCs w:val="21"/>
                <w:highlight w:val="none"/>
              </w:rPr>
            </w:pPr>
            <w:r>
              <w:rPr>
                <w:rFonts w:hint="eastAsia" w:ascii="宋体" w:hAnsi="宋体"/>
                <w:color w:val="auto"/>
                <w:szCs w:val="21"/>
                <w:highlight w:val="none"/>
              </w:rPr>
              <w:t>1.1.2</w:t>
            </w:r>
          </w:p>
        </w:tc>
        <w:tc>
          <w:tcPr>
            <w:tcW w:w="1855" w:type="dxa"/>
            <w:vAlign w:val="center"/>
          </w:tcPr>
          <w:p w14:paraId="0EAB8D64">
            <w:pPr>
              <w:snapToGrid w:val="0"/>
              <w:jc w:val="center"/>
              <w:rPr>
                <w:rFonts w:hint="eastAsia" w:ascii="宋体" w:hAnsi="宋体"/>
                <w:color w:val="auto"/>
                <w:szCs w:val="21"/>
                <w:highlight w:val="none"/>
              </w:rPr>
            </w:pPr>
            <w:r>
              <w:rPr>
                <w:rFonts w:hint="eastAsia" w:ascii="宋体" w:hAnsi="宋体"/>
                <w:color w:val="auto"/>
                <w:szCs w:val="21"/>
                <w:highlight w:val="none"/>
              </w:rPr>
              <w:t>招标人</w:t>
            </w:r>
          </w:p>
        </w:tc>
        <w:tc>
          <w:tcPr>
            <w:tcW w:w="6514" w:type="dxa"/>
            <w:vAlign w:val="center"/>
          </w:tcPr>
          <w:p w14:paraId="300DAF19">
            <w:pPr>
              <w:snapToGrid w:val="0"/>
              <w:rPr>
                <w:rFonts w:hint="eastAsia" w:ascii="宋体" w:hAnsi="宋体"/>
                <w:color w:val="auto"/>
                <w:szCs w:val="21"/>
                <w:highlight w:val="none"/>
              </w:rPr>
            </w:pPr>
            <w:r>
              <w:rPr>
                <w:rFonts w:hint="eastAsia" w:ascii="宋体" w:hAnsi="宋体"/>
                <w:color w:val="auto"/>
                <w:szCs w:val="21"/>
                <w:highlight w:val="none"/>
              </w:rPr>
              <w:t>名    称：</w:t>
            </w:r>
          </w:p>
          <w:p w14:paraId="21A08BBC">
            <w:pPr>
              <w:snapToGrid w:val="0"/>
              <w:rPr>
                <w:rFonts w:hint="eastAsia" w:ascii="宋体" w:hAnsi="宋体"/>
                <w:color w:val="auto"/>
                <w:szCs w:val="21"/>
                <w:highlight w:val="none"/>
              </w:rPr>
            </w:pPr>
            <w:r>
              <w:rPr>
                <w:rFonts w:hint="eastAsia" w:ascii="宋体" w:hAnsi="宋体"/>
                <w:color w:val="auto"/>
                <w:szCs w:val="21"/>
                <w:highlight w:val="none"/>
              </w:rPr>
              <w:t>地    址：</w:t>
            </w:r>
          </w:p>
          <w:p w14:paraId="09D0CAB3">
            <w:pPr>
              <w:snapToGrid w:val="0"/>
              <w:rPr>
                <w:rFonts w:hint="eastAsia" w:ascii="宋体" w:hAnsi="宋体"/>
                <w:color w:val="auto"/>
                <w:szCs w:val="21"/>
                <w:highlight w:val="none"/>
              </w:rPr>
            </w:pPr>
            <w:r>
              <w:rPr>
                <w:rFonts w:hint="eastAsia" w:ascii="宋体" w:hAnsi="宋体"/>
                <w:color w:val="auto"/>
                <w:szCs w:val="21"/>
                <w:highlight w:val="none"/>
              </w:rPr>
              <w:t>联 系 人：</w:t>
            </w:r>
          </w:p>
          <w:p w14:paraId="79704427">
            <w:pPr>
              <w:snapToGrid w:val="0"/>
              <w:rPr>
                <w:rFonts w:hint="eastAsia" w:ascii="宋体" w:hAnsi="宋体"/>
                <w:color w:val="auto"/>
                <w:szCs w:val="21"/>
                <w:highlight w:val="none"/>
              </w:rPr>
            </w:pPr>
            <w:r>
              <w:rPr>
                <w:rFonts w:hint="eastAsia" w:ascii="宋体" w:hAnsi="宋体"/>
                <w:color w:val="auto"/>
                <w:szCs w:val="21"/>
                <w:highlight w:val="none"/>
              </w:rPr>
              <w:t>电    话：</w:t>
            </w:r>
          </w:p>
        </w:tc>
      </w:tr>
      <w:tr w14:paraId="345A5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1238" w:hRule="atLeast"/>
          <w:jc w:val="center"/>
        </w:trPr>
        <w:tc>
          <w:tcPr>
            <w:tcW w:w="878" w:type="dxa"/>
            <w:vAlign w:val="center"/>
          </w:tcPr>
          <w:p w14:paraId="1FC62DE2">
            <w:pPr>
              <w:tabs>
                <w:tab w:val="left" w:pos="630"/>
              </w:tabs>
              <w:snapToGrid w:val="0"/>
              <w:jc w:val="center"/>
              <w:rPr>
                <w:rFonts w:hint="eastAsia" w:ascii="宋体" w:hAnsi="宋体"/>
                <w:color w:val="auto"/>
                <w:szCs w:val="21"/>
                <w:highlight w:val="none"/>
              </w:rPr>
            </w:pPr>
            <w:r>
              <w:rPr>
                <w:rFonts w:hint="eastAsia" w:ascii="宋体" w:hAnsi="宋体"/>
                <w:color w:val="auto"/>
                <w:szCs w:val="21"/>
                <w:highlight w:val="none"/>
              </w:rPr>
              <w:t>1.1.3</w:t>
            </w:r>
          </w:p>
        </w:tc>
        <w:tc>
          <w:tcPr>
            <w:tcW w:w="1855" w:type="dxa"/>
            <w:vAlign w:val="center"/>
          </w:tcPr>
          <w:p w14:paraId="3064A060">
            <w:pPr>
              <w:snapToGrid w:val="0"/>
              <w:jc w:val="center"/>
              <w:rPr>
                <w:rFonts w:hint="eastAsia" w:ascii="宋体" w:hAnsi="宋体"/>
                <w:color w:val="auto"/>
                <w:szCs w:val="21"/>
                <w:highlight w:val="none"/>
              </w:rPr>
            </w:pPr>
            <w:r>
              <w:rPr>
                <w:rFonts w:hint="eastAsia" w:ascii="宋体" w:hAnsi="宋体"/>
                <w:color w:val="auto"/>
                <w:szCs w:val="21"/>
                <w:highlight w:val="none"/>
              </w:rPr>
              <w:t>招标代理机构</w:t>
            </w:r>
          </w:p>
        </w:tc>
        <w:tc>
          <w:tcPr>
            <w:tcW w:w="6514" w:type="dxa"/>
            <w:vAlign w:val="center"/>
          </w:tcPr>
          <w:p w14:paraId="0142FE39">
            <w:pPr>
              <w:snapToGrid w:val="0"/>
              <w:rPr>
                <w:rFonts w:hint="eastAsia" w:ascii="宋体" w:hAnsi="宋体"/>
                <w:color w:val="auto"/>
                <w:szCs w:val="21"/>
                <w:highlight w:val="none"/>
              </w:rPr>
            </w:pPr>
            <w:r>
              <w:rPr>
                <w:rFonts w:hint="eastAsia" w:ascii="宋体" w:hAnsi="宋体"/>
                <w:color w:val="auto"/>
                <w:szCs w:val="21"/>
                <w:highlight w:val="none"/>
              </w:rPr>
              <w:t>名    称：</w:t>
            </w:r>
          </w:p>
          <w:p w14:paraId="74C95FA0">
            <w:pPr>
              <w:snapToGrid w:val="0"/>
              <w:rPr>
                <w:rFonts w:hint="eastAsia" w:ascii="宋体" w:hAnsi="宋体"/>
                <w:color w:val="auto"/>
                <w:szCs w:val="21"/>
                <w:highlight w:val="none"/>
              </w:rPr>
            </w:pPr>
            <w:r>
              <w:rPr>
                <w:rFonts w:hint="eastAsia" w:ascii="宋体" w:hAnsi="宋体"/>
                <w:color w:val="auto"/>
                <w:szCs w:val="21"/>
                <w:highlight w:val="none"/>
              </w:rPr>
              <w:t>地    址：</w:t>
            </w:r>
          </w:p>
          <w:p w14:paraId="689E0CEB">
            <w:pPr>
              <w:snapToGrid w:val="0"/>
              <w:rPr>
                <w:rFonts w:hint="eastAsia" w:ascii="宋体" w:hAnsi="宋体"/>
                <w:color w:val="auto"/>
                <w:szCs w:val="21"/>
                <w:highlight w:val="none"/>
              </w:rPr>
            </w:pPr>
            <w:r>
              <w:rPr>
                <w:rFonts w:hint="eastAsia" w:ascii="宋体" w:hAnsi="宋体"/>
                <w:color w:val="auto"/>
                <w:szCs w:val="21"/>
                <w:highlight w:val="none"/>
              </w:rPr>
              <w:t>项目负责人：</w:t>
            </w:r>
            <w:r>
              <w:rPr>
                <w:rFonts w:ascii="宋体" w:hAnsi="宋体" w:eastAsia="Arial" w:cs="Arial"/>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（按招标代理委托协议填写） </w:t>
            </w:r>
            <w:r>
              <w:rPr>
                <w:rFonts w:ascii="宋体" w:hAnsi="宋体" w:eastAsia="Arial" w:cs="Arial"/>
                <w:snapToGrid w:val="0"/>
                <w:color w:val="auto"/>
                <w:kern w:val="0"/>
                <w:szCs w:val="21"/>
                <w:highlight w:val="none"/>
                <w:u w:val="single"/>
              </w:rPr>
              <w:t xml:space="preserve">    </w:t>
            </w:r>
          </w:p>
          <w:p w14:paraId="1CFD4549">
            <w:pPr>
              <w:snapToGrid w:val="0"/>
              <w:rPr>
                <w:rFonts w:hint="eastAsia" w:ascii="宋体" w:hAnsi="宋体"/>
                <w:color w:val="auto"/>
                <w:szCs w:val="21"/>
                <w:highlight w:val="none"/>
              </w:rPr>
            </w:pPr>
            <w:r>
              <w:rPr>
                <w:rFonts w:hint="eastAsia" w:ascii="宋体" w:hAnsi="宋体"/>
                <w:color w:val="auto"/>
                <w:szCs w:val="21"/>
                <w:highlight w:val="none"/>
              </w:rPr>
              <w:t>电    话：</w:t>
            </w:r>
          </w:p>
          <w:p w14:paraId="70FAFD57">
            <w:pPr>
              <w:widowControl/>
              <w:kinsoku w:val="0"/>
              <w:autoSpaceDE w:val="0"/>
              <w:autoSpaceDN w:val="0"/>
              <w:jc w:val="left"/>
              <w:textAlignment w:val="baseline"/>
              <w:rPr>
                <w:rFonts w:ascii="宋体" w:hAnsi="宋体" w:eastAsia="Arial" w:cs="Arial"/>
                <w:snapToGrid w:val="0"/>
                <w:color w:val="auto"/>
                <w:kern w:val="0"/>
                <w:szCs w:val="21"/>
                <w:highlight w:val="none"/>
                <w:u w:val="single"/>
              </w:rPr>
            </w:pPr>
            <w:r>
              <w:rPr>
                <w:rFonts w:hint="eastAsia" w:ascii="宋体" w:hAnsi="宋体" w:cs="宋体"/>
                <w:snapToGrid w:val="0"/>
                <w:color w:val="auto"/>
                <w:kern w:val="0"/>
                <w:szCs w:val="21"/>
                <w:highlight w:val="none"/>
              </w:rPr>
              <w:t>项</w:t>
            </w:r>
            <w:r>
              <w:rPr>
                <w:rFonts w:ascii="宋体" w:hAnsi="宋体" w:eastAsia="Arial" w:cs="Arial"/>
                <w:snapToGrid w:val="0"/>
                <w:color w:val="auto"/>
                <w:kern w:val="0"/>
                <w:szCs w:val="21"/>
                <w:highlight w:val="none"/>
              </w:rPr>
              <w:t>目组其他成员：</w:t>
            </w:r>
            <w:r>
              <w:rPr>
                <w:rFonts w:ascii="宋体" w:hAnsi="宋体" w:eastAsia="Arial" w:cs="Arial"/>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（按招标代理委托协议填写） </w:t>
            </w:r>
            <w:r>
              <w:rPr>
                <w:rFonts w:ascii="宋体" w:hAnsi="宋体" w:eastAsia="Arial" w:cs="Arial"/>
                <w:snapToGrid w:val="0"/>
                <w:color w:val="auto"/>
                <w:kern w:val="0"/>
                <w:szCs w:val="21"/>
                <w:highlight w:val="none"/>
                <w:u w:val="single"/>
              </w:rPr>
              <w:t xml:space="preserve"> </w:t>
            </w:r>
          </w:p>
          <w:p w14:paraId="5D3AA550">
            <w:pPr>
              <w:snapToGrid w:val="0"/>
              <w:rPr>
                <w:rFonts w:hint="eastAsia" w:ascii="宋体" w:hAnsi="宋体"/>
                <w:color w:val="auto"/>
                <w:szCs w:val="21"/>
                <w:highlight w:val="none"/>
              </w:rPr>
            </w:pPr>
            <w:r>
              <w:rPr>
                <w:rFonts w:hint="eastAsia" w:ascii="宋体" w:hAnsi="宋体" w:cs="Arial"/>
                <w:snapToGrid w:val="0"/>
                <w:color w:val="auto"/>
                <w:kern w:val="0"/>
                <w:szCs w:val="21"/>
                <w:highlight w:val="none"/>
              </w:rPr>
              <w:t>电子邮箱：</w:t>
            </w:r>
          </w:p>
        </w:tc>
      </w:tr>
      <w:tr w14:paraId="39B39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13B7F7C6">
            <w:pPr>
              <w:tabs>
                <w:tab w:val="left" w:pos="220"/>
              </w:tabs>
              <w:snapToGrid w:val="0"/>
              <w:jc w:val="center"/>
              <w:rPr>
                <w:rFonts w:hint="eastAsia" w:ascii="宋体" w:hAnsi="宋体"/>
                <w:color w:val="auto"/>
                <w:szCs w:val="21"/>
                <w:highlight w:val="none"/>
              </w:rPr>
            </w:pPr>
            <w:r>
              <w:rPr>
                <w:rFonts w:hint="eastAsia" w:ascii="宋体" w:hAnsi="宋体"/>
                <w:color w:val="auto"/>
                <w:szCs w:val="21"/>
                <w:highlight w:val="none"/>
              </w:rPr>
              <w:t>1.1.4</w:t>
            </w:r>
          </w:p>
        </w:tc>
        <w:tc>
          <w:tcPr>
            <w:tcW w:w="1855" w:type="dxa"/>
            <w:vAlign w:val="center"/>
          </w:tcPr>
          <w:p w14:paraId="65864E08">
            <w:pPr>
              <w:snapToGrid w:val="0"/>
              <w:jc w:val="center"/>
              <w:rPr>
                <w:rFonts w:hint="eastAsia" w:ascii="宋体" w:hAnsi="宋体"/>
                <w:color w:val="auto"/>
                <w:szCs w:val="21"/>
                <w:highlight w:val="none"/>
              </w:rPr>
            </w:pPr>
            <w:r>
              <w:rPr>
                <w:rFonts w:hint="eastAsia" w:ascii="宋体" w:hAnsi="宋体"/>
                <w:color w:val="auto"/>
                <w:szCs w:val="21"/>
                <w:highlight w:val="none"/>
              </w:rPr>
              <w:t>招标项目名称</w:t>
            </w:r>
          </w:p>
        </w:tc>
        <w:tc>
          <w:tcPr>
            <w:tcW w:w="6514" w:type="dxa"/>
            <w:vAlign w:val="center"/>
          </w:tcPr>
          <w:p w14:paraId="753F29B5">
            <w:pPr>
              <w:snapToGrid w:val="0"/>
              <w:rPr>
                <w:rFonts w:hint="eastAsia" w:ascii="宋体" w:hAnsi="宋体"/>
                <w:color w:val="auto"/>
                <w:szCs w:val="21"/>
                <w:highlight w:val="none"/>
              </w:rPr>
            </w:pPr>
            <w:r>
              <w:rPr>
                <w:rFonts w:hint="eastAsia" w:ascii="宋体" w:hAnsi="宋体" w:cs="Arial"/>
                <w:snapToGrid w:val="0"/>
                <w:color w:val="auto"/>
                <w:kern w:val="0"/>
                <w:szCs w:val="21"/>
                <w:highlight w:val="none"/>
                <w:u w:val="single"/>
              </w:rPr>
              <w:t>（招标项目名称和标段（包）名称、项目投资代码）</w:t>
            </w:r>
          </w:p>
        </w:tc>
      </w:tr>
      <w:tr w14:paraId="143B6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458E14E2">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1.1.5</w:t>
            </w:r>
          </w:p>
        </w:tc>
        <w:tc>
          <w:tcPr>
            <w:tcW w:w="1855" w:type="dxa"/>
            <w:vAlign w:val="center"/>
          </w:tcPr>
          <w:p w14:paraId="05E0ED5C">
            <w:pPr>
              <w:snapToGrid w:val="0"/>
              <w:jc w:val="center"/>
              <w:rPr>
                <w:rFonts w:hint="eastAsia" w:ascii="宋体" w:hAnsi="宋体"/>
                <w:color w:val="auto"/>
                <w:szCs w:val="21"/>
                <w:highlight w:val="none"/>
              </w:rPr>
            </w:pPr>
            <w:r>
              <w:rPr>
                <w:rFonts w:hint="eastAsia" w:ascii="宋体" w:hAnsi="宋体"/>
                <w:color w:val="auto"/>
                <w:szCs w:val="21"/>
                <w:highlight w:val="none"/>
              </w:rPr>
              <w:t>建设地点</w:t>
            </w:r>
          </w:p>
        </w:tc>
        <w:tc>
          <w:tcPr>
            <w:tcW w:w="6514" w:type="dxa"/>
            <w:vAlign w:val="center"/>
          </w:tcPr>
          <w:p w14:paraId="18A3D4AA">
            <w:pPr>
              <w:snapToGrid w:val="0"/>
              <w:rPr>
                <w:rFonts w:hint="eastAsia" w:ascii="宋体" w:hAnsi="宋体"/>
                <w:color w:val="auto"/>
                <w:szCs w:val="21"/>
                <w:highlight w:val="none"/>
              </w:rPr>
            </w:pPr>
          </w:p>
        </w:tc>
      </w:tr>
      <w:tr w14:paraId="7E2BC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3FAC5BBE">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1.3.1</w:t>
            </w:r>
          </w:p>
        </w:tc>
        <w:tc>
          <w:tcPr>
            <w:tcW w:w="1855" w:type="dxa"/>
            <w:vAlign w:val="center"/>
          </w:tcPr>
          <w:p w14:paraId="1931C2A0">
            <w:pPr>
              <w:snapToGrid w:val="0"/>
              <w:jc w:val="center"/>
              <w:rPr>
                <w:rFonts w:hint="eastAsia" w:ascii="宋体" w:hAnsi="宋体"/>
                <w:color w:val="auto"/>
                <w:szCs w:val="21"/>
                <w:highlight w:val="none"/>
              </w:rPr>
            </w:pPr>
            <w:r>
              <w:rPr>
                <w:rFonts w:hint="eastAsia" w:ascii="宋体" w:hAnsi="宋体"/>
                <w:color w:val="auto"/>
                <w:szCs w:val="21"/>
                <w:highlight w:val="none"/>
              </w:rPr>
              <w:t>招标范围</w:t>
            </w:r>
          </w:p>
        </w:tc>
        <w:tc>
          <w:tcPr>
            <w:tcW w:w="6514" w:type="dxa"/>
            <w:vAlign w:val="center"/>
          </w:tcPr>
          <w:p w14:paraId="7877C84C">
            <w:pPr>
              <w:snapToGrid w:val="0"/>
              <w:rPr>
                <w:rFonts w:hint="eastAsia" w:ascii="宋体" w:hAnsi="宋体"/>
                <w:color w:val="auto"/>
                <w:szCs w:val="21"/>
                <w:highlight w:val="none"/>
              </w:rPr>
            </w:pPr>
            <w:r>
              <w:rPr>
                <w:rFonts w:hint="eastAsia" w:ascii="宋体" w:hAnsi="宋体"/>
                <w:color w:val="auto"/>
                <w:szCs w:val="21"/>
                <w:highlight w:val="none"/>
              </w:rPr>
              <w:t>见资格预审公告</w:t>
            </w:r>
          </w:p>
        </w:tc>
      </w:tr>
      <w:tr w14:paraId="3F591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171F485C">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1.3.2</w:t>
            </w:r>
          </w:p>
        </w:tc>
        <w:tc>
          <w:tcPr>
            <w:tcW w:w="1855" w:type="dxa"/>
            <w:vAlign w:val="center"/>
          </w:tcPr>
          <w:p w14:paraId="1BB1B748">
            <w:pPr>
              <w:snapToGrid w:val="0"/>
              <w:jc w:val="center"/>
              <w:rPr>
                <w:rFonts w:hint="eastAsia" w:ascii="宋体" w:hAnsi="宋体"/>
                <w:color w:val="auto"/>
                <w:szCs w:val="21"/>
                <w:highlight w:val="none"/>
              </w:rPr>
            </w:pPr>
            <w:r>
              <w:rPr>
                <w:rFonts w:hint="eastAsia" w:ascii="宋体" w:hAnsi="宋体"/>
                <w:color w:val="auto"/>
                <w:szCs w:val="21"/>
                <w:highlight w:val="none"/>
              </w:rPr>
              <w:t>计划工期</w:t>
            </w:r>
          </w:p>
        </w:tc>
        <w:tc>
          <w:tcPr>
            <w:tcW w:w="6514" w:type="dxa"/>
            <w:vAlign w:val="center"/>
          </w:tcPr>
          <w:p w14:paraId="09919CFF">
            <w:pPr>
              <w:snapToGrid w:val="0"/>
              <w:rPr>
                <w:rFonts w:hint="eastAsia" w:ascii="宋体" w:hAnsi="宋体"/>
                <w:color w:val="auto"/>
                <w:szCs w:val="21"/>
                <w:highlight w:val="none"/>
              </w:rPr>
            </w:pPr>
            <w:r>
              <w:rPr>
                <w:rFonts w:hint="eastAsia" w:ascii="宋体" w:hAnsi="宋体"/>
                <w:color w:val="auto"/>
                <w:szCs w:val="21"/>
                <w:highlight w:val="none"/>
              </w:rPr>
              <w:t>见资格预审公告</w:t>
            </w:r>
          </w:p>
        </w:tc>
      </w:tr>
      <w:tr w14:paraId="51B2A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917" w:hRule="atLeast"/>
          <w:jc w:val="center"/>
        </w:trPr>
        <w:tc>
          <w:tcPr>
            <w:tcW w:w="878" w:type="dxa"/>
            <w:vMerge w:val="restart"/>
            <w:vAlign w:val="center"/>
          </w:tcPr>
          <w:p w14:paraId="297D9FFC">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1.3.3</w:t>
            </w:r>
          </w:p>
        </w:tc>
        <w:tc>
          <w:tcPr>
            <w:tcW w:w="1855" w:type="dxa"/>
            <w:tcBorders>
              <w:bottom w:val="single" w:color="auto" w:sz="4" w:space="0"/>
            </w:tcBorders>
            <w:vAlign w:val="center"/>
          </w:tcPr>
          <w:p w14:paraId="4669CA5E">
            <w:pPr>
              <w:snapToGrid w:val="0"/>
              <w:jc w:val="center"/>
              <w:rPr>
                <w:rFonts w:hint="eastAsia" w:ascii="宋体" w:hAnsi="宋体"/>
                <w:color w:val="auto"/>
                <w:szCs w:val="21"/>
                <w:highlight w:val="none"/>
              </w:rPr>
            </w:pPr>
            <w:r>
              <w:rPr>
                <w:rFonts w:hint="eastAsia" w:ascii="宋体" w:hAnsi="宋体"/>
                <w:color w:val="auto"/>
                <w:szCs w:val="21"/>
                <w:highlight w:val="none"/>
              </w:rPr>
              <w:t>质量要求</w:t>
            </w:r>
          </w:p>
        </w:tc>
        <w:tc>
          <w:tcPr>
            <w:tcW w:w="6514" w:type="dxa"/>
            <w:tcBorders>
              <w:bottom w:val="single" w:color="auto" w:sz="4" w:space="0"/>
            </w:tcBorders>
            <w:vAlign w:val="center"/>
          </w:tcPr>
          <w:p w14:paraId="1A9DF8A2">
            <w:pPr>
              <w:snapToGrid w:val="0"/>
              <w:rPr>
                <w:rFonts w:hint="eastAsia" w:ascii="宋体" w:hAnsi="宋体"/>
                <w:color w:val="auto"/>
                <w:szCs w:val="21"/>
                <w:highlight w:val="none"/>
                <w:u w:val="single"/>
              </w:rPr>
            </w:pPr>
            <w:r>
              <w:rPr>
                <w:rFonts w:hint="eastAsia"/>
                <w:color w:val="auto"/>
                <w:szCs w:val="21"/>
                <w:highlight w:val="none"/>
              </w:rPr>
              <w:t>质量标准：</w:t>
            </w:r>
            <w:r>
              <w:rPr>
                <w:rFonts w:hint="eastAsia"/>
                <w:color w:val="auto"/>
                <w:szCs w:val="21"/>
                <w:highlight w:val="none"/>
                <w:u w:val="single"/>
              </w:rPr>
              <w:t xml:space="preserve">                               </w:t>
            </w:r>
          </w:p>
        </w:tc>
      </w:tr>
      <w:tr w14:paraId="372E5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56" w:hRule="atLeast"/>
          <w:jc w:val="center"/>
        </w:trPr>
        <w:tc>
          <w:tcPr>
            <w:tcW w:w="878" w:type="dxa"/>
            <w:vMerge w:val="continue"/>
            <w:vAlign w:val="center"/>
          </w:tcPr>
          <w:p w14:paraId="3821303E">
            <w:pPr>
              <w:tabs>
                <w:tab w:val="left" w:pos="420"/>
              </w:tabs>
              <w:snapToGrid w:val="0"/>
              <w:ind w:firstLine="560"/>
              <w:jc w:val="center"/>
              <w:rPr>
                <w:rFonts w:hint="eastAsia" w:ascii="宋体" w:hAnsi="宋体"/>
                <w:color w:val="auto"/>
                <w:szCs w:val="21"/>
                <w:highlight w:val="none"/>
              </w:rPr>
            </w:pPr>
          </w:p>
        </w:tc>
        <w:tc>
          <w:tcPr>
            <w:tcW w:w="1855" w:type="dxa"/>
            <w:tcBorders>
              <w:top w:val="single" w:color="auto" w:sz="4" w:space="0"/>
            </w:tcBorders>
            <w:vAlign w:val="center"/>
          </w:tcPr>
          <w:p w14:paraId="7D78F449">
            <w:pPr>
              <w:snapToGrid w:val="0"/>
              <w:jc w:val="center"/>
              <w:rPr>
                <w:rFonts w:hint="eastAsia" w:ascii="宋体" w:hAnsi="宋体"/>
                <w:color w:val="auto"/>
                <w:szCs w:val="21"/>
                <w:highlight w:val="none"/>
              </w:rPr>
            </w:pPr>
            <w:r>
              <w:rPr>
                <w:rFonts w:hint="eastAsia" w:ascii="宋体" w:hAnsi="宋体"/>
                <w:color w:val="auto"/>
                <w:szCs w:val="21"/>
                <w:highlight w:val="none"/>
              </w:rPr>
              <w:t>保修要求</w:t>
            </w:r>
          </w:p>
        </w:tc>
        <w:tc>
          <w:tcPr>
            <w:tcW w:w="6514" w:type="dxa"/>
            <w:tcBorders>
              <w:top w:val="single" w:color="auto" w:sz="4" w:space="0"/>
            </w:tcBorders>
            <w:vAlign w:val="center"/>
          </w:tcPr>
          <w:p w14:paraId="6354D17F">
            <w:pPr>
              <w:snapToGrid w:val="0"/>
              <w:rPr>
                <w:rFonts w:hint="eastAsia" w:ascii="宋体" w:hAnsi="宋体"/>
                <w:color w:val="auto"/>
                <w:szCs w:val="21"/>
                <w:highlight w:val="none"/>
              </w:rPr>
            </w:pPr>
            <w:r>
              <w:rPr>
                <w:color w:val="auto"/>
                <w:szCs w:val="21"/>
                <w:highlight w:val="none"/>
              </w:rPr>
              <w:t>保修要求：</w:t>
            </w:r>
            <w:r>
              <w:rPr>
                <w:color w:val="auto"/>
                <w:szCs w:val="21"/>
                <w:highlight w:val="none"/>
                <w:u w:val="single"/>
              </w:rPr>
              <w:t xml:space="preserve">                             </w:t>
            </w:r>
          </w:p>
        </w:tc>
      </w:tr>
      <w:tr w14:paraId="151E7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6AED1897">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1.4.1</w:t>
            </w:r>
          </w:p>
        </w:tc>
        <w:tc>
          <w:tcPr>
            <w:tcW w:w="1855" w:type="dxa"/>
            <w:vAlign w:val="center"/>
          </w:tcPr>
          <w:p w14:paraId="35C5ECC4">
            <w:pPr>
              <w:snapToGrid w:val="0"/>
              <w:jc w:val="center"/>
              <w:rPr>
                <w:rFonts w:hint="eastAsia" w:ascii="宋体" w:hAnsi="宋体"/>
                <w:color w:val="auto"/>
                <w:szCs w:val="21"/>
                <w:highlight w:val="none"/>
              </w:rPr>
            </w:pPr>
            <w:r>
              <w:rPr>
                <w:rFonts w:hint="eastAsia" w:ascii="宋体" w:hAnsi="宋体"/>
                <w:color w:val="auto"/>
                <w:szCs w:val="21"/>
                <w:highlight w:val="none"/>
              </w:rPr>
              <w:t>申请人资质条件</w:t>
            </w:r>
          </w:p>
        </w:tc>
        <w:tc>
          <w:tcPr>
            <w:tcW w:w="6514" w:type="dxa"/>
            <w:vAlign w:val="center"/>
          </w:tcPr>
          <w:p w14:paraId="2AC67DD3">
            <w:pPr>
              <w:spacing w:line="340" w:lineRule="exact"/>
              <w:rPr>
                <w:rFonts w:hint="eastAsia" w:ascii="宋体" w:hAnsi="宋体"/>
                <w:color w:val="auto"/>
                <w:szCs w:val="21"/>
                <w:highlight w:val="none"/>
                <w:u w:val="single"/>
              </w:rPr>
            </w:pPr>
            <w:r>
              <w:rPr>
                <w:rFonts w:hint="eastAsia"/>
                <w:color w:val="auto"/>
                <w:highlight w:val="none"/>
              </w:rPr>
              <w:t>见资格预审公告</w:t>
            </w:r>
          </w:p>
        </w:tc>
      </w:tr>
      <w:tr w14:paraId="36C70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6AA31A9B">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1.4.2</w:t>
            </w:r>
          </w:p>
        </w:tc>
        <w:tc>
          <w:tcPr>
            <w:tcW w:w="1855" w:type="dxa"/>
            <w:vAlign w:val="center"/>
          </w:tcPr>
          <w:p w14:paraId="58589145">
            <w:pPr>
              <w:snapToGrid w:val="0"/>
              <w:jc w:val="center"/>
              <w:rPr>
                <w:rFonts w:hint="eastAsia" w:ascii="宋体" w:hAnsi="宋体"/>
                <w:color w:val="auto"/>
                <w:szCs w:val="21"/>
                <w:highlight w:val="none"/>
              </w:rPr>
            </w:pPr>
            <w:r>
              <w:rPr>
                <w:rFonts w:hint="eastAsia" w:ascii="宋体" w:hAnsi="宋体"/>
                <w:color w:val="auto"/>
                <w:szCs w:val="21"/>
                <w:highlight w:val="none"/>
              </w:rPr>
              <w:t>是否接受联合体资格预审申请</w:t>
            </w:r>
          </w:p>
        </w:tc>
        <w:tc>
          <w:tcPr>
            <w:tcW w:w="6514" w:type="dxa"/>
            <w:vAlign w:val="center"/>
          </w:tcPr>
          <w:p w14:paraId="13CE8A60">
            <w:pPr>
              <w:snapToGrid w:val="0"/>
              <w:rPr>
                <w:rFonts w:hint="eastAsia" w:ascii="宋体" w:hAnsi="宋体"/>
                <w:color w:val="auto"/>
                <w:szCs w:val="21"/>
                <w:highlight w:val="none"/>
              </w:rPr>
            </w:pPr>
            <w:r>
              <w:rPr>
                <w:color w:val="auto"/>
                <w:szCs w:val="21"/>
                <w:highlight w:val="none"/>
              </w:rPr>
              <w:sym w:font="Wingdings 2" w:char="00A3"/>
            </w:r>
            <w:r>
              <w:rPr>
                <w:rFonts w:hint="eastAsia" w:ascii="宋体" w:hAnsi="宋体"/>
                <w:color w:val="auto"/>
                <w:szCs w:val="21"/>
                <w:highlight w:val="none"/>
              </w:rPr>
              <w:t>不接受</w:t>
            </w:r>
          </w:p>
          <w:p w14:paraId="7AA35A6F">
            <w:pPr>
              <w:snapToGrid w:val="0"/>
              <w:rPr>
                <w:rFonts w:hint="eastAsia" w:ascii="宋体" w:hAnsi="宋体"/>
                <w:color w:val="auto"/>
                <w:szCs w:val="21"/>
                <w:highlight w:val="none"/>
              </w:rPr>
            </w:pPr>
            <w:r>
              <w:rPr>
                <w:color w:val="auto"/>
                <w:szCs w:val="21"/>
                <w:highlight w:val="none"/>
              </w:rPr>
              <w:sym w:font="Wingdings 2" w:char="00A3"/>
            </w:r>
            <w:r>
              <w:rPr>
                <w:rFonts w:hint="eastAsia" w:ascii="宋体" w:hAnsi="宋体"/>
                <w:color w:val="auto"/>
                <w:szCs w:val="21"/>
                <w:highlight w:val="none"/>
              </w:rPr>
              <w:t>接受，应满足下列要求：</w:t>
            </w:r>
            <w:r>
              <w:rPr>
                <w:rFonts w:hint="eastAsia" w:ascii="宋体" w:hAnsi="宋体"/>
                <w:color w:val="auto"/>
                <w:szCs w:val="21"/>
                <w:highlight w:val="none"/>
                <w:u w:val="single"/>
              </w:rPr>
              <w:t xml:space="preserve">                     </w:t>
            </w:r>
          </w:p>
        </w:tc>
      </w:tr>
      <w:tr w14:paraId="37DFF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30173887">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2.2.1</w:t>
            </w:r>
          </w:p>
        </w:tc>
        <w:tc>
          <w:tcPr>
            <w:tcW w:w="1855" w:type="dxa"/>
            <w:vAlign w:val="center"/>
          </w:tcPr>
          <w:p w14:paraId="69E9B6D7">
            <w:pPr>
              <w:snapToGrid w:val="0"/>
              <w:jc w:val="center"/>
              <w:rPr>
                <w:rFonts w:hint="eastAsia" w:ascii="宋体" w:hAnsi="宋体"/>
                <w:color w:val="auto"/>
                <w:szCs w:val="21"/>
                <w:highlight w:val="none"/>
              </w:rPr>
            </w:pPr>
            <w:r>
              <w:rPr>
                <w:rFonts w:hint="eastAsia" w:ascii="宋体" w:hAnsi="宋体"/>
                <w:color w:val="auto"/>
                <w:szCs w:val="21"/>
                <w:highlight w:val="none"/>
              </w:rPr>
              <w:t>申请人要求澄清资格预审文件的截止时间和提问方式</w:t>
            </w:r>
          </w:p>
        </w:tc>
        <w:tc>
          <w:tcPr>
            <w:tcW w:w="6514" w:type="dxa"/>
            <w:vAlign w:val="center"/>
          </w:tcPr>
          <w:p w14:paraId="7616B871">
            <w:pPr>
              <w:snapToGrid w:val="0"/>
              <w:rPr>
                <w:rFonts w:hint="eastAsia" w:ascii="宋体" w:hAnsi="宋体"/>
                <w:color w:val="auto"/>
                <w:szCs w:val="21"/>
                <w:highlight w:val="none"/>
              </w:rPr>
            </w:pPr>
            <w:r>
              <w:rPr>
                <w:rFonts w:hint="eastAsia" w:ascii="宋体" w:hAnsi="宋体"/>
                <w:color w:val="auto"/>
                <w:szCs w:val="21"/>
                <w:highlight w:val="none"/>
              </w:rPr>
              <w:t>截止时间：</w:t>
            </w:r>
            <w:r>
              <w:rPr>
                <w:rFonts w:hint="eastAsia" w:ascii="宋体" w:hAnsi="宋体"/>
                <w:color w:val="auto"/>
                <w:szCs w:val="21"/>
                <w:highlight w:val="none"/>
                <w:u w:val="single"/>
              </w:rPr>
              <w:t>详见外网资格预审公告</w:t>
            </w:r>
            <w:r>
              <w:rPr>
                <w:rFonts w:ascii="宋体" w:hAnsi="宋体"/>
                <w:color w:val="auto"/>
                <w:szCs w:val="21"/>
                <w:highlight w:val="none"/>
                <w:u w:val="single"/>
              </w:rPr>
              <w:t>/</w:t>
            </w:r>
            <w:r>
              <w:rPr>
                <w:rFonts w:hint="eastAsia" w:ascii="宋体" w:hAnsi="宋体"/>
                <w:color w:val="auto"/>
                <w:szCs w:val="21"/>
                <w:highlight w:val="none"/>
                <w:u w:val="single"/>
              </w:rPr>
              <w:t>澄清补充公告</w:t>
            </w:r>
          </w:p>
          <w:p w14:paraId="03572FB0">
            <w:pPr>
              <w:snapToGrid w:val="0"/>
              <w:rPr>
                <w:rFonts w:hint="eastAsia" w:ascii="宋体" w:hAnsi="宋体"/>
                <w:color w:val="auto"/>
                <w:szCs w:val="21"/>
                <w:highlight w:val="none"/>
              </w:rPr>
            </w:pPr>
            <w:r>
              <w:rPr>
                <w:rFonts w:ascii="宋体" w:hAnsi="宋体"/>
                <w:color w:val="auto"/>
                <w:szCs w:val="21"/>
                <w:highlight w:val="none"/>
              </w:rPr>
              <w:t>网络方式,提交至</w:t>
            </w:r>
            <w:r>
              <w:rPr>
                <w:rFonts w:hint="eastAsia" w:ascii="宋体" w:hAnsi="宋体"/>
                <w:color w:val="auto"/>
                <w:szCs w:val="21"/>
                <w:highlight w:val="none"/>
                <w:u w:val="single"/>
              </w:rPr>
              <w:t xml:space="preserve">   电子招标投标</w:t>
            </w:r>
            <w:r>
              <w:rPr>
                <w:rFonts w:ascii="宋体" w:hAnsi="宋体"/>
                <w:color w:val="auto"/>
                <w:szCs w:val="21"/>
                <w:highlight w:val="none"/>
                <w:u w:val="single"/>
              </w:rPr>
              <w:t>交易平台</w:t>
            </w:r>
            <w:r>
              <w:rPr>
                <w:rFonts w:hint="eastAsia" w:ascii="宋体" w:hAnsi="宋体"/>
                <w:color w:val="auto"/>
                <w:szCs w:val="21"/>
                <w:highlight w:val="none"/>
                <w:u w:val="single"/>
              </w:rPr>
              <w:t xml:space="preserve">名称 </w:t>
            </w:r>
            <w:r>
              <w:rPr>
                <w:rFonts w:ascii="宋体" w:hAnsi="宋体"/>
                <w:color w:val="auto"/>
                <w:szCs w:val="21"/>
                <w:highlight w:val="none"/>
                <w:u w:val="single"/>
              </w:rPr>
              <w:t xml:space="preserve">  </w:t>
            </w:r>
          </w:p>
        </w:tc>
      </w:tr>
      <w:tr w14:paraId="24C3D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5C8B9F19">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2.2.2</w:t>
            </w:r>
          </w:p>
        </w:tc>
        <w:tc>
          <w:tcPr>
            <w:tcW w:w="1855" w:type="dxa"/>
            <w:vAlign w:val="center"/>
          </w:tcPr>
          <w:p w14:paraId="4F1A06A2">
            <w:pPr>
              <w:snapToGrid w:val="0"/>
              <w:jc w:val="center"/>
              <w:rPr>
                <w:rFonts w:hint="eastAsia" w:ascii="宋体" w:hAnsi="宋体"/>
                <w:color w:val="auto"/>
                <w:szCs w:val="21"/>
                <w:highlight w:val="none"/>
              </w:rPr>
            </w:pPr>
            <w:r>
              <w:rPr>
                <w:rFonts w:hint="eastAsia" w:ascii="宋体" w:hAnsi="宋体"/>
                <w:color w:val="auto"/>
                <w:szCs w:val="21"/>
                <w:highlight w:val="none"/>
              </w:rPr>
              <w:t>招标人澄清资格预审文件的发布方式</w:t>
            </w:r>
          </w:p>
        </w:tc>
        <w:tc>
          <w:tcPr>
            <w:tcW w:w="6514" w:type="dxa"/>
            <w:vAlign w:val="center"/>
          </w:tcPr>
          <w:p w14:paraId="2112A17B">
            <w:pPr>
              <w:snapToGrid w:val="0"/>
              <w:rPr>
                <w:rFonts w:hint="eastAsia" w:ascii="宋体" w:hAnsi="宋体"/>
                <w:color w:val="auto"/>
                <w:szCs w:val="21"/>
                <w:highlight w:val="none"/>
              </w:rPr>
            </w:pP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color w:val="auto"/>
                <w:highlight w:val="none"/>
                <w:u w:val="single"/>
              </w:rPr>
              <w:t>发布</w:t>
            </w:r>
            <w:r>
              <w:rPr>
                <w:rFonts w:hint="eastAsia"/>
                <w:color w:val="auto"/>
                <w:highlight w:val="none"/>
                <w:u w:val="single"/>
              </w:rPr>
              <w:t>澄清和修改</w:t>
            </w:r>
            <w:r>
              <w:rPr>
                <w:color w:val="auto"/>
                <w:highlight w:val="none"/>
                <w:u w:val="single"/>
              </w:rPr>
              <w:t>的媒介名称</w:t>
            </w:r>
            <w:r>
              <w:rPr>
                <w:rFonts w:hint="eastAsia"/>
                <w:color w:val="auto"/>
                <w:highlight w:val="none"/>
                <w:u w:val="single"/>
              </w:rPr>
              <w:t xml:space="preserve">   </w:t>
            </w:r>
            <w:r>
              <w:rPr>
                <w:color w:val="auto"/>
                <w:szCs w:val="21"/>
                <w:highlight w:val="none"/>
              </w:rPr>
              <w:t>发布</w:t>
            </w:r>
          </w:p>
        </w:tc>
      </w:tr>
      <w:tr w14:paraId="3BD0B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23053456">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2.3.1</w:t>
            </w:r>
          </w:p>
        </w:tc>
        <w:tc>
          <w:tcPr>
            <w:tcW w:w="1855" w:type="dxa"/>
            <w:vAlign w:val="center"/>
          </w:tcPr>
          <w:p w14:paraId="2CC60BE7">
            <w:pPr>
              <w:snapToGrid w:val="0"/>
              <w:jc w:val="center"/>
              <w:rPr>
                <w:rFonts w:hint="eastAsia" w:ascii="宋体" w:hAnsi="宋体"/>
                <w:color w:val="auto"/>
                <w:szCs w:val="21"/>
                <w:highlight w:val="none"/>
              </w:rPr>
            </w:pPr>
            <w:r>
              <w:rPr>
                <w:rFonts w:hint="eastAsia" w:ascii="宋体" w:hAnsi="宋体"/>
                <w:color w:val="auto"/>
                <w:szCs w:val="21"/>
                <w:highlight w:val="none"/>
              </w:rPr>
              <w:t>招标人修改资格预审文件的发布方式</w:t>
            </w:r>
          </w:p>
        </w:tc>
        <w:tc>
          <w:tcPr>
            <w:tcW w:w="6514" w:type="dxa"/>
            <w:vAlign w:val="center"/>
          </w:tcPr>
          <w:p w14:paraId="12AE3507">
            <w:pPr>
              <w:snapToGrid w:val="0"/>
              <w:rPr>
                <w:rFonts w:hint="eastAsia" w:ascii="宋体" w:hAnsi="宋体"/>
                <w:color w:val="auto"/>
                <w:szCs w:val="21"/>
                <w:highlight w:val="none"/>
              </w:rPr>
            </w:pP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w:t>
            </w:r>
            <w:r>
              <w:rPr>
                <w:color w:val="auto"/>
                <w:highlight w:val="none"/>
                <w:u w:val="single"/>
              </w:rPr>
              <w:t>发布</w:t>
            </w:r>
            <w:r>
              <w:rPr>
                <w:rFonts w:hint="eastAsia"/>
                <w:color w:val="auto"/>
                <w:highlight w:val="none"/>
                <w:u w:val="single"/>
              </w:rPr>
              <w:t>澄清和修改</w:t>
            </w:r>
            <w:r>
              <w:rPr>
                <w:color w:val="auto"/>
                <w:highlight w:val="none"/>
                <w:u w:val="single"/>
              </w:rPr>
              <w:t>的媒介名称</w:t>
            </w:r>
            <w:r>
              <w:rPr>
                <w:rFonts w:hint="eastAsia"/>
                <w:color w:val="auto"/>
                <w:highlight w:val="none"/>
                <w:u w:val="single"/>
              </w:rPr>
              <w:t xml:space="preserve">   </w:t>
            </w:r>
            <w:r>
              <w:rPr>
                <w:color w:val="auto"/>
                <w:szCs w:val="21"/>
                <w:highlight w:val="none"/>
              </w:rPr>
              <w:t>发布</w:t>
            </w:r>
          </w:p>
        </w:tc>
      </w:tr>
      <w:tr w14:paraId="700C4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28344A3B">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3.1.1</w:t>
            </w:r>
          </w:p>
        </w:tc>
        <w:tc>
          <w:tcPr>
            <w:tcW w:w="1855" w:type="dxa"/>
            <w:vAlign w:val="center"/>
          </w:tcPr>
          <w:p w14:paraId="201CA27B">
            <w:pPr>
              <w:tabs>
                <w:tab w:val="left" w:pos="1680"/>
              </w:tabs>
              <w:snapToGrid w:val="0"/>
              <w:jc w:val="center"/>
              <w:rPr>
                <w:rFonts w:hint="eastAsia" w:ascii="宋体" w:hAnsi="宋体"/>
                <w:color w:val="auto"/>
                <w:szCs w:val="21"/>
                <w:highlight w:val="none"/>
              </w:rPr>
            </w:pPr>
            <w:r>
              <w:rPr>
                <w:rFonts w:hint="eastAsia" w:ascii="宋体" w:hAnsi="宋体"/>
                <w:color w:val="auto"/>
                <w:szCs w:val="21"/>
                <w:highlight w:val="none"/>
              </w:rPr>
              <w:t>申请人需补充的其他材料</w:t>
            </w:r>
          </w:p>
        </w:tc>
        <w:tc>
          <w:tcPr>
            <w:tcW w:w="6514" w:type="dxa"/>
          </w:tcPr>
          <w:p w14:paraId="05297A34">
            <w:pPr>
              <w:snapToGrid w:val="0"/>
              <w:rPr>
                <w:rFonts w:hint="eastAsia" w:ascii="宋体" w:hAnsi="宋体" w:cs="Arial"/>
                <w:color w:val="auto"/>
                <w:szCs w:val="21"/>
                <w:highlight w:val="none"/>
              </w:rPr>
            </w:pPr>
          </w:p>
        </w:tc>
      </w:tr>
      <w:tr w14:paraId="27CF5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58877ABB">
            <w:pPr>
              <w:tabs>
                <w:tab w:val="left" w:pos="420"/>
              </w:tabs>
              <w:snapToGrid w:val="0"/>
              <w:jc w:val="center"/>
              <w:rPr>
                <w:rFonts w:hint="eastAsia" w:ascii="宋体" w:hAnsi="宋体"/>
                <w:color w:val="auto"/>
                <w:szCs w:val="21"/>
                <w:highlight w:val="none"/>
              </w:rPr>
            </w:pPr>
            <w:r>
              <w:rPr>
                <w:rFonts w:hint="eastAsia" w:ascii="宋体" w:hAnsi="宋体"/>
                <w:color w:val="auto"/>
                <w:szCs w:val="21"/>
                <w:highlight w:val="none"/>
              </w:rPr>
              <w:t>3.3.1</w:t>
            </w:r>
          </w:p>
        </w:tc>
        <w:tc>
          <w:tcPr>
            <w:tcW w:w="1855" w:type="dxa"/>
            <w:vAlign w:val="center"/>
          </w:tcPr>
          <w:p w14:paraId="26AEC08E">
            <w:pPr>
              <w:tabs>
                <w:tab w:val="left" w:pos="1680"/>
              </w:tabs>
              <w:snapToGrid w:val="0"/>
              <w:jc w:val="center"/>
              <w:rPr>
                <w:rFonts w:hint="eastAsia" w:ascii="宋体" w:hAnsi="宋体"/>
                <w:color w:val="auto"/>
                <w:szCs w:val="21"/>
                <w:highlight w:val="none"/>
              </w:rPr>
            </w:pPr>
            <w:r>
              <w:rPr>
                <w:rFonts w:hint="eastAsia" w:ascii="宋体" w:hAnsi="宋体"/>
                <w:color w:val="auto"/>
                <w:szCs w:val="21"/>
                <w:highlight w:val="none"/>
              </w:rPr>
              <w:t>签字和（或）盖章要求</w:t>
            </w:r>
          </w:p>
        </w:tc>
        <w:tc>
          <w:tcPr>
            <w:tcW w:w="6514" w:type="dxa"/>
          </w:tcPr>
          <w:p w14:paraId="56FF0C2B">
            <w:pPr>
              <w:snapToGrid w:val="0"/>
              <w:jc w:val="left"/>
              <w:rPr>
                <w:color w:val="auto"/>
                <w:szCs w:val="21"/>
                <w:highlight w:val="none"/>
              </w:rPr>
            </w:pPr>
            <w:r>
              <w:rPr>
                <w:rFonts w:hint="eastAsia"/>
                <w:color w:val="auto"/>
                <w:szCs w:val="21"/>
                <w:highlight w:val="none"/>
              </w:rPr>
              <w:t>1.申请人须同时在资格预审申请文件封面加盖申请人电子公章（法人名称）、法定代表人签字或盖章、授权委托代理人（如委托）签字或盖章。以联合体形式提出资格预审申请的，资格预审申请文件封面须同时加盖联合体各方单位电子公章（法人名称）、法定代表人签字或盖章、授权委托代理人（如委托）签字或盖章。</w:t>
            </w:r>
          </w:p>
          <w:p w14:paraId="5C3AFA7A">
            <w:pPr>
              <w:snapToGrid w:val="0"/>
              <w:rPr>
                <w:rFonts w:hint="eastAsia" w:ascii="宋体" w:hAnsi="宋体"/>
                <w:color w:val="auto"/>
                <w:szCs w:val="21"/>
                <w:highlight w:val="none"/>
              </w:rPr>
            </w:pPr>
            <w:r>
              <w:rPr>
                <w:rFonts w:hint="eastAsia"/>
                <w:color w:val="auto"/>
                <w:szCs w:val="21"/>
                <w:highlight w:val="none"/>
              </w:rPr>
              <w:t>2.申请人满足上述封面盖章要求的，资格预审文件中所有要求盖章或签字的地方均视为已按要求盖章或签字，包括资格预审申请函、授权委托书、法定代表人身份证明和联合体协议书等。资格审查委员会不得因封面以外未盖章作出不能通过资格预审的评审结论。</w:t>
            </w:r>
          </w:p>
        </w:tc>
      </w:tr>
      <w:tr w14:paraId="357FB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7443C16F">
            <w:pPr>
              <w:snapToGrid w:val="0"/>
              <w:jc w:val="center"/>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p>
        </w:tc>
        <w:tc>
          <w:tcPr>
            <w:tcW w:w="1855" w:type="dxa"/>
            <w:vAlign w:val="center"/>
          </w:tcPr>
          <w:p w14:paraId="41A08E56">
            <w:pPr>
              <w:snapToGrid w:val="0"/>
              <w:jc w:val="center"/>
              <w:rPr>
                <w:rFonts w:hint="eastAsia" w:ascii="宋体" w:hAnsi="宋体"/>
                <w:color w:val="auto"/>
                <w:szCs w:val="21"/>
                <w:highlight w:val="none"/>
              </w:rPr>
            </w:pPr>
            <w:r>
              <w:rPr>
                <w:rFonts w:hint="eastAsia" w:ascii="宋体" w:hAnsi="宋体"/>
                <w:color w:val="auto"/>
                <w:szCs w:val="21"/>
                <w:highlight w:val="none"/>
              </w:rPr>
              <w:t>资格预审申请文件加密要求</w:t>
            </w:r>
          </w:p>
        </w:tc>
        <w:tc>
          <w:tcPr>
            <w:tcW w:w="6514" w:type="dxa"/>
            <w:vAlign w:val="center"/>
          </w:tcPr>
          <w:p w14:paraId="36238ED3">
            <w:pPr>
              <w:snapToGrid w:val="0"/>
              <w:rPr>
                <w:rFonts w:hint="eastAsia" w:ascii="宋体" w:hAnsi="宋体"/>
                <w:color w:val="auto"/>
                <w:szCs w:val="21"/>
                <w:highlight w:val="none"/>
                <w:u w:val="single"/>
              </w:rPr>
            </w:pPr>
            <w:r>
              <w:rPr>
                <w:rFonts w:hint="eastAsia" w:ascii="宋体" w:hAnsi="宋体"/>
                <w:bCs/>
                <w:color w:val="auto"/>
                <w:szCs w:val="21"/>
                <w:highlight w:val="none"/>
              </w:rPr>
              <w:t>电子交易系统自动加密</w:t>
            </w:r>
          </w:p>
        </w:tc>
      </w:tr>
      <w:tr w14:paraId="0C7EE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469AD87D">
            <w:pPr>
              <w:snapToGrid w:val="0"/>
              <w:jc w:val="center"/>
              <w:rPr>
                <w:rFonts w:hint="eastAsia" w:ascii="宋体" w:hAnsi="宋体"/>
                <w:color w:val="auto"/>
                <w:szCs w:val="21"/>
                <w:highlight w:val="none"/>
              </w:rPr>
            </w:pPr>
            <w:r>
              <w:rPr>
                <w:rFonts w:hint="eastAsia" w:ascii="宋体" w:hAnsi="宋体"/>
                <w:color w:val="auto"/>
                <w:szCs w:val="21"/>
                <w:highlight w:val="none"/>
              </w:rPr>
              <w:t>4.2.1</w:t>
            </w:r>
          </w:p>
        </w:tc>
        <w:tc>
          <w:tcPr>
            <w:tcW w:w="1855" w:type="dxa"/>
            <w:vAlign w:val="center"/>
          </w:tcPr>
          <w:p w14:paraId="237E9B6D">
            <w:pPr>
              <w:snapToGrid w:val="0"/>
              <w:jc w:val="center"/>
              <w:rPr>
                <w:rFonts w:hint="eastAsia" w:ascii="宋体" w:hAnsi="宋体"/>
                <w:color w:val="auto"/>
                <w:szCs w:val="21"/>
                <w:highlight w:val="none"/>
              </w:rPr>
            </w:pPr>
            <w:r>
              <w:rPr>
                <w:rFonts w:hint="eastAsia" w:ascii="宋体" w:hAnsi="宋体"/>
                <w:color w:val="auto"/>
                <w:szCs w:val="21"/>
                <w:highlight w:val="none"/>
              </w:rPr>
              <w:t>递交资格预审申请文件的截止时间</w:t>
            </w:r>
          </w:p>
        </w:tc>
        <w:tc>
          <w:tcPr>
            <w:tcW w:w="6514" w:type="dxa"/>
            <w:vAlign w:val="center"/>
          </w:tcPr>
          <w:p w14:paraId="03A73013">
            <w:pPr>
              <w:snapToGrid w:val="0"/>
              <w:rPr>
                <w:rFonts w:hint="eastAsia" w:ascii="宋体" w:hAnsi="宋体"/>
                <w:color w:val="auto"/>
                <w:szCs w:val="21"/>
                <w:highlight w:val="none"/>
              </w:rPr>
            </w:pPr>
            <w:r>
              <w:rPr>
                <w:rFonts w:hint="eastAsia" w:ascii="宋体" w:hAnsi="宋体"/>
                <w:color w:val="auto"/>
                <w:szCs w:val="21"/>
                <w:highlight w:val="none"/>
                <w:u w:val="single"/>
              </w:rPr>
              <w:t>详见外网资格预审公告</w:t>
            </w:r>
            <w:r>
              <w:rPr>
                <w:rFonts w:ascii="宋体" w:hAnsi="宋体"/>
                <w:color w:val="auto"/>
                <w:szCs w:val="21"/>
                <w:highlight w:val="none"/>
                <w:u w:val="single"/>
              </w:rPr>
              <w:t>/</w:t>
            </w:r>
            <w:r>
              <w:rPr>
                <w:rFonts w:hint="eastAsia" w:ascii="宋体" w:hAnsi="宋体"/>
                <w:color w:val="auto"/>
                <w:szCs w:val="21"/>
                <w:highlight w:val="none"/>
                <w:u w:val="single"/>
              </w:rPr>
              <w:t>澄清补充公告</w:t>
            </w:r>
          </w:p>
        </w:tc>
      </w:tr>
      <w:tr w14:paraId="6AE05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4E4C4182">
            <w:pPr>
              <w:snapToGrid w:val="0"/>
              <w:jc w:val="center"/>
              <w:rPr>
                <w:rFonts w:hint="eastAsia" w:ascii="宋体" w:hAnsi="宋体"/>
                <w:color w:val="auto"/>
                <w:szCs w:val="21"/>
                <w:highlight w:val="none"/>
              </w:rPr>
            </w:pPr>
            <w:r>
              <w:rPr>
                <w:rFonts w:hint="eastAsia" w:ascii="宋体" w:hAnsi="宋体"/>
                <w:color w:val="auto"/>
                <w:szCs w:val="21"/>
                <w:highlight w:val="none"/>
              </w:rPr>
              <w:t>4.2.2</w:t>
            </w:r>
          </w:p>
        </w:tc>
        <w:tc>
          <w:tcPr>
            <w:tcW w:w="1855" w:type="dxa"/>
            <w:vAlign w:val="center"/>
          </w:tcPr>
          <w:p w14:paraId="6D54D351">
            <w:pPr>
              <w:snapToGrid w:val="0"/>
              <w:jc w:val="center"/>
              <w:rPr>
                <w:rFonts w:hint="eastAsia" w:ascii="宋体" w:hAnsi="宋体"/>
                <w:color w:val="auto"/>
                <w:szCs w:val="21"/>
                <w:highlight w:val="none"/>
              </w:rPr>
            </w:pPr>
            <w:r>
              <w:rPr>
                <w:rFonts w:hint="eastAsia" w:ascii="宋体" w:hAnsi="宋体"/>
                <w:color w:val="auto"/>
                <w:szCs w:val="21"/>
                <w:highlight w:val="none"/>
              </w:rPr>
              <w:t>递交资格预审申请文件的地点</w:t>
            </w:r>
          </w:p>
        </w:tc>
        <w:tc>
          <w:tcPr>
            <w:tcW w:w="6514" w:type="dxa"/>
            <w:vAlign w:val="center"/>
          </w:tcPr>
          <w:p w14:paraId="5BE53889">
            <w:pPr>
              <w:snapToGrid w:val="0"/>
              <w:rPr>
                <w:rFonts w:hint="eastAsia" w:ascii="宋体" w:hAnsi="宋体"/>
                <w:color w:val="auto"/>
                <w:szCs w:val="21"/>
                <w:highlight w:val="none"/>
              </w:rPr>
            </w:pPr>
            <w:r>
              <w:rPr>
                <w:rFonts w:hint="eastAsia" w:ascii="宋体" w:hAnsi="宋体" w:cs="仿宋_GB2312"/>
                <w:color w:val="auto"/>
                <w:szCs w:val="21"/>
                <w:highlight w:val="none"/>
              </w:rPr>
              <w:t>电</w:t>
            </w:r>
            <w:r>
              <w:rPr>
                <w:rFonts w:hint="eastAsia" w:ascii="宋体" w:hAnsi="宋体"/>
                <w:color w:val="auto"/>
                <w:szCs w:val="21"/>
                <w:highlight w:val="none"/>
              </w:rPr>
              <w:t>子资格预审申请文件递交至</w:t>
            </w:r>
            <w:r>
              <w:rPr>
                <w:rFonts w:hint="eastAsia" w:ascii="宋体" w:hAnsi="宋体"/>
                <w:color w:val="auto"/>
                <w:szCs w:val="21"/>
                <w:highlight w:val="none"/>
                <w:u w:val="single"/>
              </w:rPr>
              <w:t xml:space="preserve">  电子招标投标交易平台名称  </w:t>
            </w:r>
          </w:p>
        </w:tc>
      </w:tr>
      <w:tr w14:paraId="54BCC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1C484645">
            <w:pPr>
              <w:snapToGrid w:val="0"/>
              <w:jc w:val="center"/>
              <w:rPr>
                <w:rFonts w:hint="eastAsia" w:ascii="宋体" w:hAnsi="宋体"/>
                <w:color w:val="auto"/>
                <w:szCs w:val="21"/>
                <w:highlight w:val="none"/>
              </w:rPr>
            </w:pPr>
            <w:r>
              <w:rPr>
                <w:rFonts w:hint="eastAsia" w:ascii="宋体" w:hAnsi="宋体"/>
                <w:color w:val="auto"/>
                <w:szCs w:val="21"/>
                <w:highlight w:val="none"/>
              </w:rPr>
              <w:t>4.2.3</w:t>
            </w:r>
          </w:p>
        </w:tc>
        <w:tc>
          <w:tcPr>
            <w:tcW w:w="1855" w:type="dxa"/>
            <w:vAlign w:val="center"/>
          </w:tcPr>
          <w:p w14:paraId="1215FE73">
            <w:pPr>
              <w:snapToGrid w:val="0"/>
              <w:jc w:val="center"/>
              <w:rPr>
                <w:rFonts w:hint="eastAsia" w:ascii="宋体" w:hAnsi="宋体"/>
                <w:color w:val="auto"/>
                <w:szCs w:val="21"/>
                <w:highlight w:val="none"/>
              </w:rPr>
            </w:pPr>
            <w:r>
              <w:rPr>
                <w:rFonts w:hint="eastAsia" w:ascii="宋体" w:hAnsi="宋体"/>
                <w:color w:val="auto"/>
                <w:szCs w:val="21"/>
                <w:highlight w:val="none"/>
              </w:rPr>
              <w:t>是否退还资格预审申请文件</w:t>
            </w:r>
          </w:p>
        </w:tc>
        <w:tc>
          <w:tcPr>
            <w:tcW w:w="6514" w:type="dxa"/>
            <w:vAlign w:val="center"/>
          </w:tcPr>
          <w:p w14:paraId="4C084E57">
            <w:pPr>
              <w:snapToGrid w:val="0"/>
              <w:rPr>
                <w:rFonts w:hint="eastAsia" w:ascii="宋体" w:hAnsi="宋体"/>
                <w:color w:val="auto"/>
                <w:szCs w:val="21"/>
                <w:highlight w:val="none"/>
              </w:rPr>
            </w:pPr>
            <w:r>
              <w:rPr>
                <w:rFonts w:hint="eastAsia" w:ascii="宋体" w:hAnsi="宋体"/>
                <w:color w:val="auto"/>
                <w:szCs w:val="21"/>
                <w:highlight w:val="none"/>
              </w:rPr>
              <w:t xml:space="preserve">□否         </w:t>
            </w:r>
          </w:p>
          <w:p w14:paraId="0813D8BB">
            <w:pPr>
              <w:snapToGrid w:val="0"/>
              <w:rPr>
                <w:rFonts w:hint="eastAsia" w:ascii="宋体" w:hAnsi="宋体"/>
                <w:color w:val="auto"/>
                <w:szCs w:val="21"/>
                <w:highlight w:val="none"/>
              </w:rPr>
            </w:pPr>
            <w:r>
              <w:rPr>
                <w:rFonts w:hint="eastAsia" w:ascii="宋体" w:hAnsi="宋体"/>
                <w:color w:val="auto"/>
                <w:szCs w:val="21"/>
                <w:highlight w:val="none"/>
              </w:rPr>
              <w:t>□是，退还时间：</w:t>
            </w:r>
            <w:r>
              <w:rPr>
                <w:rFonts w:hint="eastAsia" w:ascii="宋体" w:hAnsi="宋体"/>
                <w:color w:val="auto"/>
                <w:szCs w:val="21"/>
                <w:highlight w:val="none"/>
                <w:u w:val="single"/>
              </w:rPr>
              <w:t xml:space="preserve">            </w:t>
            </w:r>
          </w:p>
        </w:tc>
      </w:tr>
      <w:tr w14:paraId="2D0B6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02D20C5C">
            <w:pPr>
              <w:snapToGrid w:val="0"/>
              <w:jc w:val="center"/>
              <w:rPr>
                <w:rFonts w:hint="eastAsia" w:ascii="宋体" w:hAnsi="宋体"/>
                <w:color w:val="auto"/>
                <w:szCs w:val="21"/>
                <w:highlight w:val="none"/>
              </w:rPr>
            </w:pPr>
            <w:r>
              <w:rPr>
                <w:rFonts w:hint="eastAsia" w:ascii="宋体" w:hAnsi="宋体"/>
                <w:color w:val="auto"/>
                <w:szCs w:val="21"/>
                <w:highlight w:val="none"/>
              </w:rPr>
              <w:t>5.1.2</w:t>
            </w:r>
          </w:p>
        </w:tc>
        <w:tc>
          <w:tcPr>
            <w:tcW w:w="1855" w:type="dxa"/>
            <w:vAlign w:val="center"/>
          </w:tcPr>
          <w:p w14:paraId="39B3A939">
            <w:pPr>
              <w:snapToGrid w:val="0"/>
              <w:jc w:val="center"/>
              <w:rPr>
                <w:rFonts w:hint="eastAsia" w:ascii="宋体" w:hAnsi="宋体"/>
                <w:color w:val="auto"/>
                <w:szCs w:val="21"/>
                <w:highlight w:val="none"/>
              </w:rPr>
            </w:pPr>
            <w:r>
              <w:rPr>
                <w:rFonts w:hint="eastAsia" w:ascii="宋体" w:hAnsi="宋体"/>
                <w:color w:val="auto"/>
                <w:szCs w:val="21"/>
                <w:highlight w:val="none"/>
              </w:rPr>
              <w:t>资格审查委员会的组建</w:t>
            </w:r>
          </w:p>
        </w:tc>
        <w:tc>
          <w:tcPr>
            <w:tcW w:w="6514" w:type="dxa"/>
            <w:vAlign w:val="center"/>
          </w:tcPr>
          <w:p w14:paraId="67E5243F">
            <w:pPr>
              <w:rPr>
                <w:color w:val="auto"/>
                <w:szCs w:val="21"/>
                <w:highlight w:val="none"/>
              </w:rPr>
            </w:pPr>
            <w:r>
              <w:rPr>
                <w:rFonts w:hint="eastAsia" w:ascii="宋体" w:hAnsi="宋体"/>
                <w:color w:val="auto"/>
                <w:szCs w:val="21"/>
                <w:highlight w:val="none"/>
              </w:rPr>
              <w:t>资格审查委员会</w:t>
            </w:r>
            <w:r>
              <w:rPr>
                <w:rFonts w:hint="eastAsia"/>
                <w:color w:val="auto"/>
                <w:szCs w:val="21"/>
                <w:highlight w:val="none"/>
              </w:rPr>
              <w:t>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人</w:t>
            </w:r>
            <w:r>
              <w:rPr>
                <w:rFonts w:hint="eastAsia"/>
                <w:color w:val="auto"/>
                <w:szCs w:val="21"/>
                <w:highlight w:val="none"/>
              </w:rPr>
              <w:t>或以上单数，</w:t>
            </w:r>
            <w:r>
              <w:rPr>
                <w:rFonts w:ascii="Calibri" w:hAnsi="Calibri" w:cs="Calibri"/>
                <w:color w:val="auto"/>
                <w:szCs w:val="21"/>
                <w:highlight w:val="none"/>
              </w:rPr>
              <w:t>其中：招标人代表</w:t>
            </w:r>
            <w:r>
              <w:rPr>
                <w:rFonts w:ascii="Calibri" w:hAnsi="Calibri" w:cs="Calibri"/>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w:t>
            </w:r>
          </w:p>
          <w:p w14:paraId="4F0D08FE">
            <w:pPr>
              <w:snapToGrid w:val="0"/>
              <w:rPr>
                <w:rFonts w:hint="eastAsia" w:ascii="宋体" w:hAnsi="宋体"/>
                <w:color w:val="auto"/>
                <w:szCs w:val="21"/>
                <w:highlight w:val="none"/>
              </w:rPr>
            </w:pPr>
            <w:r>
              <w:rPr>
                <w:rFonts w:hint="eastAsia" w:ascii="宋体" w:hAnsi="宋体"/>
                <w:color w:val="auto"/>
                <w:szCs w:val="21"/>
                <w:highlight w:val="none"/>
              </w:rPr>
              <w:t>资格审查委员会</w:t>
            </w:r>
            <w:r>
              <w:rPr>
                <w:rFonts w:hint="eastAsia"/>
                <w:color w:val="auto"/>
                <w:szCs w:val="21"/>
                <w:highlight w:val="none"/>
              </w:rPr>
              <w:t>专家确定方式：</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p>
        </w:tc>
      </w:tr>
      <w:tr w14:paraId="21B93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2AE9A2C1">
            <w:pPr>
              <w:snapToGrid w:val="0"/>
              <w:jc w:val="center"/>
              <w:rPr>
                <w:rFonts w:hint="eastAsia" w:ascii="宋体" w:hAnsi="宋体"/>
                <w:color w:val="auto"/>
                <w:szCs w:val="21"/>
                <w:highlight w:val="none"/>
              </w:rPr>
            </w:pPr>
            <w:r>
              <w:rPr>
                <w:rFonts w:hint="eastAsia" w:ascii="宋体" w:hAnsi="宋体"/>
                <w:color w:val="auto"/>
                <w:szCs w:val="21"/>
                <w:highlight w:val="none"/>
              </w:rPr>
              <w:t>5.2</w:t>
            </w:r>
          </w:p>
        </w:tc>
        <w:tc>
          <w:tcPr>
            <w:tcW w:w="1855" w:type="dxa"/>
            <w:vAlign w:val="center"/>
          </w:tcPr>
          <w:p w14:paraId="7BA1F4CC">
            <w:pPr>
              <w:snapToGrid w:val="0"/>
              <w:jc w:val="center"/>
              <w:rPr>
                <w:rFonts w:hint="eastAsia" w:ascii="宋体" w:hAnsi="宋体"/>
                <w:color w:val="auto"/>
                <w:szCs w:val="21"/>
                <w:highlight w:val="none"/>
              </w:rPr>
            </w:pPr>
            <w:r>
              <w:rPr>
                <w:rFonts w:hint="eastAsia" w:ascii="宋体" w:hAnsi="宋体"/>
                <w:color w:val="auto"/>
                <w:szCs w:val="21"/>
                <w:highlight w:val="none"/>
              </w:rPr>
              <w:t>资格审查方法</w:t>
            </w:r>
          </w:p>
        </w:tc>
        <w:tc>
          <w:tcPr>
            <w:tcW w:w="6514" w:type="dxa"/>
            <w:vAlign w:val="center"/>
          </w:tcPr>
          <w:p w14:paraId="784E4E78">
            <w:pPr>
              <w:snapToGrid w:val="0"/>
              <w:rPr>
                <w:rFonts w:hint="eastAsia" w:ascii="宋体" w:hAnsi="宋体"/>
                <w:color w:val="auto"/>
                <w:szCs w:val="21"/>
                <w:highlight w:val="none"/>
                <w:u w:val="single"/>
              </w:rPr>
            </w:pPr>
            <w:r>
              <w:rPr>
                <w:rFonts w:hint="eastAsia" w:ascii="宋体" w:hAnsi="宋体"/>
                <w:color w:val="auto"/>
                <w:szCs w:val="21"/>
                <w:highlight w:val="none"/>
              </w:rPr>
              <w:t>见资格预审公告</w:t>
            </w:r>
          </w:p>
        </w:tc>
      </w:tr>
      <w:tr w14:paraId="67D18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6084F7DB">
            <w:pPr>
              <w:snapToGrid w:val="0"/>
              <w:jc w:val="center"/>
              <w:rPr>
                <w:rFonts w:hint="eastAsia" w:ascii="宋体" w:hAnsi="宋体"/>
                <w:color w:val="auto"/>
                <w:szCs w:val="21"/>
                <w:highlight w:val="none"/>
              </w:rPr>
            </w:pPr>
            <w:r>
              <w:rPr>
                <w:rFonts w:hint="eastAsia" w:ascii="宋体" w:hAnsi="宋体"/>
                <w:color w:val="auto"/>
                <w:szCs w:val="21"/>
                <w:highlight w:val="none"/>
              </w:rPr>
              <w:t>6.1</w:t>
            </w:r>
          </w:p>
        </w:tc>
        <w:tc>
          <w:tcPr>
            <w:tcW w:w="1855" w:type="dxa"/>
            <w:vAlign w:val="center"/>
          </w:tcPr>
          <w:p w14:paraId="5FCF0A89">
            <w:pPr>
              <w:snapToGrid w:val="0"/>
              <w:jc w:val="center"/>
              <w:rPr>
                <w:rFonts w:hint="eastAsia" w:ascii="宋体" w:hAnsi="宋体"/>
                <w:color w:val="auto"/>
                <w:szCs w:val="21"/>
                <w:highlight w:val="none"/>
              </w:rPr>
            </w:pPr>
            <w:r>
              <w:rPr>
                <w:rFonts w:hint="eastAsia" w:ascii="宋体" w:hAnsi="宋体"/>
                <w:color w:val="auto"/>
                <w:szCs w:val="21"/>
                <w:highlight w:val="none"/>
              </w:rPr>
              <w:t>资格预审结果的通知方式</w:t>
            </w:r>
          </w:p>
        </w:tc>
        <w:tc>
          <w:tcPr>
            <w:tcW w:w="6514" w:type="dxa"/>
            <w:vAlign w:val="center"/>
          </w:tcPr>
          <w:p w14:paraId="76DA9D2E">
            <w:pPr>
              <w:snapToGrid w:val="0"/>
              <w:rPr>
                <w:rFonts w:hint="eastAsia" w:ascii="宋体" w:hAnsi="宋体"/>
                <w:color w:val="auto"/>
                <w:szCs w:val="21"/>
                <w:highlight w:val="none"/>
              </w:rPr>
            </w:pPr>
            <w:r>
              <w:rPr>
                <w:rFonts w:hint="eastAsia" w:ascii="宋体" w:hAnsi="宋体"/>
                <w:color w:val="auto"/>
                <w:szCs w:val="21"/>
                <w:highlight w:val="none"/>
              </w:rPr>
              <w:t>申请人登录</w:t>
            </w:r>
            <w:r>
              <w:rPr>
                <w:rFonts w:hint="eastAsia" w:ascii="宋体" w:hAnsi="宋体"/>
                <w:color w:val="auto"/>
                <w:szCs w:val="21"/>
                <w:highlight w:val="none"/>
                <w:u w:val="single"/>
              </w:rPr>
              <w:t xml:space="preserve">   电子招标投标交易平台名称  </w:t>
            </w:r>
            <w:r>
              <w:rPr>
                <w:rFonts w:hint="eastAsia" w:ascii="宋体" w:hAnsi="宋体"/>
                <w:color w:val="auto"/>
                <w:szCs w:val="21"/>
                <w:highlight w:val="none"/>
              </w:rPr>
              <w:t>自行查阅</w:t>
            </w:r>
          </w:p>
        </w:tc>
      </w:tr>
      <w:tr w14:paraId="541D2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0C24A978">
            <w:pPr>
              <w:snapToGrid w:val="0"/>
              <w:jc w:val="center"/>
              <w:rPr>
                <w:rFonts w:hint="eastAsia" w:ascii="宋体" w:hAnsi="宋体"/>
                <w:color w:val="auto"/>
                <w:szCs w:val="21"/>
                <w:highlight w:val="none"/>
              </w:rPr>
            </w:pPr>
            <w:r>
              <w:rPr>
                <w:rFonts w:hint="eastAsia" w:ascii="宋体" w:hAnsi="宋体"/>
                <w:color w:val="auto"/>
                <w:szCs w:val="21"/>
                <w:highlight w:val="none"/>
              </w:rPr>
              <w:t>9</w:t>
            </w:r>
          </w:p>
        </w:tc>
        <w:tc>
          <w:tcPr>
            <w:tcW w:w="8369" w:type="dxa"/>
            <w:gridSpan w:val="2"/>
            <w:vAlign w:val="center"/>
          </w:tcPr>
          <w:p w14:paraId="76DC36F7">
            <w:pPr>
              <w:snapToGrid w:val="0"/>
              <w:jc w:val="left"/>
              <w:rPr>
                <w:rFonts w:hint="eastAsia" w:ascii="宋体" w:hAnsi="宋体"/>
                <w:b/>
                <w:color w:val="auto"/>
                <w:szCs w:val="21"/>
                <w:highlight w:val="none"/>
              </w:rPr>
            </w:pPr>
            <w:r>
              <w:rPr>
                <w:rFonts w:hint="eastAsia" w:ascii="宋体" w:hAnsi="宋体"/>
                <w:b/>
                <w:color w:val="auto"/>
                <w:szCs w:val="21"/>
                <w:highlight w:val="none"/>
              </w:rPr>
              <w:t>需要补充的其他内容</w:t>
            </w:r>
          </w:p>
        </w:tc>
      </w:tr>
      <w:tr w14:paraId="7D8B4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21518F14">
            <w:pPr>
              <w:snapToGrid w:val="0"/>
              <w:jc w:val="center"/>
              <w:rPr>
                <w:rFonts w:hint="eastAsia" w:ascii="宋体" w:hAnsi="宋体"/>
                <w:color w:val="auto"/>
                <w:szCs w:val="21"/>
                <w:highlight w:val="none"/>
              </w:rPr>
            </w:pPr>
            <w:r>
              <w:rPr>
                <w:rFonts w:hint="eastAsia" w:ascii="宋体" w:hAnsi="宋体"/>
                <w:color w:val="auto"/>
                <w:szCs w:val="21"/>
                <w:highlight w:val="none"/>
              </w:rPr>
              <w:t>9.1</w:t>
            </w:r>
          </w:p>
        </w:tc>
        <w:tc>
          <w:tcPr>
            <w:tcW w:w="1855" w:type="dxa"/>
            <w:tcBorders>
              <w:right w:val="single" w:color="auto" w:sz="4" w:space="0"/>
            </w:tcBorders>
            <w:vAlign w:val="center"/>
          </w:tcPr>
          <w:p w14:paraId="5DA15516">
            <w:pPr>
              <w:jc w:val="center"/>
              <w:rPr>
                <w:bCs/>
                <w:color w:val="auto"/>
                <w:szCs w:val="21"/>
                <w:highlight w:val="none"/>
              </w:rPr>
            </w:pPr>
            <w:r>
              <w:rPr>
                <w:rFonts w:hint="eastAsia"/>
                <w:color w:val="auto"/>
                <w:szCs w:val="21"/>
                <w:highlight w:val="none"/>
              </w:rPr>
              <w:t>资格要求的类</w:t>
            </w:r>
            <w:r>
              <w:rPr>
                <w:color w:val="auto"/>
                <w:szCs w:val="21"/>
                <w:highlight w:val="none"/>
              </w:rPr>
              <w:t>似工程业绩</w:t>
            </w:r>
            <w:r>
              <w:rPr>
                <w:rFonts w:hint="eastAsia"/>
                <w:color w:val="auto"/>
                <w:szCs w:val="21"/>
                <w:highlight w:val="none"/>
              </w:rPr>
              <w:t>、加分要求的类似工程业绩</w:t>
            </w:r>
          </w:p>
        </w:tc>
        <w:tc>
          <w:tcPr>
            <w:tcW w:w="6514" w:type="dxa"/>
            <w:tcBorders>
              <w:left w:val="single" w:color="auto" w:sz="4" w:space="0"/>
            </w:tcBorders>
            <w:vAlign w:val="center"/>
          </w:tcPr>
          <w:p w14:paraId="4AFE1BEB">
            <w:pPr>
              <w:rPr>
                <w:rFonts w:ascii="Calibri" w:hAnsi="Calibri" w:cs="Calibri"/>
                <w:b/>
                <w:bCs/>
                <w:color w:val="auto"/>
                <w:szCs w:val="21"/>
                <w:highlight w:val="none"/>
              </w:rPr>
            </w:pPr>
            <w:r>
              <w:rPr>
                <w:rFonts w:ascii="Calibri" w:hAnsi="Calibri" w:cs="Calibri"/>
                <w:b/>
                <w:bCs/>
                <w:color w:val="auto"/>
                <w:szCs w:val="21"/>
                <w:highlight w:val="none"/>
              </w:rPr>
              <w:t>1.资格</w:t>
            </w:r>
            <w:r>
              <w:rPr>
                <w:rFonts w:hint="eastAsia" w:ascii="Calibri" w:hAnsi="Calibri" w:cs="Calibri"/>
                <w:b/>
                <w:bCs/>
                <w:color w:val="auto"/>
                <w:szCs w:val="21"/>
                <w:highlight w:val="none"/>
              </w:rPr>
              <w:t>要求的类似工程业绩</w:t>
            </w:r>
            <w:r>
              <w:rPr>
                <w:rFonts w:ascii="Calibri" w:hAnsi="Calibri" w:cs="Calibri"/>
                <w:b/>
                <w:bCs/>
                <w:color w:val="auto"/>
                <w:szCs w:val="21"/>
                <w:highlight w:val="none"/>
              </w:rPr>
              <w:t>：</w:t>
            </w:r>
          </w:p>
          <w:p w14:paraId="6C941A84">
            <w:pPr>
              <w:rPr>
                <w:rFonts w:ascii="Calibri" w:hAnsi="Calibri" w:cs="Calibri"/>
                <w:color w:val="auto"/>
                <w:szCs w:val="21"/>
                <w:highlight w:val="none"/>
              </w:rPr>
            </w:pPr>
            <w:r>
              <w:rPr>
                <w:rFonts w:hint="eastAsia" w:ascii="Calibri" w:hAnsi="Calibri" w:cs="Calibri"/>
                <w:color w:val="auto"/>
                <w:szCs w:val="21"/>
                <w:highlight w:val="none"/>
              </w:rPr>
              <w:t>1.1申请人类似工程业绩：</w:t>
            </w:r>
          </w:p>
          <w:p w14:paraId="4198F496">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不要求类似工程业绩</w:t>
            </w:r>
          </w:p>
          <w:p w14:paraId="0BA96AFF">
            <w:pPr>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招标人选择的业绩牵引指标项+      规模+工程内容（或工程类别） 的</w:t>
            </w:r>
            <w:r>
              <w:rPr>
                <w:rFonts w:hint="eastAsia"/>
                <w:color w:val="auto"/>
                <w:szCs w:val="21"/>
                <w:highlight w:val="none"/>
              </w:rPr>
              <w:t>施工业绩。（类似工程业绩牵引指标规模不高于招标项目选择指标或最高投标限价的50%，年限要求一般为近3年，轨道交通项目可放宽至5年。）</w:t>
            </w:r>
          </w:p>
          <w:p w14:paraId="7DEE2B46">
            <w:pPr>
              <w:rPr>
                <w:rFonts w:ascii="Calibri" w:hAnsi="Calibri" w:cs="Calibri"/>
                <w:color w:val="auto"/>
                <w:szCs w:val="21"/>
                <w:highlight w:val="none"/>
              </w:rPr>
            </w:pPr>
            <w:r>
              <w:rPr>
                <w:rFonts w:hint="eastAsia" w:ascii="Calibri" w:hAnsi="Calibri" w:cs="Calibri"/>
                <w:color w:val="auto"/>
                <w:szCs w:val="21"/>
                <w:highlight w:val="none"/>
              </w:rPr>
              <w:t>1.2拟任项目经理类似工程业绩：</w:t>
            </w:r>
          </w:p>
          <w:p w14:paraId="5EF8D29B">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不要求类似工程业绩</w:t>
            </w:r>
          </w:p>
          <w:p w14:paraId="026067F4">
            <w:pPr>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招标人选择的业绩牵引指标项+      规模+工程内容（或工程类别） 的</w:t>
            </w:r>
            <w:r>
              <w:rPr>
                <w:rFonts w:hint="eastAsia"/>
                <w:color w:val="auto"/>
                <w:szCs w:val="21"/>
                <w:highlight w:val="none"/>
              </w:rPr>
              <w:t>施工业绩。（类似工程业绩牵引指标规模不高于招标项目选择指标或最高投标限价的50%，年限要求一般为近3年，轨道交通项目可放宽至5年。）</w:t>
            </w:r>
          </w:p>
          <w:p w14:paraId="3A9F0A69">
            <w:pPr>
              <w:rPr>
                <w:rFonts w:ascii="Calibri" w:hAnsi="Calibri" w:cs="Calibri"/>
                <w:b/>
                <w:bCs/>
                <w:color w:val="auto"/>
                <w:szCs w:val="21"/>
                <w:highlight w:val="none"/>
              </w:rPr>
            </w:pPr>
            <w:r>
              <w:rPr>
                <w:rFonts w:ascii="Calibri" w:hAnsi="Calibri" w:cs="Calibri"/>
                <w:b/>
                <w:bCs/>
                <w:color w:val="auto"/>
                <w:szCs w:val="21"/>
                <w:highlight w:val="none"/>
              </w:rPr>
              <w:t>2.</w:t>
            </w:r>
            <w:r>
              <w:rPr>
                <w:rFonts w:hint="eastAsia" w:ascii="Calibri" w:hAnsi="Calibri" w:cs="Calibri"/>
                <w:b/>
                <w:bCs/>
                <w:color w:val="auto"/>
                <w:szCs w:val="21"/>
                <w:highlight w:val="none"/>
              </w:rPr>
              <w:t>评审加分</w:t>
            </w:r>
            <w:r>
              <w:rPr>
                <w:rFonts w:ascii="Calibri" w:hAnsi="Calibri" w:cs="Calibri"/>
                <w:b/>
                <w:bCs/>
                <w:color w:val="auto"/>
                <w:szCs w:val="21"/>
                <w:highlight w:val="none"/>
              </w:rPr>
              <w:t>要求的类似工程业绩</w:t>
            </w:r>
          </w:p>
          <w:p w14:paraId="3557C09F">
            <w:pPr>
              <w:rPr>
                <w:rFonts w:ascii="Calibri" w:hAnsi="Calibri" w:cs="Calibri"/>
                <w:color w:val="auto"/>
                <w:szCs w:val="21"/>
                <w:highlight w:val="none"/>
              </w:rPr>
            </w:pPr>
            <w:r>
              <w:rPr>
                <w:rFonts w:hint="eastAsia" w:ascii="Calibri" w:hAnsi="Calibri" w:cs="Calibri"/>
                <w:color w:val="auto"/>
                <w:szCs w:val="21"/>
                <w:highlight w:val="none"/>
              </w:rPr>
              <w:t xml:space="preserve">2.1申请人类似工程业绩个数：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3</w:t>
            </w:r>
            <w:r>
              <w:rPr>
                <w:rFonts w:hint="eastAsia" w:ascii="Calibri" w:hAnsi="Calibri" w:cs="Calibri"/>
                <w:color w:val="auto"/>
                <w:szCs w:val="21"/>
                <w:highlight w:val="none"/>
              </w:rPr>
              <w:t>个；要求近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w:t>
            </w:r>
            <w:r>
              <w:rPr>
                <w:rFonts w:hint="eastAsia"/>
                <w:color w:val="auto"/>
                <w:szCs w:val="21"/>
                <w:highlight w:val="none"/>
              </w:rPr>
              <w:t>内完成过</w:t>
            </w:r>
            <w:r>
              <w:rPr>
                <w:color w:val="auto"/>
                <w:szCs w:val="21"/>
                <w:highlight w:val="none"/>
                <w:u w:val="single"/>
              </w:rPr>
              <w:t xml:space="preserve"> </w:t>
            </w:r>
            <w:r>
              <w:rPr>
                <w:rFonts w:hint="eastAsia"/>
                <w:color w:val="auto"/>
                <w:szCs w:val="21"/>
                <w:highlight w:val="none"/>
                <w:u w:val="single"/>
              </w:rPr>
              <w:t>招标人选择的业绩牵引指标项+规模+工程内容（或工程类别） 的</w:t>
            </w:r>
            <w:r>
              <w:rPr>
                <w:rFonts w:hint="eastAsia"/>
                <w:color w:val="auto"/>
                <w:szCs w:val="21"/>
                <w:highlight w:val="none"/>
              </w:rPr>
              <w:t>施工业绩</w:t>
            </w:r>
            <w:r>
              <w:rPr>
                <w:rFonts w:hint="eastAsia" w:ascii="Calibri" w:hAnsi="Calibri" w:cs="Calibri"/>
                <w:color w:val="auto"/>
                <w:szCs w:val="21"/>
                <w:highlight w:val="none"/>
              </w:rPr>
              <w:t>。（类似工程业绩</w:t>
            </w:r>
            <w:r>
              <w:rPr>
                <w:rFonts w:hint="eastAsia"/>
                <w:color w:val="auto"/>
                <w:szCs w:val="21"/>
                <w:highlight w:val="none"/>
              </w:rPr>
              <w:t>年限要求一般为近3年，轨道交通项目可放宽至5年。</w:t>
            </w:r>
            <w:r>
              <w:rPr>
                <w:rFonts w:hint="eastAsia" w:ascii="Calibri" w:hAnsi="Calibri" w:cs="Calibri"/>
                <w:color w:val="auto"/>
                <w:szCs w:val="21"/>
                <w:highlight w:val="none"/>
              </w:rPr>
              <w:t>）</w:t>
            </w:r>
          </w:p>
          <w:p w14:paraId="2E85DA31">
            <w:pPr>
              <w:rPr>
                <w:rFonts w:ascii="Calibri" w:hAnsi="Calibri" w:cs="Calibri"/>
                <w:color w:val="auto"/>
                <w:szCs w:val="21"/>
                <w:highlight w:val="none"/>
              </w:rPr>
            </w:pPr>
            <w:r>
              <w:rPr>
                <w:rFonts w:ascii="Calibri" w:hAnsi="Calibri" w:cs="Calibri"/>
                <w:color w:val="auto"/>
                <w:szCs w:val="21"/>
                <w:highlight w:val="none"/>
              </w:rPr>
              <w:t>第一个评审加分业绩的</w:t>
            </w:r>
            <w:r>
              <w:rPr>
                <w:rFonts w:hint="eastAsia" w:ascii="Calibri" w:hAnsi="Calibri" w:cs="Calibri"/>
                <w:color w:val="auto"/>
                <w:szCs w:val="21"/>
                <w:highlight w:val="none"/>
              </w:rPr>
              <w:t>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（规模系数不高于50%）</w:t>
            </w:r>
            <w:r>
              <w:rPr>
                <w:rFonts w:ascii="Calibri" w:hAnsi="Calibri" w:cs="Calibri"/>
                <w:color w:val="auto"/>
                <w:szCs w:val="21"/>
                <w:highlight w:val="none"/>
              </w:rPr>
              <w:t>；第二个</w:t>
            </w:r>
            <w:r>
              <w:rPr>
                <w:rFonts w:hint="eastAsia" w:ascii="Calibri" w:hAnsi="Calibri" w:cs="Calibri"/>
                <w:color w:val="auto"/>
                <w:szCs w:val="21"/>
                <w:highlight w:val="none"/>
              </w:rPr>
              <w:t>、</w:t>
            </w:r>
            <w:r>
              <w:rPr>
                <w:rFonts w:ascii="Calibri" w:hAnsi="Calibri" w:cs="Calibri"/>
                <w:color w:val="auto"/>
                <w:szCs w:val="21"/>
                <w:highlight w:val="none"/>
              </w:rPr>
              <w:t>第三个评审加分业绩的</w:t>
            </w:r>
            <w:r>
              <w:rPr>
                <w:rFonts w:hint="eastAsia" w:ascii="Calibri" w:hAnsi="Calibri" w:cs="Calibri"/>
                <w:color w:val="auto"/>
                <w:szCs w:val="21"/>
                <w:highlight w:val="none"/>
              </w:rPr>
              <w:t>规模系数</w:t>
            </w:r>
            <w:r>
              <w:rPr>
                <w:rFonts w:ascii="Calibri" w:hAnsi="Calibri" w:cs="Calibri"/>
                <w:color w:val="auto"/>
                <w:szCs w:val="21"/>
                <w:highlight w:val="none"/>
              </w:rPr>
              <w:t>为</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ascii="Calibri" w:hAnsi="Calibri" w:cs="Calibri"/>
                <w:color w:val="auto"/>
                <w:szCs w:val="21"/>
                <w:highlight w:val="none"/>
              </w:rPr>
              <w:t xml:space="preserve"> 。</w:t>
            </w:r>
            <w:r>
              <w:rPr>
                <w:rFonts w:hint="eastAsia" w:ascii="Calibri" w:hAnsi="Calibri" w:cs="Calibri"/>
                <w:color w:val="auto"/>
                <w:szCs w:val="21"/>
                <w:highlight w:val="none"/>
              </w:rPr>
              <w:t xml:space="preserve"> </w:t>
            </w:r>
          </w:p>
          <w:p w14:paraId="4420837A">
            <w:pPr>
              <w:rPr>
                <w:rFonts w:ascii="Calibri" w:hAnsi="Calibri" w:cs="Calibri"/>
                <w:color w:val="auto"/>
                <w:szCs w:val="21"/>
                <w:highlight w:val="none"/>
              </w:rPr>
            </w:pPr>
            <w:r>
              <w:rPr>
                <w:rFonts w:ascii="Calibri" w:hAnsi="Calibri" w:cs="Calibri"/>
                <w:color w:val="auto"/>
                <w:szCs w:val="21"/>
                <w:highlight w:val="none"/>
              </w:rPr>
              <w:t>注：</w:t>
            </w:r>
          </w:p>
          <w:p w14:paraId="01F5DAF6">
            <w:pPr>
              <w:rPr>
                <w:rFonts w:ascii="Calibri" w:hAnsi="Calibri" w:cs="Calibri"/>
                <w:color w:val="auto"/>
                <w:szCs w:val="21"/>
                <w:highlight w:val="none"/>
              </w:rPr>
            </w:pPr>
            <w:r>
              <w:rPr>
                <w:rFonts w:ascii="Calibri" w:hAnsi="Calibri" w:cs="Calibri"/>
                <w:color w:val="auto"/>
                <w:szCs w:val="21"/>
                <w:highlight w:val="none"/>
              </w:rPr>
              <w:t>（1）第二个、第三个评审加分业绩的</w:t>
            </w:r>
            <w:r>
              <w:rPr>
                <w:rFonts w:hint="eastAsia" w:ascii="Calibri" w:hAnsi="Calibri" w:cs="Calibri"/>
                <w:color w:val="auto"/>
                <w:szCs w:val="21"/>
                <w:highlight w:val="none"/>
              </w:rPr>
              <w:t>规模系数</w:t>
            </w:r>
            <w:r>
              <w:rPr>
                <w:rFonts w:ascii="Calibri" w:hAnsi="Calibri" w:cs="Calibri"/>
                <w:color w:val="auto"/>
                <w:szCs w:val="21"/>
                <w:highlight w:val="none"/>
              </w:rPr>
              <w:t>范围为60%-80%</w:t>
            </w:r>
            <w:r>
              <w:rPr>
                <w:rFonts w:hint="eastAsia" w:ascii="Calibri" w:hAnsi="Calibri" w:cs="Calibri"/>
                <w:b/>
                <w:bCs/>
                <w:color w:val="auto"/>
                <w:szCs w:val="21"/>
                <w:highlight w:val="none"/>
              </w:rPr>
              <w:t>,</w:t>
            </w:r>
            <w:r>
              <w:rPr>
                <w:rFonts w:hint="eastAsia" w:ascii="Calibri" w:hAnsi="Calibri" w:cs="Calibri"/>
                <w:color w:val="auto"/>
                <w:szCs w:val="21"/>
                <w:highlight w:val="none"/>
              </w:rPr>
              <w:t>具体规模系数由招标人根据项目情况在资格预审文件中进行明确。</w:t>
            </w:r>
            <w:r>
              <w:rPr>
                <w:rFonts w:ascii="Calibri" w:hAnsi="Calibri" w:cs="Calibri"/>
                <w:color w:val="auto"/>
                <w:szCs w:val="21"/>
                <w:highlight w:val="none"/>
              </w:rPr>
              <w:t>（2加分业绩依次按：</w:t>
            </w:r>
          </w:p>
          <w:p w14:paraId="168537A9">
            <w:pPr>
              <w:rPr>
                <w:rFonts w:ascii="Calibri" w:hAnsi="Calibri" w:cs="Calibri"/>
                <w:color w:val="auto"/>
                <w:szCs w:val="21"/>
                <w:highlight w:val="none"/>
              </w:rPr>
            </w:pPr>
            <w:r>
              <w:rPr>
                <w:rFonts w:ascii="Calibri" w:hAnsi="Calibri" w:cs="Calibri"/>
                <w:color w:val="auto"/>
                <w:szCs w:val="21"/>
                <w:highlight w:val="none"/>
              </w:rPr>
              <w:t>①招标人设置3个加分业绩时：第一个加分业绩得分权重</w:t>
            </w:r>
            <w:r>
              <w:rPr>
                <w:rFonts w:ascii="Calibri" w:hAnsi="Calibri" w:cs="Calibri"/>
                <w:color w:val="auto"/>
                <w:szCs w:val="21"/>
                <w:highlight w:val="none"/>
                <w:u w:val="single"/>
              </w:rPr>
              <w:t xml:space="preserve">  50%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w:t>
            </w:r>
            <w:r>
              <w:rPr>
                <w:rFonts w:ascii="Calibri" w:hAnsi="Calibri" w:cs="Calibri"/>
                <w:color w:val="auto"/>
                <w:szCs w:val="21"/>
                <w:highlight w:val="none"/>
              </w:rPr>
              <w:t>第三个加分业绩权重</w:t>
            </w:r>
            <w:r>
              <w:rPr>
                <w:rFonts w:ascii="Calibri" w:hAnsi="Calibri" w:cs="Calibri"/>
                <w:color w:val="auto"/>
                <w:szCs w:val="21"/>
                <w:highlight w:val="none"/>
                <w:u w:val="single"/>
              </w:rPr>
              <w:t xml:space="preserve">   20%   </w:t>
            </w:r>
            <w:r>
              <w:rPr>
                <w:rFonts w:ascii="Calibri" w:hAnsi="Calibri" w:cs="Calibri"/>
                <w:color w:val="auto"/>
                <w:szCs w:val="21"/>
                <w:highlight w:val="none"/>
              </w:rPr>
              <w:t>。</w:t>
            </w:r>
          </w:p>
          <w:p w14:paraId="47686723">
            <w:pPr>
              <w:rPr>
                <w:rFonts w:ascii="Calibri" w:hAnsi="Calibri" w:cs="Calibri"/>
                <w:color w:val="auto"/>
                <w:szCs w:val="21"/>
                <w:highlight w:val="none"/>
              </w:rPr>
            </w:pPr>
            <w:r>
              <w:rPr>
                <w:rFonts w:ascii="Calibri" w:hAnsi="Calibri" w:cs="Calibri"/>
                <w:color w:val="auto"/>
                <w:szCs w:val="21"/>
                <w:highlight w:val="none"/>
              </w:rPr>
              <w:t>②招标人设置2个加分业绩时：第一个加分业绩得分权重</w:t>
            </w:r>
            <w:r>
              <w:rPr>
                <w:rFonts w:ascii="Calibri" w:hAnsi="Calibri" w:cs="Calibri"/>
                <w:color w:val="auto"/>
                <w:szCs w:val="21"/>
                <w:highlight w:val="none"/>
                <w:u w:val="single"/>
              </w:rPr>
              <w:t xml:space="preserve">  60%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40% </w:t>
            </w:r>
            <w:r>
              <w:rPr>
                <w:rFonts w:ascii="Calibri" w:hAnsi="Calibri" w:cs="Calibri"/>
                <w:color w:val="auto"/>
                <w:szCs w:val="21"/>
                <w:highlight w:val="none"/>
              </w:rPr>
              <w:t>。</w:t>
            </w:r>
          </w:p>
          <w:p w14:paraId="04DC7613">
            <w:pPr>
              <w:rPr>
                <w:rFonts w:ascii="Calibri" w:hAnsi="Calibri" w:cs="Calibri"/>
                <w:color w:val="auto"/>
                <w:szCs w:val="21"/>
                <w:highlight w:val="none"/>
              </w:rPr>
            </w:pPr>
            <w:r>
              <w:rPr>
                <w:rFonts w:ascii="Calibri" w:hAnsi="Calibri" w:cs="Calibri"/>
                <w:color w:val="auto"/>
                <w:szCs w:val="21"/>
                <w:highlight w:val="none"/>
              </w:rPr>
              <w:t>③招标人设置1个加分业绩时：加分业绩得分权重</w:t>
            </w:r>
            <w:r>
              <w:rPr>
                <w:rFonts w:ascii="Calibri" w:hAnsi="Calibri" w:cs="Calibri"/>
                <w:color w:val="auto"/>
                <w:szCs w:val="21"/>
                <w:highlight w:val="none"/>
                <w:u w:val="single"/>
              </w:rPr>
              <w:t xml:space="preserve">  100% </w:t>
            </w:r>
            <w:r>
              <w:rPr>
                <w:rFonts w:ascii="Calibri" w:hAnsi="Calibri" w:cs="Calibri"/>
                <w:color w:val="auto"/>
                <w:szCs w:val="21"/>
                <w:highlight w:val="none"/>
              </w:rPr>
              <w:t xml:space="preserve"> 。</w:t>
            </w:r>
          </w:p>
          <w:p w14:paraId="3F292AF2">
            <w:pPr>
              <w:rPr>
                <w:rFonts w:ascii="Calibri" w:hAnsi="Calibri" w:cs="Calibri"/>
                <w:color w:val="auto"/>
                <w:szCs w:val="21"/>
                <w:highlight w:val="none"/>
              </w:rPr>
            </w:pPr>
            <w:r>
              <w:rPr>
                <w:rFonts w:ascii="Calibri" w:hAnsi="Calibri" w:cs="Calibri"/>
                <w:color w:val="auto"/>
                <w:szCs w:val="21"/>
                <w:highlight w:val="none"/>
              </w:rPr>
              <w:t>（3）以联合体形式进行投标的，其第一、第二个评审加分业绩的认定须以联合体牵头人具备的业绩为准，第三个评审加分业绩可以是联合体成员的。</w:t>
            </w:r>
          </w:p>
          <w:p w14:paraId="38D2B023">
            <w:pPr>
              <w:rPr>
                <w:rFonts w:ascii="Calibri" w:hAnsi="Calibri" w:cs="Calibri"/>
                <w:color w:val="auto"/>
                <w:szCs w:val="21"/>
                <w:highlight w:val="none"/>
              </w:rPr>
            </w:pPr>
            <w:r>
              <w:rPr>
                <w:rFonts w:hint="eastAsia" w:ascii="Calibri" w:hAnsi="Calibri" w:cs="Calibri"/>
                <w:color w:val="auto"/>
                <w:szCs w:val="21"/>
                <w:highlight w:val="none"/>
              </w:rPr>
              <w:t>2.2拟任项目经理类似工程业绩个数：</w:t>
            </w:r>
            <w:r>
              <w:rPr>
                <w:rFonts w:ascii="Calibri" w:hAnsi="Calibri" w:cs="Calibri"/>
                <w:color w:val="auto"/>
                <w:szCs w:val="21"/>
                <w:highlight w:val="none"/>
              </w:rPr>
              <w:sym w:font="Wingdings 2" w:char="00A3"/>
            </w:r>
            <w:r>
              <w:rPr>
                <w:rFonts w:ascii="Calibri" w:hAnsi="Calibri" w:cs="Calibri"/>
                <w:color w:val="auto"/>
                <w:szCs w:val="21"/>
                <w:highlight w:val="none"/>
              </w:rPr>
              <w:t>0</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hint="eastAsia"/>
                <w:color w:val="auto"/>
                <w:highlight w:val="none"/>
              </w:rPr>
              <w:t xml:space="preserve"> </w:t>
            </w:r>
            <w:r>
              <w:rPr>
                <w:rFonts w:hint="eastAsia" w:ascii="Calibri" w:hAnsi="Calibri" w:cs="Calibri"/>
                <w:color w:val="auto"/>
                <w:szCs w:val="21"/>
                <w:highlight w:val="none"/>
              </w:rPr>
              <w:t>；</w:t>
            </w:r>
          </w:p>
          <w:p w14:paraId="0EE45A66">
            <w:pPr>
              <w:rPr>
                <w:rFonts w:ascii="Calibri" w:hAnsi="Calibri" w:cs="Calibri"/>
                <w:color w:val="auto"/>
                <w:szCs w:val="21"/>
                <w:highlight w:val="none"/>
              </w:rPr>
            </w:pPr>
            <w:r>
              <w:rPr>
                <w:rFonts w:hint="eastAsia" w:ascii="Calibri" w:hAnsi="Calibri" w:cs="Calibri"/>
                <w:color w:val="auto"/>
                <w:szCs w:val="21"/>
                <w:highlight w:val="none"/>
              </w:rPr>
              <w:t>要求近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w:t>
            </w:r>
            <w:r>
              <w:rPr>
                <w:rFonts w:hint="eastAsia"/>
                <w:color w:val="auto"/>
                <w:szCs w:val="21"/>
                <w:highlight w:val="none"/>
              </w:rPr>
              <w:t>内完成过</w:t>
            </w:r>
            <w:r>
              <w:rPr>
                <w:color w:val="auto"/>
                <w:szCs w:val="21"/>
                <w:highlight w:val="none"/>
                <w:u w:val="single"/>
              </w:rPr>
              <w:t xml:space="preserve"> </w:t>
            </w:r>
            <w:r>
              <w:rPr>
                <w:rFonts w:hint="eastAsia"/>
                <w:color w:val="auto"/>
                <w:szCs w:val="21"/>
                <w:highlight w:val="none"/>
                <w:u w:val="single"/>
              </w:rPr>
              <w:t>招标人选择的业绩牵引指标项+规模+工程内容（或工程类别） 的</w:t>
            </w:r>
            <w:r>
              <w:rPr>
                <w:rFonts w:hint="eastAsia"/>
                <w:color w:val="auto"/>
                <w:szCs w:val="21"/>
                <w:highlight w:val="none"/>
              </w:rPr>
              <w:t>施工业绩</w:t>
            </w:r>
            <w:r>
              <w:rPr>
                <w:rFonts w:hint="eastAsia" w:ascii="Calibri" w:hAnsi="Calibri" w:cs="Calibri"/>
                <w:color w:val="auto"/>
                <w:szCs w:val="21"/>
                <w:highlight w:val="none"/>
              </w:rPr>
              <w:t>。（类似工程业绩</w:t>
            </w:r>
            <w:r>
              <w:rPr>
                <w:rFonts w:hint="eastAsia"/>
                <w:color w:val="auto"/>
                <w:szCs w:val="21"/>
                <w:highlight w:val="none"/>
              </w:rPr>
              <w:t>年限要求一般为近3年，轨道交通项目可放宽至5年。</w:t>
            </w:r>
            <w:r>
              <w:rPr>
                <w:rFonts w:hint="eastAsia" w:ascii="Calibri" w:hAnsi="Calibri" w:cs="Calibri"/>
                <w:color w:val="auto"/>
                <w:szCs w:val="21"/>
                <w:highlight w:val="none"/>
              </w:rPr>
              <w:t>）</w:t>
            </w:r>
          </w:p>
          <w:p w14:paraId="2E4E2172">
            <w:pPr>
              <w:rPr>
                <w:color w:val="auto"/>
                <w:szCs w:val="21"/>
                <w:highlight w:val="none"/>
              </w:rPr>
            </w:pPr>
            <w:r>
              <w:rPr>
                <w:rFonts w:hint="eastAsia" w:ascii="Calibri" w:hAnsi="Calibri" w:cs="Calibri"/>
                <w:color w:val="auto"/>
                <w:szCs w:val="21"/>
                <w:highlight w:val="none"/>
              </w:rPr>
              <w:t>拟任项目经理</w:t>
            </w:r>
            <w:r>
              <w:rPr>
                <w:rFonts w:ascii="Calibri" w:hAnsi="Calibri" w:cs="Calibri"/>
                <w:color w:val="auto"/>
                <w:szCs w:val="21"/>
                <w:highlight w:val="none"/>
              </w:rPr>
              <w:t>评审加分业绩的</w:t>
            </w:r>
            <w:r>
              <w:rPr>
                <w:rFonts w:hint="eastAsia" w:ascii="Calibri" w:hAnsi="Calibri" w:cs="Calibri"/>
                <w:color w:val="auto"/>
                <w:szCs w:val="21"/>
                <w:highlight w:val="none"/>
              </w:rPr>
              <w:t>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r>
              <w:rPr>
                <w:rFonts w:hint="eastAsia"/>
                <w:color w:val="auto"/>
                <w:szCs w:val="21"/>
                <w:highlight w:val="none"/>
              </w:rPr>
              <w:t>不高于招标项目选择指标或最高投标限价的50%）。</w:t>
            </w:r>
          </w:p>
          <w:p w14:paraId="7B4C2011">
            <w:pPr>
              <w:rPr>
                <w:rFonts w:ascii="Calibri" w:hAnsi="Calibri" w:cs="Calibri"/>
                <w:color w:val="auto"/>
                <w:highlight w:val="none"/>
              </w:rPr>
            </w:pPr>
          </w:p>
          <w:p w14:paraId="296F5F64">
            <w:pPr>
              <w:rPr>
                <w:rFonts w:ascii="Calibri" w:hAnsi="Calibri" w:cs="Calibri"/>
                <w:b/>
                <w:bCs/>
                <w:color w:val="auto"/>
                <w:highlight w:val="none"/>
              </w:rPr>
            </w:pPr>
            <w:r>
              <w:rPr>
                <w:rFonts w:hint="eastAsia"/>
                <w:b/>
                <w:bCs/>
                <w:color w:val="auto"/>
                <w:szCs w:val="21"/>
                <w:highlight w:val="none"/>
              </w:rPr>
              <w:t>注：</w:t>
            </w:r>
            <w:r>
              <w:rPr>
                <w:rFonts w:hint="eastAsia" w:ascii="Calibri" w:hAnsi="Calibri" w:cs="Calibri"/>
                <w:b/>
                <w:bCs/>
                <w:color w:val="auto"/>
                <w:szCs w:val="21"/>
                <w:highlight w:val="none"/>
              </w:rPr>
              <w:t>类似工程业绩的考核要求：</w:t>
            </w:r>
          </w:p>
          <w:p w14:paraId="36C7BC87">
            <w:pPr>
              <w:numPr>
                <w:ilvl w:val="0"/>
                <w:numId w:val="0"/>
              </w:numPr>
              <w:spacing w:after="0" w:line="360" w:lineRule="auto"/>
              <w:rPr>
                <w:rFonts w:ascii="Calibri" w:hAnsi="Calibri" w:cs="Calibri"/>
                <w:bCs/>
                <w:color w:val="auto"/>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有行业数据库（含交易系统生成的业绩库）可比对核查的，由交易系统比对交工验收或竣工验收时间、与牵引指标项相符的工程类别、工程规模要求以及涉项目负责人（项目经理）信息等四项关键内容，对其他信息不作评判，评标委员会仅对上述四项关键内容进行复核确认。没有数据库可比对的，以交工验收或竣工验收文件（证书）中载明的项目信息及内容为评审依据，评标委员会仅对申请人提交的相关证明材料﹝例如中标通知书，工程合同，交工验收或竣工验收文件（证书），招标文件规定的行业数据库查询到的企业、人员业绩信息相关项目网页截图等﹞中的前述四项关键内容进行符合性形式要件审查。申请人应将前述四项关键内容在相关证明材料上进行显著标记，评标委员会在评审环节和招标代理机构复核环节不对申请人提交资料的真实性负责。</w:t>
            </w:r>
            <w:r>
              <w:rPr>
                <w:rFonts w:hint="eastAsia" w:ascii="Calibri" w:hAnsi="Calibri" w:cs="Calibri"/>
                <w:bCs/>
                <w:color w:val="auto"/>
                <w:highlight w:val="none"/>
              </w:rPr>
              <w:t>业绩在投标文件中的列序由投标人按照自身最优原则进行排列。</w:t>
            </w:r>
          </w:p>
          <w:p w14:paraId="7F12088C">
            <w:pPr>
              <w:spacing w:line="360" w:lineRule="auto"/>
              <w:rPr>
                <w:rFonts w:hint="default"/>
                <w:color w:val="auto"/>
                <w:szCs w:val="21"/>
                <w:highlight w:val="none"/>
                <w:u w:val="single"/>
                <w:lang w:val="en-US" w:eastAsia="zh-CN"/>
              </w:rPr>
            </w:pPr>
            <w:r>
              <w:rPr>
                <w:rFonts w:hint="eastAsia"/>
                <w:color w:val="auto"/>
                <w:szCs w:val="21"/>
                <w:highlight w:val="none"/>
                <w:lang w:val="en-US" w:eastAsia="zh-CN"/>
              </w:rPr>
              <w:t>（2）招标人可参考下述原则，对本招标项目类似业绩考核要求及必要佐证资料进行明确，具体如下：</w:t>
            </w:r>
            <w:r>
              <w:rPr>
                <w:rFonts w:hint="eastAsia"/>
                <w:color w:val="auto"/>
                <w:szCs w:val="21"/>
                <w:highlight w:val="none"/>
                <w:u w:val="single"/>
                <w:lang w:val="en-US" w:eastAsia="zh-CN"/>
              </w:rPr>
              <w:t xml:space="preserve">                           </w:t>
            </w:r>
            <w:r>
              <w:rPr>
                <w:rFonts w:hint="eastAsia"/>
                <w:color w:val="auto"/>
                <w:szCs w:val="21"/>
                <w:highlight w:val="none"/>
                <w:u w:val="none"/>
                <w:lang w:val="en-US" w:eastAsia="zh-CN"/>
              </w:rPr>
              <w:t>。</w:t>
            </w:r>
          </w:p>
          <w:p w14:paraId="46371E83">
            <w:pPr>
              <w:spacing w:after="0" w:line="360" w:lineRule="auto"/>
              <w:rPr>
                <w:color w:val="auto"/>
                <w:szCs w:val="21"/>
                <w:highlight w:val="none"/>
              </w:rPr>
            </w:pPr>
            <w:r>
              <w:rPr>
                <w:rFonts w:hint="eastAsia"/>
                <w:color w:val="auto"/>
                <w:szCs w:val="21"/>
                <w:highlight w:val="none"/>
                <w:lang w:val="en-US" w:eastAsia="zh-CN"/>
              </w:rPr>
              <w:t>注（参考原则）</w:t>
            </w:r>
            <w:r>
              <w:rPr>
                <w:rFonts w:hint="eastAsia"/>
                <w:color w:val="auto"/>
                <w:szCs w:val="21"/>
                <w:highlight w:val="none"/>
              </w:rPr>
              <w:t>：</w:t>
            </w:r>
          </w:p>
          <w:p w14:paraId="45BFCA66">
            <w:pPr>
              <w:numPr>
                <w:ilvl w:val="0"/>
                <w:numId w:val="0"/>
              </w:numPr>
              <w:spacing w:after="0" w:line="360" w:lineRule="auto"/>
              <w:rPr>
                <w:rFonts w:hint="eastAsia" w:ascii="Calibri" w:hAnsi="Calibri" w:eastAsia="宋体" w:cs="Calibri"/>
                <w:color w:val="auto"/>
                <w:szCs w:val="21"/>
                <w:highlight w:val="none"/>
                <w:lang w:val="en-US" w:eastAsia="zh-CN"/>
              </w:rPr>
            </w:pPr>
            <w:r>
              <w:rPr>
                <w:rFonts w:hint="eastAsia"/>
                <w:color w:val="auto"/>
                <w:szCs w:val="21"/>
                <w:highlight w:val="none"/>
                <w:lang w:val="en-US" w:eastAsia="zh-CN"/>
              </w:rPr>
              <w:t>a、</w:t>
            </w:r>
            <w:r>
              <w:rPr>
                <w:rFonts w:hint="eastAsia" w:ascii="Calibri" w:hAnsi="Calibri" w:cs="Calibri"/>
                <w:color w:val="auto"/>
                <w:szCs w:val="21"/>
                <w:highlight w:val="none"/>
                <w:lang w:val="en-US" w:eastAsia="zh-CN"/>
              </w:rPr>
              <w:t>业绩佐证资料包括</w:t>
            </w:r>
            <w:r>
              <w:rPr>
                <w:rFonts w:hint="eastAsia" w:ascii="Calibri" w:hAnsi="Calibri" w:cs="Calibri"/>
                <w:color w:val="auto"/>
                <w:szCs w:val="21"/>
                <w:highlight w:val="none"/>
                <w:lang w:eastAsia="zh-CN"/>
              </w:rPr>
              <w:t>：</w:t>
            </w:r>
            <w:r>
              <w:rPr>
                <w:rFonts w:hint="eastAsia" w:ascii="Calibri" w:hAnsi="Calibri" w:cs="Calibri"/>
                <w:color w:val="auto"/>
                <w:szCs w:val="21"/>
                <w:highlight w:val="none"/>
              </w:rPr>
              <w:t>交工验收或竣工验收文件（证书）复印件</w:t>
            </w:r>
            <w:r>
              <w:rPr>
                <w:rFonts w:hint="eastAsia" w:ascii="Calibri" w:hAnsi="Calibri" w:cs="Calibri"/>
                <w:color w:val="auto"/>
                <w:szCs w:val="21"/>
                <w:highlight w:val="none"/>
                <w:lang w:eastAsia="zh-CN"/>
              </w:rPr>
              <w:t>、类似业</w:t>
            </w:r>
            <w:r>
              <w:rPr>
                <w:rFonts w:hint="eastAsia" w:ascii="Calibri" w:hAnsi="Calibri" w:eastAsia="宋体" w:cs="Calibri"/>
                <w:color w:val="auto"/>
                <w:szCs w:val="21"/>
                <w:highlight w:val="none"/>
                <w:lang w:val="en-US" w:eastAsia="zh-CN"/>
              </w:rPr>
              <w:t>绩相关网页截图等招标人明确的其他资料。</w:t>
            </w:r>
          </w:p>
          <w:p w14:paraId="54EF160B">
            <w:pPr>
              <w:numPr>
                <w:ilvl w:val="0"/>
                <w:numId w:val="0"/>
              </w:numPr>
              <w:spacing w:after="0" w:line="360" w:lineRule="auto"/>
              <w:rPr>
                <w:rFonts w:hint="eastAsia"/>
                <w:color w:val="auto"/>
                <w:szCs w:val="21"/>
                <w:highlight w:val="none"/>
                <w:lang w:eastAsia="zh-CN"/>
              </w:rPr>
            </w:pPr>
            <w:r>
              <w:rPr>
                <w:rFonts w:hint="eastAsia" w:ascii="Calibri" w:hAnsi="Calibri" w:eastAsia="宋体" w:cs="Calibri"/>
                <w:color w:val="auto"/>
                <w:szCs w:val="21"/>
                <w:highlight w:val="none"/>
                <w:lang w:val="en-US" w:eastAsia="zh-CN"/>
              </w:rPr>
              <w:t>b、</w:t>
            </w:r>
            <w:r>
              <w:rPr>
                <w:rFonts w:hint="eastAsia"/>
                <w:color w:val="auto"/>
                <w:szCs w:val="21"/>
                <w:highlight w:val="none"/>
                <w:lang w:val="en-US" w:eastAsia="zh-CN"/>
              </w:rPr>
              <w:t>交工验收或竣工验收文件（证书）是指竣工验</w:t>
            </w:r>
            <w:r>
              <w:rPr>
                <w:rFonts w:hint="eastAsia"/>
                <w:color w:val="auto"/>
                <w:szCs w:val="21"/>
                <w:highlight w:val="none"/>
              </w:rPr>
              <w:t>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相关网页截图是指</w:t>
            </w:r>
            <w:r>
              <w:rPr>
                <w:rFonts w:hint="eastAsia"/>
                <w:color w:val="auto"/>
                <w:szCs w:val="21"/>
                <w:highlight w:val="none"/>
              </w:rPr>
              <w:t>“全国建筑市场监管公共服务平台”或者“</w:t>
            </w:r>
            <w:r>
              <w:rPr>
                <w:rFonts w:hint="eastAsia"/>
                <w:color w:val="auto"/>
                <w:szCs w:val="21"/>
                <w:highlight w:val="none"/>
                <w:lang w:eastAsia="zh-CN"/>
              </w:rPr>
              <w:t>省级建设行政主管部门监管服务平台</w:t>
            </w:r>
            <w:r>
              <w:rPr>
                <w:rFonts w:hint="eastAsia"/>
                <w:color w:val="auto"/>
                <w:szCs w:val="21"/>
                <w:highlight w:val="none"/>
              </w:rPr>
              <w:t>”上查询到</w:t>
            </w:r>
            <w:r>
              <w:rPr>
                <w:rFonts w:hint="eastAsia" w:ascii="Times New Roman" w:hAnsi="Times New Roman" w:eastAsia="宋体" w:cs="Times New Roman"/>
                <w:color w:val="auto"/>
                <w:sz w:val="21"/>
                <w:highlight w:val="none"/>
              </w:rPr>
              <w:t>体现其作为</w:t>
            </w:r>
            <w:r>
              <w:rPr>
                <w:rFonts w:hint="eastAsia" w:ascii="Times New Roman" w:hAnsi="Times New Roman" w:eastAsia="宋体" w:cs="Times New Roman"/>
                <w:color w:val="auto"/>
                <w:sz w:val="21"/>
                <w:highlight w:val="none"/>
                <w:lang w:val="en-US" w:eastAsia="zh-CN"/>
              </w:rPr>
              <w:t>相应</w:t>
            </w:r>
            <w:r>
              <w:rPr>
                <w:rFonts w:hint="eastAsia" w:ascii="Times New Roman" w:hAnsi="Times New Roman" w:eastAsia="宋体" w:cs="Times New Roman"/>
                <w:color w:val="auto"/>
                <w:sz w:val="21"/>
                <w:highlight w:val="none"/>
              </w:rPr>
              <w:t>承包人</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lang w:val="en-US" w:eastAsia="zh-CN"/>
              </w:rPr>
              <w:t>项目经理</w:t>
            </w:r>
            <w:r>
              <w:rPr>
                <w:rFonts w:hint="eastAsia" w:ascii="Times New Roman" w:hAnsi="Times New Roman" w:eastAsia="宋体" w:cs="Times New Roman"/>
                <w:color w:val="auto"/>
                <w:sz w:val="21"/>
                <w:highlight w:val="none"/>
                <w:lang w:eastAsia="zh-CN"/>
              </w:rPr>
              <w:t>）</w:t>
            </w:r>
            <w:r>
              <w:rPr>
                <w:rFonts w:hint="eastAsia" w:ascii="Times New Roman" w:hAnsi="Times New Roman" w:eastAsia="宋体" w:cs="Times New Roman"/>
                <w:color w:val="auto"/>
                <w:sz w:val="21"/>
                <w:highlight w:val="none"/>
              </w:rPr>
              <w:t>的网页截图</w:t>
            </w:r>
            <w:r>
              <w:rPr>
                <w:rFonts w:hint="eastAsia"/>
                <w:color w:val="auto"/>
                <w:szCs w:val="21"/>
                <w:highlight w:val="none"/>
                <w:lang w:eastAsia="zh-CN"/>
              </w:rPr>
              <w:t>，湖南省建设行政主管部门监管服务平台是指</w:t>
            </w:r>
            <w:r>
              <w:rPr>
                <w:rFonts w:hint="eastAsia"/>
                <w:color w:val="auto"/>
                <w:szCs w:val="21"/>
                <w:highlight w:val="none"/>
              </w:rPr>
              <w:t>湖南省数字城建档案馆丨智慧住建云</w:t>
            </w:r>
            <w:r>
              <w:rPr>
                <w:rFonts w:hint="eastAsia"/>
                <w:color w:val="auto"/>
                <w:szCs w:val="21"/>
                <w:highlight w:val="none"/>
                <w:lang w:eastAsia="zh-CN"/>
              </w:rPr>
              <w:t>。</w:t>
            </w:r>
          </w:p>
          <w:p w14:paraId="6D0C1DB5">
            <w:pPr>
              <w:numPr>
                <w:ilvl w:val="0"/>
                <w:numId w:val="0"/>
              </w:numPr>
              <w:spacing w:after="0" w:line="360" w:lineRule="auto"/>
              <w:rPr>
                <w:rFonts w:hint="eastAsia" w:ascii="Calibri" w:hAnsi="Calibri" w:eastAsia="宋体" w:cs="Calibri"/>
                <w:color w:val="auto"/>
                <w:szCs w:val="21"/>
                <w:highlight w:val="none"/>
                <w:lang w:val="en-US" w:eastAsia="zh-CN"/>
              </w:rPr>
            </w:pPr>
            <w:r>
              <w:rPr>
                <w:rFonts w:hint="eastAsia" w:ascii="Calibri" w:hAnsi="Calibri" w:eastAsia="宋体" w:cs="Calibri"/>
                <w:color w:val="auto"/>
                <w:szCs w:val="21"/>
                <w:highlight w:val="none"/>
                <w:lang w:val="en-US" w:eastAsia="zh-CN"/>
              </w:rPr>
              <w:t>c、不同业绩佐证资料中竣工验收时间、与牵引指标项相符的工程类别、工程规模要求及项目经理姓名四项关键内容不一致时，依次按照交工验收或竣工验收文件（证书）、合同和中标通知书的顺序认定，如交工验收或竣工验收文件（证书）、合同和中标通知书任一评审依据上载明的项目经理超过一个的，仅认可排序第一的项目经理。</w:t>
            </w:r>
          </w:p>
          <w:p w14:paraId="4024F0C2">
            <w:pPr>
              <w:numPr>
                <w:ilvl w:val="0"/>
                <w:numId w:val="0"/>
              </w:numPr>
              <w:spacing w:after="0" w:line="360" w:lineRule="auto"/>
              <w:rPr>
                <w:rFonts w:hint="eastAsia"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d、</w:t>
            </w:r>
            <w:r>
              <w:rPr>
                <w:rFonts w:hint="eastAsia" w:ascii="Calibri" w:hAnsi="Calibri" w:eastAsia="宋体" w:cs="Calibri"/>
                <w:color w:val="auto"/>
                <w:szCs w:val="21"/>
                <w:highlight w:val="none"/>
                <w:lang w:val="en-US" w:eastAsia="zh-CN"/>
              </w:rPr>
              <w:t>上述业绩佐证资料均无法体现出类似业绩所要求的与牵引指标项相符的工程类别、工程规模要求内容的，投标人还可提供本项目答疑文件明确可以作为评审依据的资料的复印件。</w:t>
            </w:r>
          </w:p>
          <w:p w14:paraId="793E4750">
            <w:pPr>
              <w:numPr>
                <w:ilvl w:val="0"/>
                <w:numId w:val="0"/>
              </w:numPr>
              <w:spacing w:after="0" w:line="360" w:lineRule="auto"/>
              <w:rPr>
                <w:color w:val="auto"/>
                <w:szCs w:val="21"/>
                <w:highlight w:val="none"/>
              </w:rPr>
            </w:pPr>
            <w:r>
              <w:rPr>
                <w:rFonts w:hint="eastAsia" w:ascii="Calibri" w:hAnsi="Calibri" w:cs="Calibri"/>
                <w:bCs/>
                <w:color w:val="auto"/>
                <w:highlight w:val="none"/>
                <w:lang w:val="en-US" w:eastAsia="zh-CN"/>
              </w:rPr>
              <w:t>e、</w:t>
            </w:r>
            <w:r>
              <w:rPr>
                <w:rFonts w:hint="eastAsia" w:ascii="Calibri" w:hAnsi="Calibri" w:cs="Calibri"/>
                <w:bCs/>
                <w:color w:val="auto"/>
                <w:highlight w:val="none"/>
              </w:rPr>
              <w:t>业绩</w:t>
            </w:r>
            <w:r>
              <w:rPr>
                <w:rFonts w:hint="eastAsia" w:ascii="Calibri" w:hAnsi="Calibri" w:cs="Calibri"/>
                <w:bCs/>
                <w:color w:val="auto"/>
                <w:highlight w:val="none"/>
                <w:lang w:val="en-US" w:eastAsia="zh-CN"/>
              </w:rPr>
              <w:t>佐证资料</w:t>
            </w:r>
            <w:r>
              <w:rPr>
                <w:rFonts w:hint="eastAsia" w:ascii="Calibri" w:hAnsi="Calibri" w:cs="Calibri"/>
                <w:bCs/>
                <w:color w:val="auto"/>
                <w:highlight w:val="none"/>
              </w:rPr>
              <w:t>与填报</w:t>
            </w:r>
            <w:r>
              <w:rPr>
                <w:rFonts w:hint="eastAsia" w:ascii="Calibri" w:hAnsi="Calibri" w:cs="Calibri"/>
                <w:color w:val="auto"/>
                <w:szCs w:val="21"/>
                <w:highlight w:val="none"/>
              </w:rPr>
              <w:t>信息不一致</w:t>
            </w:r>
            <w:r>
              <w:rPr>
                <w:rFonts w:hint="eastAsia" w:ascii="Calibri" w:hAnsi="Calibri" w:cs="Calibri"/>
                <w:color w:val="auto"/>
                <w:szCs w:val="21"/>
                <w:highlight w:val="none"/>
                <w:lang w:val="en-US" w:eastAsia="zh-CN"/>
              </w:rPr>
              <w:t>或</w:t>
            </w:r>
            <w:r>
              <w:rPr>
                <w:rFonts w:hint="eastAsia" w:ascii="Calibri" w:hAnsi="Calibri" w:cs="Calibri"/>
                <w:color w:val="auto"/>
                <w:szCs w:val="21"/>
                <w:highlight w:val="none"/>
                <w:lang w:eastAsia="zh-CN"/>
              </w:rPr>
              <w:t>未按上述要求提供</w:t>
            </w:r>
            <w:r>
              <w:rPr>
                <w:rFonts w:hint="eastAsia" w:ascii="Calibri" w:hAnsi="Calibri" w:cs="Calibri"/>
                <w:color w:val="auto"/>
                <w:szCs w:val="21"/>
                <w:highlight w:val="none"/>
                <w:lang w:val="en-US" w:eastAsia="zh-CN"/>
              </w:rPr>
              <w:t>业绩佐证</w:t>
            </w:r>
            <w:r>
              <w:rPr>
                <w:rFonts w:hint="eastAsia" w:ascii="Calibri" w:hAnsi="Calibri" w:cs="Calibri"/>
                <w:color w:val="auto"/>
                <w:szCs w:val="21"/>
                <w:highlight w:val="none"/>
                <w:lang w:eastAsia="zh-CN"/>
              </w:rPr>
              <w:t>资料的，</w:t>
            </w:r>
            <w:r>
              <w:rPr>
                <w:rFonts w:hint="eastAsia" w:ascii="Calibri" w:hAnsi="Calibri" w:cs="Calibri"/>
                <w:color w:val="auto"/>
                <w:szCs w:val="21"/>
                <w:highlight w:val="none"/>
                <w:lang w:val="en-US" w:eastAsia="zh-CN"/>
              </w:rPr>
              <w:t>该</w:t>
            </w:r>
            <w:r>
              <w:rPr>
                <w:rFonts w:hint="eastAsia" w:ascii="Calibri" w:hAnsi="Calibri" w:cs="Calibri"/>
                <w:color w:val="auto"/>
                <w:szCs w:val="21"/>
                <w:highlight w:val="none"/>
                <w:lang w:eastAsia="zh-CN"/>
              </w:rPr>
              <w:t>类似业绩不予认可。</w:t>
            </w:r>
          </w:p>
          <w:p w14:paraId="629A516A">
            <w:pPr>
              <w:numPr>
                <w:ilvl w:val="0"/>
                <w:numId w:val="0"/>
              </w:numPr>
              <w:spacing w:after="0" w:line="360" w:lineRule="auto"/>
              <w:rPr>
                <w:rFonts w:hint="eastAsia" w:eastAsia="宋体"/>
                <w:color w:val="auto"/>
                <w:szCs w:val="21"/>
                <w:highlight w:val="none"/>
              </w:rPr>
            </w:pPr>
            <w:r>
              <w:rPr>
                <w:rFonts w:hint="eastAsia"/>
                <w:color w:val="auto"/>
                <w:szCs w:val="21"/>
                <w:highlight w:val="none"/>
                <w:lang w:val="en-US" w:eastAsia="zh-CN"/>
              </w:rPr>
              <w:t>f、</w:t>
            </w:r>
            <w:r>
              <w:rPr>
                <w:rFonts w:hint="eastAsia"/>
                <w:color w:val="auto"/>
                <w:szCs w:val="21"/>
                <w:highlight w:val="none"/>
                <w:lang w:eastAsia="zh-CN"/>
              </w:rPr>
              <w:t>类似</w:t>
            </w:r>
            <w:r>
              <w:rPr>
                <w:rFonts w:hint="eastAsia"/>
                <w:color w:val="auto"/>
                <w:szCs w:val="21"/>
                <w:highlight w:val="none"/>
              </w:rPr>
              <w:t>业绩时限自交工验收或竣工验收文件（证书）中建设单位签字或盖章之日起计算。未体现建设单位签字或盖章之日的，以竣工验收备案表（经建设工程质量监督部门签字</w:t>
            </w:r>
            <w:r>
              <w:rPr>
                <w:rFonts w:hint="eastAsia"/>
                <w:color w:val="auto"/>
                <w:szCs w:val="21"/>
                <w:highlight w:val="none"/>
                <w:lang w:val="en-US" w:eastAsia="zh-CN"/>
              </w:rPr>
              <w:t>或盖章</w:t>
            </w:r>
            <w:r>
              <w:rPr>
                <w:rFonts w:hint="eastAsia"/>
                <w:color w:val="auto"/>
                <w:szCs w:val="21"/>
                <w:highlight w:val="none"/>
              </w:rPr>
              <w:t>）</w:t>
            </w:r>
            <w:r>
              <w:rPr>
                <w:rFonts w:hint="eastAsia"/>
                <w:color w:val="auto"/>
                <w:szCs w:val="21"/>
                <w:highlight w:val="none"/>
                <w:lang w:eastAsia="zh-CN"/>
              </w:rPr>
              <w:t>中</w:t>
            </w:r>
            <w:r>
              <w:rPr>
                <w:rFonts w:hint="eastAsia"/>
                <w:color w:val="auto"/>
                <w:szCs w:val="21"/>
                <w:highlight w:val="none"/>
              </w:rPr>
              <w:t>“竣工验收日期”栏中注明的</w:t>
            </w:r>
            <w:r>
              <w:rPr>
                <w:rFonts w:hint="eastAsia" w:eastAsia="宋体"/>
                <w:color w:val="auto"/>
                <w:szCs w:val="21"/>
                <w:highlight w:val="none"/>
              </w:rPr>
              <w:t>时间为准。</w:t>
            </w:r>
          </w:p>
          <w:p w14:paraId="5D706092">
            <w:pPr>
              <w:numPr>
                <w:ilvl w:val="0"/>
                <w:numId w:val="0"/>
              </w:numPr>
              <w:spacing w:after="0" w:line="360" w:lineRule="auto"/>
              <w:rPr>
                <w:strike/>
                <w:color w:val="auto"/>
                <w:highlight w:val="none"/>
              </w:rPr>
            </w:pPr>
            <w:r>
              <w:rPr>
                <w:rFonts w:hint="eastAsia" w:eastAsia="宋体"/>
                <w:color w:val="auto"/>
                <w:szCs w:val="21"/>
                <w:highlight w:val="none"/>
              </w:rPr>
              <w:t>（</w:t>
            </w:r>
            <w:r>
              <w:rPr>
                <w:rFonts w:hint="eastAsia" w:eastAsia="宋体"/>
                <w:color w:val="auto"/>
                <w:szCs w:val="21"/>
                <w:highlight w:val="none"/>
                <w:lang w:val="en-US" w:eastAsia="zh-CN"/>
              </w:rPr>
              <w:t>3</w:t>
            </w:r>
            <w:r>
              <w:rPr>
                <w:rFonts w:hint="eastAsia" w:eastAsia="宋体"/>
                <w:color w:val="auto"/>
                <w:szCs w:val="21"/>
                <w:highlight w:val="none"/>
              </w:rPr>
              <w:t>）招标项目存在不同专业工程内容的,招标人应根据项目实际情况在资格预审文件中明确主要专业，加分业绩的指标标准按照主要专业的规模设置，主要专业详见本附表第9.6款。</w:t>
            </w:r>
          </w:p>
        </w:tc>
      </w:tr>
      <w:tr w14:paraId="43D21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7FFA55D9">
            <w:pPr>
              <w:snapToGrid w:val="0"/>
              <w:jc w:val="center"/>
              <w:rPr>
                <w:rFonts w:hint="eastAsia" w:ascii="宋体" w:hAnsi="宋体"/>
                <w:color w:val="auto"/>
                <w:szCs w:val="21"/>
                <w:highlight w:val="none"/>
              </w:rPr>
            </w:pPr>
            <w:r>
              <w:rPr>
                <w:rFonts w:hint="eastAsia" w:ascii="宋体" w:hAnsi="宋体"/>
                <w:color w:val="auto"/>
                <w:szCs w:val="21"/>
                <w:highlight w:val="none"/>
              </w:rPr>
              <w:t>9.2</w:t>
            </w:r>
          </w:p>
        </w:tc>
        <w:tc>
          <w:tcPr>
            <w:tcW w:w="1855" w:type="dxa"/>
            <w:tcBorders>
              <w:right w:val="single" w:color="auto" w:sz="4" w:space="0"/>
            </w:tcBorders>
            <w:vAlign w:val="center"/>
          </w:tcPr>
          <w:p w14:paraId="2D442329">
            <w:pPr>
              <w:jc w:val="center"/>
              <w:rPr>
                <w:color w:val="auto"/>
                <w:szCs w:val="21"/>
                <w:highlight w:val="none"/>
              </w:rPr>
            </w:pPr>
            <w:r>
              <w:rPr>
                <w:rFonts w:hint="eastAsia" w:ascii="宋体" w:hAnsi="宋体" w:cs="宋体"/>
                <w:snapToGrid w:val="0"/>
                <w:color w:val="auto"/>
                <w:kern w:val="0"/>
                <w:szCs w:val="21"/>
                <w:highlight w:val="none"/>
              </w:rPr>
              <w:t>拟</w:t>
            </w:r>
            <w:r>
              <w:rPr>
                <w:rFonts w:hint="eastAsia" w:ascii="Calibri" w:hAnsi="Calibri" w:eastAsia="Arial" w:cs="Calibri"/>
                <w:snapToGrid w:val="0"/>
                <w:color w:val="auto"/>
                <w:kern w:val="0"/>
                <w:szCs w:val="21"/>
                <w:highlight w:val="none"/>
              </w:rPr>
              <w:t>任项目经理</w:t>
            </w:r>
            <w:r>
              <w:rPr>
                <w:rFonts w:hint="eastAsia" w:ascii="宋体" w:hAnsi="宋体" w:cs="宋体"/>
                <w:snapToGrid w:val="0"/>
                <w:color w:val="auto"/>
                <w:kern w:val="0"/>
                <w:szCs w:val="21"/>
                <w:highlight w:val="none"/>
              </w:rPr>
              <w:t>在其他项目任关键岗位人员（简称：</w:t>
            </w:r>
            <w:r>
              <w:rPr>
                <w:rFonts w:hint="eastAsia" w:ascii="Calibri" w:hAnsi="Calibri" w:eastAsia="Arial" w:cs="Calibri"/>
                <w:snapToGrid w:val="0"/>
                <w:color w:val="auto"/>
                <w:kern w:val="0"/>
                <w:szCs w:val="21"/>
                <w:highlight w:val="none"/>
              </w:rPr>
              <w:t>在建</w:t>
            </w:r>
            <w:r>
              <w:rPr>
                <w:rFonts w:hint="eastAsia" w:ascii="宋体" w:hAnsi="宋体" w:cs="宋体"/>
                <w:snapToGrid w:val="0"/>
                <w:color w:val="auto"/>
                <w:kern w:val="0"/>
                <w:szCs w:val="21"/>
                <w:highlight w:val="none"/>
              </w:rPr>
              <w:t>）</w:t>
            </w:r>
            <w:r>
              <w:rPr>
                <w:rFonts w:hint="eastAsia" w:ascii="Calibri" w:hAnsi="Calibri" w:eastAsia="Arial" w:cs="Calibri"/>
                <w:snapToGrid w:val="0"/>
                <w:color w:val="auto"/>
                <w:kern w:val="0"/>
                <w:szCs w:val="21"/>
                <w:highlight w:val="none"/>
              </w:rPr>
              <w:t>情况</w:t>
            </w:r>
          </w:p>
        </w:tc>
        <w:tc>
          <w:tcPr>
            <w:tcW w:w="6514" w:type="dxa"/>
            <w:tcBorders>
              <w:left w:val="single" w:color="auto" w:sz="4" w:space="0"/>
            </w:tcBorders>
            <w:vAlign w:val="center"/>
          </w:tcPr>
          <w:p w14:paraId="75F9CBF7">
            <w:pPr>
              <w:numPr>
                <w:ilvl w:val="0"/>
                <w:numId w:val="0"/>
              </w:numPr>
              <w:spacing w:after="0" w:line="360" w:lineRule="auto"/>
              <w:rPr>
                <w:rFonts w:hint="eastAsia" w:eastAsia="宋体"/>
                <w:color w:val="auto"/>
                <w:szCs w:val="21"/>
                <w:highlight w:val="none"/>
                <w:lang w:eastAsia="zh-CN"/>
              </w:rPr>
            </w:pPr>
            <w:r>
              <w:rPr>
                <w:rFonts w:hint="eastAsia" w:ascii="宋体" w:hAnsi="宋体" w:cs="仿宋_GB2312"/>
                <w:color w:val="auto"/>
                <w:highlight w:val="none"/>
              </w:rPr>
              <w:t>拟</w:t>
            </w:r>
            <w:r>
              <w:rPr>
                <w:rFonts w:hint="eastAsia" w:eastAsia="宋体"/>
                <w:color w:val="auto"/>
                <w:szCs w:val="21"/>
                <w:highlight w:val="none"/>
              </w:rPr>
              <w:t>任项目经理资格预审投标截止时未在其他任何项目上任关键岗位人员，项目经理能按时到岗履职，如不能按时到岗履职或经查实未如实说明任关键岗位人员情况，我方自愿接受处罚，并自愿接受招标人作出的取消我公司中标候选人或中标人资格的决定</w:t>
            </w:r>
            <w:r>
              <w:rPr>
                <w:rFonts w:hint="eastAsia" w:eastAsia="宋体"/>
                <w:color w:val="auto"/>
                <w:szCs w:val="21"/>
                <w:highlight w:val="none"/>
                <w:lang w:eastAsia="zh-CN"/>
              </w:rPr>
              <w:t>。</w:t>
            </w:r>
          </w:p>
          <w:p w14:paraId="1F618795">
            <w:pPr>
              <w:numPr>
                <w:ilvl w:val="0"/>
                <w:numId w:val="0"/>
              </w:numPr>
              <w:spacing w:after="0" w:line="360" w:lineRule="auto"/>
              <w:rPr>
                <w:rFonts w:hint="eastAsia" w:ascii="宋体" w:hAnsi="宋体" w:cs="仿宋_GB2312"/>
                <w:color w:val="auto"/>
                <w:highlight w:val="none"/>
              </w:rPr>
            </w:pPr>
            <w:r>
              <w:rPr>
                <w:rFonts w:hint="eastAsia" w:eastAsia="宋体"/>
                <w:color w:val="auto"/>
                <w:szCs w:val="21"/>
                <w:highlight w:val="none"/>
              </w:rPr>
              <w:t>本招标项目中标候选人公示中明确的公示期满之前，项目经理不能按时到岗履职（含不能从其他项目按期撤离）的，招标人应提请相关部门依法认定为失信行为,并依规进行处罚，对于取得中标候选人或中标人资格的，还应取消其中标候选人或中标人资格。</w:t>
            </w:r>
          </w:p>
        </w:tc>
      </w:tr>
      <w:tr w14:paraId="5A0F9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089ABCD9">
            <w:pPr>
              <w:snapToGrid w:val="0"/>
              <w:jc w:val="center"/>
              <w:rPr>
                <w:rFonts w:hint="eastAsia" w:ascii="宋体" w:hAnsi="宋体"/>
                <w:color w:val="auto"/>
                <w:szCs w:val="21"/>
                <w:highlight w:val="none"/>
              </w:rPr>
            </w:pPr>
            <w:r>
              <w:rPr>
                <w:rFonts w:hint="eastAsia" w:ascii="宋体" w:hAnsi="宋体"/>
                <w:color w:val="auto"/>
                <w:szCs w:val="21"/>
                <w:highlight w:val="none"/>
              </w:rPr>
              <w:t>9.3</w:t>
            </w:r>
          </w:p>
        </w:tc>
        <w:tc>
          <w:tcPr>
            <w:tcW w:w="1855" w:type="dxa"/>
            <w:tcBorders>
              <w:right w:val="single" w:color="auto" w:sz="4" w:space="0"/>
            </w:tcBorders>
            <w:vAlign w:val="center"/>
          </w:tcPr>
          <w:p w14:paraId="5754B58B">
            <w:pPr>
              <w:rPr>
                <w:rFonts w:hint="eastAsia" w:ascii="宋体" w:hAnsi="宋体" w:cs="宋体"/>
                <w:snapToGrid w:val="0"/>
                <w:color w:val="auto"/>
                <w:kern w:val="0"/>
                <w:szCs w:val="21"/>
                <w:highlight w:val="none"/>
              </w:rPr>
            </w:pPr>
            <w:r>
              <w:rPr>
                <w:rFonts w:hint="eastAsia"/>
                <w:color w:val="auto"/>
                <w:szCs w:val="21"/>
                <w:highlight w:val="none"/>
              </w:rPr>
              <w:t>奖项加分要求</w:t>
            </w:r>
          </w:p>
        </w:tc>
        <w:tc>
          <w:tcPr>
            <w:tcW w:w="6514" w:type="dxa"/>
            <w:tcBorders>
              <w:left w:val="single" w:color="auto" w:sz="4" w:space="0"/>
            </w:tcBorders>
            <w:vAlign w:val="center"/>
          </w:tcPr>
          <w:p w14:paraId="51A99B34">
            <w:pPr>
              <w:rPr>
                <w:rFonts w:ascii="Calibri" w:hAnsi="Calibri" w:cs="Calibri"/>
                <w:b/>
                <w:bCs/>
                <w:color w:val="auto"/>
                <w:szCs w:val="21"/>
                <w:highlight w:val="none"/>
              </w:rPr>
            </w:pPr>
            <w:r>
              <w:rPr>
                <w:rFonts w:hint="eastAsia" w:ascii="Calibri" w:hAnsi="Calibri" w:cs="Calibri"/>
                <w:color w:val="auto"/>
                <w:szCs w:val="21"/>
                <w:highlight w:val="none"/>
              </w:rPr>
              <w:t>1、</w:t>
            </w:r>
            <w:r>
              <w:rPr>
                <w:rFonts w:hint="eastAsia" w:ascii="Calibri" w:hAnsi="Calibri" w:cs="Calibri"/>
                <w:b/>
                <w:bCs/>
                <w:color w:val="auto"/>
                <w:szCs w:val="21"/>
                <w:highlight w:val="none"/>
              </w:rPr>
              <w:t>申请人奖项个数及权重：</w:t>
            </w:r>
          </w:p>
          <w:p w14:paraId="588004DB">
            <w:pPr>
              <w:rPr>
                <w:rFonts w:ascii="Calibri" w:hAnsi="Calibri" w:cs="Calibri"/>
                <w:color w:val="auto"/>
                <w:szCs w:val="21"/>
                <w:highlight w:val="none"/>
              </w:rPr>
            </w:pPr>
            <w:r>
              <w:rPr>
                <w:rFonts w:hint="eastAsia" w:ascii="Calibri" w:hAnsi="Calibri" w:cs="Calibri"/>
                <w:color w:val="auto"/>
                <w:szCs w:val="21"/>
                <w:highlight w:val="none"/>
              </w:rPr>
              <w:t>（1）个数：</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3</w:t>
            </w:r>
            <w:r>
              <w:rPr>
                <w:rFonts w:hint="eastAsia" w:ascii="Calibri" w:hAnsi="Calibri" w:cs="Calibri"/>
                <w:color w:val="auto"/>
                <w:szCs w:val="21"/>
                <w:highlight w:val="none"/>
              </w:rPr>
              <w:t>个</w:t>
            </w:r>
          </w:p>
          <w:p w14:paraId="555D1EA6">
            <w:pPr>
              <w:rPr>
                <w:rFonts w:ascii="Calibri" w:hAnsi="Calibri" w:cs="Calibri"/>
                <w:color w:val="auto"/>
                <w:szCs w:val="21"/>
                <w:highlight w:val="none"/>
              </w:rPr>
            </w:pPr>
            <w:r>
              <w:rPr>
                <w:rFonts w:hint="eastAsia" w:ascii="Calibri" w:hAnsi="Calibri" w:cs="Calibri"/>
                <w:b/>
                <w:bCs/>
                <w:color w:val="auto"/>
                <w:szCs w:val="21"/>
                <w:highlight w:val="none"/>
              </w:rPr>
              <w:t>（2）奖项加分权重</w:t>
            </w:r>
            <w:r>
              <w:rPr>
                <w:rFonts w:ascii="Calibri" w:hAnsi="Calibri" w:cs="Calibri"/>
                <w:color w:val="auto"/>
                <w:szCs w:val="21"/>
                <w:highlight w:val="none"/>
              </w:rPr>
              <w:t>为</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10</w:t>
            </w:r>
            <w:r>
              <w:rPr>
                <w:rFonts w:ascii="Calibri" w:hAnsi="Calibri" w:cs="Calibri"/>
                <w:color w:val="auto"/>
                <w:szCs w:val="21"/>
                <w:highlight w:val="none"/>
                <w:u w:val="single"/>
              </w:rPr>
              <w:t xml:space="preserve">0%  </w:t>
            </w:r>
            <w:r>
              <w:rPr>
                <w:rFonts w:ascii="Calibri" w:hAnsi="Calibri" w:cs="Calibri"/>
                <w:color w:val="auto"/>
                <w:szCs w:val="21"/>
                <w:highlight w:val="none"/>
              </w:rPr>
              <w:t>，</w:t>
            </w:r>
            <w:r>
              <w:rPr>
                <w:rFonts w:hint="eastAsia" w:ascii="Calibri" w:hAnsi="Calibri" w:cs="Calibri"/>
                <w:color w:val="auto"/>
                <w:szCs w:val="21"/>
                <w:highlight w:val="none"/>
              </w:rPr>
              <w:t>依次按：</w:t>
            </w:r>
          </w:p>
          <w:p w14:paraId="187BE1A8">
            <w:pPr>
              <w:rPr>
                <w:rFonts w:ascii="Calibri" w:hAnsi="Calibri" w:cs="Calibri"/>
                <w:color w:val="auto"/>
                <w:szCs w:val="21"/>
                <w:highlight w:val="none"/>
              </w:rPr>
            </w:pPr>
            <w:r>
              <w:rPr>
                <w:rFonts w:hint="eastAsia" w:ascii="Calibri" w:hAnsi="Calibri" w:cs="Calibri"/>
                <w:color w:val="auto"/>
                <w:szCs w:val="21"/>
                <w:highlight w:val="none"/>
              </w:rPr>
              <w:t>①招标人设置</w:t>
            </w:r>
            <w:r>
              <w:rPr>
                <w:rFonts w:ascii="Calibri" w:hAnsi="Calibri" w:cs="Calibri"/>
                <w:color w:val="auto"/>
                <w:szCs w:val="21"/>
                <w:highlight w:val="none"/>
              </w:rPr>
              <w:t>3</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50%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，第三个奖项占该部分得分权重</w:t>
            </w:r>
            <w:r>
              <w:rPr>
                <w:rFonts w:ascii="Calibri" w:hAnsi="Calibri" w:cs="Calibri"/>
                <w:color w:val="auto"/>
                <w:szCs w:val="21"/>
                <w:highlight w:val="none"/>
                <w:u w:val="single"/>
              </w:rPr>
              <w:t xml:space="preserve">   20%  </w:t>
            </w:r>
            <w:r>
              <w:rPr>
                <w:rFonts w:ascii="Calibri" w:hAnsi="Calibri" w:cs="Calibri"/>
                <w:color w:val="auto"/>
                <w:szCs w:val="21"/>
                <w:highlight w:val="none"/>
              </w:rPr>
              <w:t xml:space="preserve"> </w:t>
            </w:r>
            <w:r>
              <w:rPr>
                <w:rFonts w:hint="eastAsia" w:ascii="Calibri" w:hAnsi="Calibri" w:cs="Calibri"/>
                <w:color w:val="auto"/>
                <w:szCs w:val="21"/>
                <w:highlight w:val="none"/>
              </w:rPr>
              <w:t>。</w:t>
            </w:r>
          </w:p>
          <w:p w14:paraId="184C75F1">
            <w:pPr>
              <w:rPr>
                <w:rFonts w:ascii="Calibri" w:hAnsi="Calibri" w:cs="Calibri"/>
                <w:color w:val="auto"/>
                <w:szCs w:val="21"/>
                <w:highlight w:val="none"/>
              </w:rPr>
            </w:pPr>
            <w:r>
              <w:rPr>
                <w:rFonts w:hint="eastAsia" w:ascii="Calibri" w:hAnsi="Calibri" w:cs="Calibri"/>
                <w:color w:val="auto"/>
                <w:szCs w:val="21"/>
                <w:highlight w:val="none"/>
              </w:rPr>
              <w:t>②招标人设置</w:t>
            </w:r>
            <w:r>
              <w:rPr>
                <w:rFonts w:ascii="Calibri" w:hAnsi="Calibri" w:cs="Calibri"/>
                <w:color w:val="auto"/>
                <w:szCs w:val="21"/>
                <w:highlight w:val="none"/>
              </w:rPr>
              <w:t>2</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60%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40%  </w:t>
            </w:r>
            <w:r>
              <w:rPr>
                <w:rFonts w:hint="eastAsia" w:ascii="Calibri" w:hAnsi="Calibri" w:cs="Calibri"/>
                <w:color w:val="auto"/>
                <w:szCs w:val="21"/>
                <w:highlight w:val="none"/>
              </w:rPr>
              <w:t>。</w:t>
            </w:r>
          </w:p>
          <w:p w14:paraId="51C1CC18">
            <w:pPr>
              <w:rPr>
                <w:rFonts w:ascii="Calibri" w:hAnsi="Calibri" w:cs="Calibri"/>
                <w:b/>
                <w:bCs/>
                <w:color w:val="auto"/>
                <w:szCs w:val="21"/>
                <w:highlight w:val="none"/>
              </w:rPr>
            </w:pPr>
            <w:r>
              <w:rPr>
                <w:rFonts w:hint="eastAsia" w:ascii="Calibri" w:hAnsi="Calibri" w:cs="Calibri"/>
                <w:color w:val="auto"/>
                <w:szCs w:val="21"/>
                <w:highlight w:val="none"/>
              </w:rPr>
              <w:t>③招标人设置</w:t>
            </w:r>
            <w:r>
              <w:rPr>
                <w:rFonts w:ascii="Calibri" w:hAnsi="Calibri" w:cs="Calibri"/>
                <w:color w:val="auto"/>
                <w:szCs w:val="21"/>
                <w:highlight w:val="none"/>
              </w:rPr>
              <w:t>1</w:t>
            </w:r>
            <w:r>
              <w:rPr>
                <w:rFonts w:hint="eastAsia" w:ascii="Calibri" w:hAnsi="Calibri" w:cs="Calibri"/>
                <w:color w:val="auto"/>
                <w:szCs w:val="21"/>
                <w:highlight w:val="none"/>
              </w:rPr>
              <w:t>个加分奖项的，加分奖项占该部分得分权重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100%  </w:t>
            </w:r>
            <w:r>
              <w:rPr>
                <w:rFonts w:hint="eastAsia" w:ascii="Calibri" w:hAnsi="Calibri" w:cs="Calibri"/>
                <w:b/>
                <w:bCs/>
                <w:color w:val="auto"/>
                <w:szCs w:val="21"/>
                <w:highlight w:val="none"/>
              </w:rPr>
              <w:t>。</w:t>
            </w:r>
          </w:p>
          <w:p w14:paraId="5FD083F8">
            <w:pPr>
              <w:rPr>
                <w:rFonts w:ascii="Calibri" w:hAnsi="Calibri" w:cs="Calibri"/>
                <w:b/>
                <w:bCs/>
                <w:color w:val="auto"/>
                <w:szCs w:val="21"/>
                <w:highlight w:val="none"/>
              </w:rPr>
            </w:pPr>
            <w:r>
              <w:rPr>
                <w:rFonts w:hint="eastAsia" w:ascii="Calibri" w:hAnsi="Calibri" w:cs="Calibri"/>
                <w:color w:val="auto"/>
                <w:szCs w:val="21"/>
                <w:highlight w:val="none"/>
              </w:rPr>
              <w:t>2、</w:t>
            </w:r>
            <w:r>
              <w:rPr>
                <w:rFonts w:hint="eastAsia" w:ascii="Calibri" w:hAnsi="Calibri" w:cs="Calibri"/>
                <w:b/>
                <w:bCs/>
                <w:color w:val="auto"/>
                <w:szCs w:val="21"/>
                <w:highlight w:val="none"/>
              </w:rPr>
              <w:t>项目经理奖项个数及权重：</w:t>
            </w:r>
          </w:p>
          <w:p w14:paraId="116606C1">
            <w:pPr>
              <w:rPr>
                <w:rFonts w:ascii="Calibri" w:hAnsi="Calibri" w:cs="Calibri"/>
                <w:color w:val="auto"/>
                <w:szCs w:val="21"/>
                <w:highlight w:val="none"/>
              </w:rPr>
            </w:pPr>
            <w:r>
              <w:rPr>
                <w:rFonts w:hint="eastAsia" w:ascii="Calibri" w:hAnsi="Calibri" w:cs="Calibri"/>
                <w:b/>
                <w:bCs/>
                <w:color w:val="auto"/>
                <w:szCs w:val="21"/>
                <w:highlight w:val="none"/>
              </w:rPr>
              <w:t>（1）个数：</w:t>
            </w:r>
            <w:r>
              <w:rPr>
                <w:rFonts w:ascii="Calibri" w:hAnsi="Calibri" w:cs="Calibri"/>
                <w:color w:val="auto"/>
                <w:szCs w:val="21"/>
                <w:highlight w:val="none"/>
              </w:rPr>
              <w:sym w:font="Wingdings 2" w:char="00A3"/>
            </w:r>
            <w:r>
              <w:rPr>
                <w:rFonts w:hint="eastAsia" w:ascii="Calibri" w:hAnsi="Calibri" w:cs="Calibri"/>
                <w:color w:val="auto"/>
                <w:szCs w:val="21"/>
                <w:highlight w:val="none"/>
              </w:rPr>
              <w:t xml:space="preserve">0个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p>
          <w:p w14:paraId="60979FD6">
            <w:pPr>
              <w:rPr>
                <w:rFonts w:ascii="Calibri" w:hAnsi="Calibri" w:cs="Calibri"/>
                <w:color w:val="auto"/>
                <w:szCs w:val="21"/>
                <w:highlight w:val="none"/>
              </w:rPr>
            </w:pPr>
            <w:r>
              <w:rPr>
                <w:rFonts w:hint="eastAsia" w:ascii="Calibri" w:hAnsi="Calibri" w:cs="Calibri"/>
                <w:color w:val="auto"/>
                <w:szCs w:val="21"/>
                <w:highlight w:val="none"/>
              </w:rPr>
              <w:t>（2）</w:t>
            </w:r>
            <w:r>
              <w:rPr>
                <w:rFonts w:hint="eastAsia" w:ascii="Calibri" w:hAnsi="Calibri" w:cs="Calibri"/>
                <w:b/>
                <w:bCs/>
                <w:color w:val="auto"/>
                <w:szCs w:val="21"/>
                <w:highlight w:val="none"/>
              </w:rPr>
              <w:t>奖项加分权重</w:t>
            </w:r>
            <w:r>
              <w:rPr>
                <w:rFonts w:ascii="Calibri" w:hAnsi="Calibri" w:cs="Calibri"/>
                <w:color w:val="auto"/>
                <w:szCs w:val="21"/>
                <w:highlight w:val="none"/>
              </w:rPr>
              <w:t>为</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10</w:t>
            </w:r>
            <w:r>
              <w:rPr>
                <w:rFonts w:ascii="Calibri" w:hAnsi="Calibri" w:cs="Calibri"/>
                <w:color w:val="auto"/>
                <w:szCs w:val="21"/>
                <w:highlight w:val="none"/>
                <w:u w:val="single"/>
              </w:rPr>
              <w:t xml:space="preserve">0%  </w:t>
            </w:r>
          </w:p>
          <w:p w14:paraId="4B62E1B4">
            <w:pPr>
              <w:rPr>
                <w:rFonts w:ascii="Calibri" w:hAnsi="Calibri" w:cs="Calibri"/>
                <w:b/>
                <w:bCs/>
                <w:color w:val="auto"/>
                <w:szCs w:val="21"/>
                <w:highlight w:val="none"/>
              </w:rPr>
            </w:pPr>
            <w:r>
              <w:rPr>
                <w:rFonts w:hint="eastAsia" w:ascii="Calibri" w:hAnsi="Calibri" w:cs="Calibri"/>
                <w:color w:val="auto"/>
                <w:szCs w:val="21"/>
                <w:highlight w:val="none"/>
              </w:rPr>
              <w:t>3、奖项时间及类型：近</w:t>
            </w:r>
            <w:r>
              <w:rPr>
                <w:rFonts w:ascii="Calibri" w:hAnsi="Calibri" w:cs="Calibri"/>
                <w:color w:val="auto"/>
                <w:szCs w:val="21"/>
                <w:highlight w:val="none"/>
                <w:u w:val="single"/>
              </w:rPr>
              <w:t xml:space="preserve">  3  </w:t>
            </w:r>
            <w:r>
              <w:rPr>
                <w:rFonts w:hint="eastAsia" w:ascii="Calibri" w:hAnsi="Calibri" w:cs="Calibri"/>
                <w:color w:val="auto"/>
                <w:szCs w:val="21"/>
                <w:highlight w:val="none"/>
              </w:rPr>
              <w:t>年获得的</w:t>
            </w:r>
            <w:r>
              <w:rPr>
                <w:color w:val="auto"/>
                <w:sz w:val="21"/>
                <w:szCs w:val="21"/>
                <w:highlight w:val="none"/>
              </w:rPr>
              <w:sym w:font="Wingdings 2" w:char="00A3"/>
            </w:r>
            <w:r>
              <w:rPr>
                <w:rFonts w:hint="eastAsia" w:ascii="Calibri" w:hAnsi="Calibri" w:cs="Calibri"/>
                <w:color w:val="auto"/>
                <w:szCs w:val="21"/>
                <w:highlight w:val="none"/>
              </w:rPr>
              <w:t>房屋建筑工程</w:t>
            </w:r>
            <w:r>
              <w:rPr>
                <w:rFonts w:hint="eastAsia" w:ascii="Calibri" w:hAnsi="Calibri" w:cs="Calibri"/>
                <w:color w:val="auto"/>
                <w:szCs w:val="21"/>
                <w:highlight w:val="none"/>
                <w:lang w:val="en-US" w:eastAsia="zh-CN"/>
              </w:rPr>
              <w:t xml:space="preserve"> </w:t>
            </w:r>
            <w:r>
              <w:rPr>
                <w:color w:val="auto"/>
                <w:sz w:val="21"/>
                <w:szCs w:val="21"/>
                <w:highlight w:val="none"/>
              </w:rPr>
              <w:sym w:font="Wingdings 2" w:char="00A3"/>
            </w:r>
            <w:r>
              <w:rPr>
                <w:rFonts w:hint="eastAsia" w:ascii="Calibri" w:hAnsi="Calibri" w:cs="Calibri"/>
                <w:color w:val="auto"/>
                <w:szCs w:val="21"/>
                <w:highlight w:val="none"/>
              </w:rPr>
              <w:t>市政公用工程奖项均予以计分。</w:t>
            </w:r>
          </w:p>
          <w:p w14:paraId="46EEB7E3">
            <w:pPr>
              <w:rPr>
                <w:rFonts w:ascii="Calibri" w:hAnsi="Calibri" w:cs="Calibri"/>
                <w:color w:val="auto"/>
                <w:szCs w:val="21"/>
                <w:highlight w:val="none"/>
              </w:rPr>
            </w:pPr>
            <w:r>
              <w:rPr>
                <w:rFonts w:hint="eastAsia" w:ascii="Calibri" w:hAnsi="Calibri" w:cs="Calibri"/>
                <w:b/>
                <w:bCs/>
                <w:color w:val="auto"/>
                <w:szCs w:val="21"/>
                <w:highlight w:val="none"/>
              </w:rPr>
              <w:t>行业通用权威奖：</w:t>
            </w:r>
            <w:r>
              <w:rPr>
                <w:rFonts w:hint="eastAsia" w:ascii="Calibri" w:hAnsi="Calibri" w:cs="Calibri"/>
                <w:b/>
                <w:bCs/>
                <w:color w:val="auto"/>
                <w:szCs w:val="21"/>
                <w:highlight w:val="none"/>
                <w:u w:val="single"/>
              </w:rPr>
              <w:t xml:space="preserve">             </w:t>
            </w:r>
            <w:r>
              <w:rPr>
                <w:rFonts w:hint="eastAsia" w:ascii="Calibri" w:hAnsi="Calibri" w:cs="Calibri"/>
                <w:b/>
                <w:bCs/>
                <w:color w:val="auto"/>
                <w:szCs w:val="21"/>
                <w:highlight w:val="none"/>
              </w:rPr>
              <w:t>（</w:t>
            </w:r>
            <w:r>
              <w:rPr>
                <w:rFonts w:hint="eastAsia" w:ascii="Calibri" w:hAnsi="Calibri" w:cs="Calibri"/>
                <w:color w:val="auto"/>
                <w:szCs w:val="21"/>
                <w:highlight w:val="none"/>
              </w:rPr>
              <w:t>如</w:t>
            </w:r>
            <w:r>
              <w:rPr>
                <w:rFonts w:ascii="Calibri" w:hAnsi="Calibri" w:cs="Calibri"/>
                <w:color w:val="auto"/>
                <w:szCs w:val="21"/>
                <w:highlight w:val="none"/>
              </w:rPr>
              <w:t>鲁班奖</w:t>
            </w:r>
            <w:r>
              <w:rPr>
                <w:rFonts w:hint="eastAsia" w:ascii="Calibri" w:hAnsi="Calibri" w:cs="Calibri"/>
                <w:color w:val="auto"/>
                <w:szCs w:val="21"/>
                <w:highlight w:val="none"/>
              </w:rPr>
              <w:t>、</w:t>
            </w:r>
            <w:r>
              <w:rPr>
                <w:rFonts w:ascii="Calibri" w:hAnsi="Calibri" w:cs="Calibri"/>
                <w:color w:val="auto"/>
                <w:szCs w:val="21"/>
                <w:highlight w:val="none"/>
              </w:rPr>
              <w:t>国家优质工程奖</w:t>
            </w:r>
            <w:r>
              <w:rPr>
                <w:rFonts w:hint="eastAsia" w:ascii="Calibri" w:hAnsi="Calibri" w:cs="Calibri"/>
                <w:color w:val="auto"/>
                <w:szCs w:val="21"/>
                <w:highlight w:val="none"/>
              </w:rPr>
              <w:t>、</w:t>
            </w:r>
            <w:r>
              <w:rPr>
                <w:rFonts w:hint="eastAsia" w:asciiTheme="majorEastAsia" w:hAnsiTheme="majorEastAsia" w:eastAsiaTheme="majorEastAsia"/>
                <w:color w:val="auto"/>
                <w:szCs w:val="21"/>
                <w:highlight w:val="none"/>
              </w:rPr>
              <w:t>建设工程安全生产标准化工地学习交流项目、</w:t>
            </w:r>
            <w:r>
              <w:rPr>
                <w:rFonts w:hint="eastAsia" w:ascii="Calibri" w:hAnsi="Calibri" w:cs="Calibri"/>
                <w:color w:val="auto"/>
                <w:szCs w:val="21"/>
                <w:highlight w:val="none"/>
              </w:rPr>
              <w:t>省级综合工程质量奖，具体奖项可</w:t>
            </w:r>
            <w:bookmarkStart w:id="35" w:name="_Hlk195793126"/>
            <w:r>
              <w:rPr>
                <w:rFonts w:hint="eastAsia" w:ascii="宋体" w:hAnsi="宋体" w:cs="宋体"/>
                <w:color w:val="auto"/>
                <w:szCs w:val="21"/>
                <w:highlight w:val="none"/>
              </w:rPr>
              <w:t>由招标人根据项目情况依法依规在资格预审文件中明确。</w:t>
            </w:r>
            <w:bookmarkEnd w:id="35"/>
          </w:p>
          <w:p w14:paraId="348AEC63">
            <w:pPr>
              <w:rPr>
                <w:rFonts w:ascii="Calibri" w:hAnsi="Calibri" w:cs="Calibri"/>
                <w:color w:val="auto"/>
                <w:szCs w:val="21"/>
                <w:highlight w:val="none"/>
              </w:rPr>
            </w:pPr>
            <w:r>
              <w:rPr>
                <w:rFonts w:ascii="Calibri" w:hAnsi="Calibri" w:cs="Calibri"/>
                <w:b/>
                <w:bCs/>
                <w:color w:val="auto"/>
                <w:szCs w:val="21"/>
                <w:highlight w:val="none"/>
              </w:rPr>
              <w:t>专项奖：</w:t>
            </w:r>
            <w:r>
              <w:rPr>
                <w:rFonts w:hint="eastAsia" w:ascii="Calibri" w:hAnsi="Calibri" w:cs="Calibri"/>
                <w:b/>
                <w:bCs/>
                <w:color w:val="auto"/>
                <w:szCs w:val="21"/>
                <w:highlight w:val="none"/>
                <w:u w:val="single"/>
              </w:rPr>
              <w:t xml:space="preserve">             </w:t>
            </w:r>
            <w:r>
              <w:rPr>
                <w:rFonts w:hint="eastAsia" w:ascii="Calibri" w:hAnsi="Calibri" w:cs="Calibri"/>
                <w:b/>
                <w:bCs/>
                <w:color w:val="auto"/>
                <w:szCs w:val="21"/>
                <w:highlight w:val="none"/>
              </w:rPr>
              <w:t>（</w:t>
            </w:r>
            <w:r>
              <w:rPr>
                <w:rFonts w:hint="eastAsia" w:ascii="Calibri" w:hAnsi="Calibri" w:cs="Calibri"/>
                <w:color w:val="auto"/>
                <w:szCs w:val="21"/>
                <w:highlight w:val="none"/>
              </w:rPr>
              <w:t>如三</w:t>
            </w:r>
            <w:r>
              <w:rPr>
                <w:rFonts w:ascii="Calibri" w:hAnsi="Calibri" w:cs="Calibri"/>
                <w:color w:val="auto"/>
                <w:szCs w:val="21"/>
                <w:highlight w:val="none"/>
              </w:rPr>
              <w:t>星级绿色建筑</w:t>
            </w:r>
            <w:r>
              <w:rPr>
                <w:rFonts w:hint="eastAsia" w:ascii="Calibri" w:hAnsi="Calibri" w:cs="Calibri"/>
                <w:color w:val="auto"/>
                <w:szCs w:val="21"/>
                <w:highlight w:val="none"/>
              </w:rPr>
              <w:t>、</w:t>
            </w:r>
            <w:r>
              <w:rPr>
                <w:rFonts w:ascii="Calibri" w:hAnsi="Calibri" w:cs="Calibri"/>
                <w:color w:val="auto"/>
                <w:szCs w:val="21"/>
                <w:highlight w:val="none"/>
              </w:rPr>
              <w:t>AAA级装配式建筑</w:t>
            </w:r>
            <w:r>
              <w:rPr>
                <w:rFonts w:hint="eastAsia" w:ascii="Calibri" w:hAnsi="Calibri" w:cs="Calibri"/>
                <w:color w:val="auto"/>
                <w:szCs w:val="21"/>
                <w:highlight w:val="none"/>
              </w:rPr>
              <w:t>、</w:t>
            </w:r>
            <w:r>
              <w:rPr>
                <w:rFonts w:ascii="Calibri" w:hAnsi="Calibri" w:cs="Calibri"/>
                <w:color w:val="auto"/>
                <w:szCs w:val="21"/>
                <w:highlight w:val="none"/>
              </w:rPr>
              <w:t>二星级绿色建筑</w:t>
            </w:r>
            <w:r>
              <w:rPr>
                <w:rFonts w:hint="eastAsia" w:ascii="Calibri" w:hAnsi="Calibri" w:cs="Calibri"/>
                <w:color w:val="auto"/>
                <w:szCs w:val="21"/>
                <w:highlight w:val="none"/>
              </w:rPr>
              <w:t>、</w:t>
            </w:r>
            <w:r>
              <w:rPr>
                <w:rFonts w:ascii="Calibri" w:hAnsi="Calibri" w:cs="Calibri"/>
                <w:color w:val="auto"/>
                <w:szCs w:val="21"/>
                <w:highlight w:val="none"/>
              </w:rPr>
              <w:t>AA级装配式建筑</w:t>
            </w:r>
            <w:r>
              <w:rPr>
                <w:rFonts w:hint="eastAsia" w:ascii="Calibri" w:hAnsi="Calibri" w:cs="Calibri"/>
                <w:color w:val="auto"/>
                <w:szCs w:val="21"/>
                <w:highlight w:val="none"/>
              </w:rPr>
              <w:t>，具体奖项可</w:t>
            </w:r>
            <w:r>
              <w:rPr>
                <w:rFonts w:hint="eastAsia" w:ascii="宋体" w:hAnsi="宋体" w:cs="宋体"/>
                <w:color w:val="auto"/>
                <w:szCs w:val="21"/>
                <w:highlight w:val="none"/>
              </w:rPr>
              <w:t>由招标人根据项目情况依法依规在资格预审文件中明确</w:t>
            </w:r>
            <w:r>
              <w:rPr>
                <w:rFonts w:hint="eastAsia" w:ascii="Calibri" w:hAnsi="Calibri" w:cs="Calibri"/>
                <w:color w:val="auto"/>
                <w:szCs w:val="21"/>
                <w:highlight w:val="none"/>
              </w:rPr>
              <w:t>。</w:t>
            </w:r>
          </w:p>
          <w:p w14:paraId="2F7E30F1">
            <w:pPr>
              <w:rPr>
                <w:rFonts w:ascii="Calibri" w:hAnsi="Calibri" w:cs="Calibri"/>
                <w:color w:val="auto"/>
                <w:szCs w:val="21"/>
                <w:highlight w:val="none"/>
              </w:rPr>
            </w:pPr>
            <w:r>
              <w:rPr>
                <w:rFonts w:ascii="Calibri" w:hAnsi="Calibri" w:cs="Calibri"/>
                <w:color w:val="auto"/>
                <w:szCs w:val="21"/>
                <w:highlight w:val="none"/>
              </w:rPr>
              <w:t>注：</w:t>
            </w:r>
          </w:p>
          <w:p w14:paraId="75C3220B">
            <w:pPr>
              <w:numPr>
                <w:ilvl w:val="0"/>
                <w:numId w:val="1"/>
              </w:numPr>
              <w:rPr>
                <w:rFonts w:ascii="Calibri" w:hAnsi="Calibri" w:cs="Calibri"/>
                <w:color w:val="auto"/>
                <w:szCs w:val="21"/>
                <w:highlight w:val="none"/>
              </w:rPr>
            </w:pPr>
            <w:r>
              <w:rPr>
                <w:rFonts w:ascii="Calibri" w:hAnsi="Calibri" w:cs="Calibri"/>
                <w:color w:val="auto"/>
                <w:szCs w:val="21"/>
                <w:highlight w:val="none"/>
              </w:rPr>
              <w:t>奖项级别权重为：国家级奖项加分权重为100%，省级奖项加分权重为国家级奖项加分权重的 80%</w:t>
            </w:r>
            <w:r>
              <w:rPr>
                <w:rFonts w:hint="eastAsia" w:ascii="Calibri" w:hAnsi="Calibri" w:cs="Calibri"/>
                <w:color w:val="auto"/>
                <w:szCs w:val="21"/>
                <w:highlight w:val="none"/>
              </w:rPr>
              <w:t>，其他级别</w:t>
            </w:r>
            <w:r>
              <w:rPr>
                <w:rFonts w:ascii="Calibri" w:hAnsi="Calibri" w:cs="Calibri"/>
                <w:color w:val="auto"/>
                <w:szCs w:val="21"/>
                <w:highlight w:val="none"/>
              </w:rPr>
              <w:t>奖项加分权重为国家级奖项加分权重的</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w:t>
            </w:r>
            <w:r>
              <w:rPr>
                <w:rFonts w:hint="eastAsia" w:ascii="Calibri" w:hAnsi="Calibri" w:cs="Calibri"/>
                <w:color w:val="auto"/>
                <w:szCs w:val="21"/>
                <w:highlight w:val="none"/>
              </w:rPr>
              <w:t>（加分权重不得高于60%，具体权重可</w:t>
            </w:r>
            <w:r>
              <w:rPr>
                <w:rFonts w:hint="eastAsia" w:ascii="宋体" w:hAnsi="宋体" w:cs="宋体"/>
                <w:color w:val="auto"/>
                <w:szCs w:val="21"/>
                <w:highlight w:val="none"/>
              </w:rPr>
              <w:t>由招标人根据项目情况依法依规在资格预审文件中明确</w:t>
            </w:r>
            <w:r>
              <w:rPr>
                <w:rFonts w:ascii="Calibri" w:hAnsi="Calibri" w:cs="Calibri"/>
                <w:color w:val="auto"/>
                <w:szCs w:val="21"/>
                <w:highlight w:val="none"/>
              </w:rPr>
              <w:t>；</w:t>
            </w:r>
          </w:p>
          <w:p w14:paraId="4C4CB76F">
            <w:pPr>
              <w:numPr>
                <w:ilvl w:val="0"/>
                <w:numId w:val="0"/>
              </w:numPr>
              <w:spacing w:line="360" w:lineRule="atLeast"/>
              <w:rPr>
                <w:rFonts w:ascii="Calibri" w:hAnsi="Calibri" w:cs="Calibri"/>
                <w:color w:val="auto"/>
                <w:szCs w:val="21"/>
                <w:highlight w:val="none"/>
              </w:rPr>
            </w:pPr>
            <w:r>
              <w:rPr>
                <w:rFonts w:ascii="Calibri" w:hAnsi="Calibri" w:eastAsia="宋体" w:cs="Calibri"/>
                <w:color w:val="auto"/>
                <w:kern w:val="2"/>
                <w:sz w:val="21"/>
                <w:szCs w:val="21"/>
                <w:highlight w:val="none"/>
                <w:lang w:val="en-US" w:eastAsia="zh-CN" w:bidi="ar-SA"/>
              </w:rPr>
              <w:t>（</w:t>
            </w:r>
            <w:r>
              <w:rPr>
                <w:rFonts w:hint="eastAsia" w:ascii="Calibri" w:hAnsi="Calibri" w:cs="Calibri"/>
                <w:color w:val="auto"/>
                <w:kern w:val="2"/>
                <w:sz w:val="21"/>
                <w:szCs w:val="21"/>
                <w:highlight w:val="none"/>
                <w:lang w:val="en-US" w:eastAsia="zh-CN" w:bidi="ar-SA"/>
              </w:rPr>
              <w:t>2</w:t>
            </w:r>
            <w:r>
              <w:rPr>
                <w:rFonts w:ascii="Calibri" w:hAnsi="Calibri" w:eastAsia="宋体" w:cs="Calibri"/>
                <w:color w:val="auto"/>
                <w:kern w:val="2"/>
                <w:sz w:val="21"/>
                <w:szCs w:val="21"/>
                <w:highlight w:val="none"/>
                <w:lang w:val="en-US" w:eastAsia="zh-CN" w:bidi="ar-SA"/>
              </w:rPr>
              <w:t>）</w:t>
            </w:r>
            <w:r>
              <w:rPr>
                <w:rFonts w:hint="eastAsia" w:cs="Calibri"/>
                <w:color w:val="auto"/>
                <w:szCs w:val="21"/>
                <w:highlight w:val="none"/>
                <w:lang w:val="en-US" w:eastAsia="zh-CN"/>
              </w:rPr>
              <w:t>奖项等级及排名的具体计分规则：按一等奖及以上100%、二等奖80%、三等奖50%相应权重计分，如有排名的，按第一名占相应权重计分的100%、第二名70%、第三名60%，其余依次按10%递减，第八名及以后按10%。没有等级、排名的，其等级权重、排名权重均按100%计算。</w:t>
            </w:r>
          </w:p>
          <w:p w14:paraId="6E571E94">
            <w:pPr>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3</w:t>
            </w:r>
            <w:r>
              <w:rPr>
                <w:rFonts w:ascii="Calibri" w:hAnsi="Calibri" w:cs="Calibri"/>
                <w:color w:val="auto"/>
                <w:szCs w:val="21"/>
                <w:highlight w:val="none"/>
              </w:rPr>
              <w:t>）奖项得分按照如下公式进行计算：</w:t>
            </w:r>
            <w:r>
              <w:rPr>
                <w:rFonts w:hint="eastAsia" w:ascii="宋体" w:hAnsi="宋体" w:cs="宋体"/>
                <w:color w:val="auto"/>
                <w:szCs w:val="21"/>
                <w:highlight w:val="none"/>
              </w:rPr>
              <w:t>奖项得分=奖项权重总分x奖项级别权重x奖项等级权重</w:t>
            </w:r>
            <w:r>
              <w:rPr>
                <w:rFonts w:ascii="Calibri" w:hAnsi="Calibri" w:cs="Calibri"/>
                <w:color w:val="auto"/>
                <w:szCs w:val="21"/>
                <w:highlight w:val="none"/>
              </w:rPr>
              <w:t>；</w:t>
            </w:r>
            <w:r>
              <w:rPr>
                <w:rFonts w:hint="eastAsia" w:ascii="Calibri" w:hAnsi="Calibri" w:cs="Calibri"/>
                <w:color w:val="auto"/>
                <w:szCs w:val="21"/>
                <w:highlight w:val="none"/>
              </w:rPr>
              <w:t>同一工程的奖项，按照得分最高的分值计算一次得分。</w:t>
            </w:r>
          </w:p>
          <w:p w14:paraId="14ED6D14">
            <w:pPr>
              <w:spacing w:line="360" w:lineRule="auto"/>
              <w:rPr>
                <w:rFonts w:hint="default" w:asciiTheme="majorEastAsia" w:hAnsiTheme="majorEastAsia" w:eastAsiaTheme="majorEastAsia"/>
                <w:color w:val="auto"/>
                <w:szCs w:val="21"/>
                <w:highlight w:val="none"/>
                <w:u w:val="single"/>
                <w:lang w:val="en-US"/>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4</w:t>
            </w:r>
            <w:r>
              <w:rPr>
                <w:rFonts w:ascii="Calibri" w:hAnsi="Calibri" w:cs="Calibri"/>
                <w:color w:val="auto"/>
                <w:szCs w:val="21"/>
                <w:highlight w:val="none"/>
              </w:rPr>
              <w:t>）</w:t>
            </w:r>
            <w:r>
              <w:rPr>
                <w:rFonts w:hint="eastAsia" w:ascii="Calibri" w:hAnsi="Calibri" w:cs="Calibri"/>
                <w:color w:val="auto"/>
                <w:szCs w:val="21"/>
                <w:highlight w:val="none"/>
                <w:lang w:val="en-US" w:eastAsia="zh-CN"/>
              </w:rPr>
              <w:t>奖项评审要求，由招标人根据招标项目实际需要在招标文件中明确，具体如下：</w:t>
            </w:r>
            <w:r>
              <w:rPr>
                <w:rFonts w:hint="eastAsia" w:ascii="Calibri" w:hAnsi="Calibri" w:cs="Calibri"/>
                <w:color w:val="auto"/>
                <w:szCs w:val="21"/>
                <w:highlight w:val="none"/>
                <w:u w:val="single"/>
                <w:lang w:val="en-US" w:eastAsia="zh-CN"/>
              </w:rPr>
              <w:t xml:space="preserve">                     </w:t>
            </w:r>
            <w:r>
              <w:rPr>
                <w:rFonts w:hint="eastAsia" w:ascii="Calibri" w:hAnsi="Calibri" w:cs="Calibri"/>
                <w:color w:val="auto"/>
                <w:szCs w:val="21"/>
                <w:highlight w:val="none"/>
                <w:u w:val="none"/>
                <w:lang w:val="en-US" w:eastAsia="zh-CN"/>
              </w:rPr>
              <w:t>。</w:t>
            </w:r>
          </w:p>
          <w:p w14:paraId="718442E8">
            <w:pPr>
              <w:rPr>
                <w:rFonts w:ascii="Calibri" w:hAnsi="Calibri" w:cs="Calibri"/>
                <w:color w:val="auto"/>
                <w:szCs w:val="21"/>
                <w:highlight w:val="none"/>
              </w:rPr>
            </w:pP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5</w:t>
            </w:r>
            <w:r>
              <w:rPr>
                <w:rFonts w:hint="eastAsia" w:ascii="Calibri" w:hAnsi="Calibri" w:cs="Calibri"/>
                <w:color w:val="auto"/>
                <w:szCs w:val="21"/>
                <w:highlight w:val="none"/>
                <w:lang w:eastAsia="zh-CN"/>
              </w:rPr>
              <w:t>）</w:t>
            </w:r>
            <w:r>
              <w:rPr>
                <w:rFonts w:ascii="Calibri" w:hAnsi="Calibri" w:cs="Calibri"/>
                <w:color w:val="auto"/>
                <w:szCs w:val="21"/>
                <w:highlight w:val="none"/>
              </w:rPr>
              <w:t>以联合体形式进行投标的，其加分奖项的第一、二个加分奖项必须是联合体牵头人具备的，第三个加分奖项可以是联合体成员的。</w:t>
            </w:r>
          </w:p>
          <w:p w14:paraId="2DE520CA">
            <w:pPr>
              <w:snapToGrid w:val="0"/>
              <w:rPr>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6</w:t>
            </w:r>
            <w:r>
              <w:rPr>
                <w:rFonts w:ascii="Calibri" w:hAnsi="Calibri" w:cs="Calibri"/>
                <w:color w:val="auto"/>
                <w:szCs w:val="21"/>
                <w:highlight w:val="none"/>
              </w:rPr>
              <w:t>）奖项</w:t>
            </w:r>
            <w:r>
              <w:rPr>
                <w:rFonts w:hint="eastAsia"/>
                <w:color w:val="auto"/>
                <w:szCs w:val="21"/>
                <w:highlight w:val="none"/>
              </w:rPr>
              <w:t>在资格预审申请文件中的列序由申请人按照自身最优原则进行列序。</w:t>
            </w:r>
          </w:p>
          <w:p w14:paraId="17ADEDED">
            <w:pPr>
              <w:snapToGrid w:val="0"/>
              <w:rPr>
                <w:rFonts w:hint="eastAsia" w:ascii="宋体" w:hAnsi="宋体" w:cs="仿宋_GB2312"/>
                <w:color w:val="auto"/>
                <w:highlight w:val="none"/>
              </w:rPr>
            </w:pPr>
            <w:r>
              <w:rPr>
                <w:rFonts w:ascii="Calibri" w:hAnsi="Calibri" w:cs="Calibri"/>
                <w:color w:val="auto"/>
                <w:szCs w:val="21"/>
                <w:highlight w:val="none"/>
              </w:rPr>
              <w:t>（</w:t>
            </w:r>
            <w:r>
              <w:rPr>
                <w:rFonts w:hint="eastAsia" w:ascii="Calibri" w:hAnsi="Calibri" w:cs="Calibri"/>
                <w:color w:val="auto"/>
                <w:szCs w:val="21"/>
                <w:highlight w:val="none"/>
                <w:lang w:val="en-US" w:eastAsia="zh-CN"/>
              </w:rPr>
              <w:t>7</w:t>
            </w:r>
            <w:r>
              <w:rPr>
                <w:rFonts w:ascii="Calibri" w:hAnsi="Calibri" w:cs="Calibri"/>
                <w:color w:val="auto"/>
                <w:szCs w:val="21"/>
                <w:highlight w:val="none"/>
              </w:rPr>
              <w:t>）</w:t>
            </w:r>
            <w:r>
              <w:rPr>
                <w:rFonts w:hint="eastAsia"/>
                <w:color w:val="auto"/>
                <w:szCs w:val="21"/>
                <w:highlight w:val="none"/>
              </w:rPr>
              <w:t>其他</w:t>
            </w:r>
            <w:r>
              <w:rPr>
                <w:rFonts w:hint="eastAsia"/>
                <w:color w:val="auto"/>
                <w:szCs w:val="21"/>
                <w:highlight w:val="none"/>
                <w:u w:val="single"/>
              </w:rPr>
              <w:t xml:space="preserve">                 </w:t>
            </w:r>
            <w:r>
              <w:rPr>
                <w:rFonts w:hint="eastAsia" w:ascii="宋体" w:hAnsi="宋体" w:cs="宋体"/>
                <w:color w:val="auto"/>
                <w:szCs w:val="21"/>
                <w:highlight w:val="none"/>
              </w:rPr>
              <w:t xml:space="preserve"> （</w:t>
            </w:r>
            <w:bookmarkStart w:id="36" w:name="_Hlk195984620"/>
            <w:r>
              <w:rPr>
                <w:rFonts w:hint="eastAsia" w:ascii="宋体" w:hAnsi="宋体" w:cs="宋体"/>
                <w:color w:val="auto"/>
                <w:szCs w:val="21"/>
                <w:highlight w:val="none"/>
              </w:rPr>
              <w:t>由招标人根据项目情况依法依规在资格预审文件中明确</w:t>
            </w:r>
            <w:r>
              <w:rPr>
                <w:rFonts w:hint="eastAsia" w:ascii="宋体" w:hAnsi="宋体" w:cs="宋体"/>
                <w:color w:val="auto"/>
                <w:szCs w:val="21"/>
                <w:highlight w:val="none"/>
                <w:lang w:eastAsia="zh-CN"/>
              </w:rPr>
              <w:t>。</w:t>
            </w:r>
            <w:r>
              <w:rPr>
                <w:rFonts w:hint="eastAsia" w:ascii="Calibri" w:hAnsi="Calibri" w:cs="Calibri"/>
                <w:color w:val="auto"/>
                <w:szCs w:val="21"/>
                <w:highlight w:val="none"/>
              </w:rPr>
              <w:t>）</w:t>
            </w:r>
            <w:bookmarkEnd w:id="36"/>
          </w:p>
        </w:tc>
      </w:tr>
      <w:tr w14:paraId="67B06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71CC6679">
            <w:pPr>
              <w:snapToGrid w:val="0"/>
              <w:jc w:val="center"/>
              <w:rPr>
                <w:rFonts w:hint="eastAsia" w:ascii="宋体" w:hAnsi="宋体"/>
                <w:color w:val="auto"/>
                <w:szCs w:val="21"/>
                <w:highlight w:val="none"/>
              </w:rPr>
            </w:pPr>
            <w:r>
              <w:rPr>
                <w:rFonts w:hint="eastAsia" w:ascii="宋体" w:hAnsi="宋体"/>
                <w:color w:val="auto"/>
                <w:szCs w:val="21"/>
                <w:highlight w:val="none"/>
              </w:rPr>
              <w:t>9.4</w:t>
            </w:r>
          </w:p>
        </w:tc>
        <w:tc>
          <w:tcPr>
            <w:tcW w:w="1855" w:type="dxa"/>
            <w:tcBorders>
              <w:right w:val="single" w:color="auto" w:sz="4" w:space="0"/>
            </w:tcBorders>
            <w:vAlign w:val="center"/>
          </w:tcPr>
          <w:p w14:paraId="5DDC0873">
            <w:pPr>
              <w:jc w:val="center"/>
              <w:rPr>
                <w:rFonts w:hint="eastAsia" w:ascii="宋体" w:hAnsi="宋体" w:cs="宋体"/>
                <w:snapToGrid w:val="0"/>
                <w:color w:val="auto"/>
                <w:kern w:val="0"/>
                <w:szCs w:val="21"/>
                <w:highlight w:val="none"/>
              </w:rPr>
            </w:pPr>
            <w:r>
              <w:rPr>
                <w:rFonts w:hint="eastAsia"/>
                <w:color w:val="auto"/>
                <w:szCs w:val="21"/>
                <w:highlight w:val="none"/>
              </w:rPr>
              <w:t>信用评价要求</w:t>
            </w:r>
          </w:p>
        </w:tc>
        <w:tc>
          <w:tcPr>
            <w:tcW w:w="6514" w:type="dxa"/>
            <w:tcBorders>
              <w:left w:val="single" w:color="auto" w:sz="4" w:space="0"/>
            </w:tcBorders>
            <w:vAlign w:val="center"/>
          </w:tcPr>
          <w:p w14:paraId="7119721B">
            <w:pPr>
              <w:snapToGrid w:val="0"/>
              <w:rPr>
                <w:rFonts w:hint="eastAsia" w:ascii="宋体" w:hAnsi="宋体" w:cs="仿宋_GB2312"/>
                <w:color w:val="auto"/>
                <w:highlight w:val="none"/>
              </w:rPr>
            </w:pPr>
            <w:r>
              <w:rPr>
                <w:rFonts w:hint="eastAsia" w:ascii="宋体" w:hAnsi="宋体" w:cs="仿宋_GB2312"/>
                <w:color w:val="auto"/>
                <w:highlight w:val="none"/>
              </w:rPr>
              <w:t>1.信用评价以“湖南省数字城建档案馆|智慧住建云”最新公布的信息为准</w:t>
            </w:r>
            <w:r>
              <w:rPr>
                <w:rFonts w:hint="eastAsia" w:ascii="宋体" w:hAnsi="宋体" w:cs="仿宋_GB2312"/>
                <w:color w:val="auto"/>
                <w:highlight w:val="none"/>
                <w:lang w:eastAsia="zh-CN"/>
              </w:rPr>
              <w:t>（</w:t>
            </w:r>
            <w:r>
              <w:rPr>
                <w:rFonts w:hint="eastAsia" w:ascii="宋体" w:hAnsi="宋体" w:cs="仿宋_GB2312"/>
                <w:color w:val="auto"/>
                <w:highlight w:val="none"/>
              </w:rPr>
              <w:t>最新公布的</w:t>
            </w:r>
            <w:r>
              <w:rPr>
                <w:rFonts w:hint="eastAsia" w:ascii="宋体" w:hAnsi="宋体" w:cs="仿宋_GB2312"/>
                <w:color w:val="auto"/>
                <w:highlight w:val="none"/>
                <w:lang w:val="en-US" w:eastAsia="zh-CN"/>
              </w:rPr>
              <w:t>与招标项目类型对应的建筑市场信用评价</w:t>
            </w:r>
            <w:r>
              <w:rPr>
                <w:rFonts w:hint="eastAsia" w:ascii="宋体" w:hAnsi="宋体" w:cs="仿宋_GB2312"/>
                <w:color w:val="auto"/>
                <w:highlight w:val="none"/>
              </w:rPr>
              <w:t>信息为准</w:t>
            </w:r>
            <w:r>
              <w:rPr>
                <w:rFonts w:hint="eastAsia" w:ascii="宋体" w:hAnsi="宋体" w:cs="仿宋_GB2312"/>
                <w:color w:val="auto"/>
                <w:highlight w:val="none"/>
                <w:lang w:eastAsia="zh-CN"/>
              </w:rPr>
              <w:t>）</w:t>
            </w:r>
            <w:r>
              <w:rPr>
                <w:rFonts w:hint="eastAsia" w:ascii="宋体" w:hAnsi="宋体" w:cs="仿宋_GB2312"/>
                <w:color w:val="auto"/>
                <w:highlight w:val="none"/>
              </w:rPr>
              <w:t>；无信用评价结果的，按照申请人信用评价得分处于末位的合格申请人的分值计取，外省企业无信用评价查询结果的，可以提供企业注册地省级住房和城乡建设部门最新公布的</w:t>
            </w:r>
            <w:r>
              <w:rPr>
                <w:rFonts w:hint="eastAsia" w:ascii="宋体" w:hAnsi="宋体" w:cs="仿宋_GB2312"/>
                <w:color w:val="auto"/>
                <w:highlight w:val="none"/>
                <w:lang w:val="en-US" w:eastAsia="zh-CN"/>
              </w:rPr>
              <w:t>建筑市场</w:t>
            </w:r>
            <w:r>
              <w:rPr>
                <w:rFonts w:hint="eastAsia" w:ascii="宋体" w:hAnsi="宋体" w:cs="仿宋_GB2312"/>
                <w:color w:val="auto"/>
                <w:highlight w:val="none"/>
              </w:rPr>
              <w:t>信用评价结果（非百分制的按照《导则》规定的原则，按照百分制自行折算后填写）作为评审依据。</w:t>
            </w:r>
          </w:p>
          <w:p w14:paraId="1C4E4049">
            <w:pPr>
              <w:snapToGrid w:val="0"/>
              <w:rPr>
                <w:rFonts w:hint="eastAsia" w:ascii="宋体" w:hAnsi="宋体" w:cs="仿宋_GB2312"/>
                <w:color w:val="auto"/>
                <w:highlight w:val="none"/>
              </w:rPr>
            </w:pPr>
            <w:r>
              <w:rPr>
                <w:rFonts w:hint="eastAsia" w:ascii="宋体" w:hAnsi="宋体" w:cs="仿宋_GB2312"/>
                <w:color w:val="auto"/>
                <w:highlight w:val="none"/>
              </w:rPr>
              <w:t>2.未参加信用评价存在信用评价不良信用信息的申请人，按照下列不良信用信息扣分标准扣分，严重失信行为名单(含失信黑名单，下同)每次扣16分、刑事处罚每次扣4分、失信被执行人每次扣2分、行政处罚每次扣1分（其中警告、通报批评、罚款每次扣0.5分）、严重不良行为记录每次扣1分、一般不良行为记录每次扣0.6分，扣完为止。</w:t>
            </w:r>
          </w:p>
          <w:p w14:paraId="0EC75D27">
            <w:pPr>
              <w:snapToGrid w:val="0"/>
              <w:rPr>
                <w:rFonts w:hint="eastAsia" w:ascii="宋体" w:hAnsi="宋体" w:cs="仿宋_GB2312"/>
                <w:color w:val="auto"/>
                <w:highlight w:val="none"/>
              </w:rPr>
            </w:pPr>
            <w:r>
              <w:rPr>
                <w:rFonts w:hint="eastAsia" w:ascii="宋体" w:hAnsi="宋体" w:cs="仿宋_GB2312"/>
                <w:color w:val="auto"/>
                <w:highlight w:val="none"/>
              </w:rPr>
              <w:t>不良信用信息评审依据及扣分有效期</w:t>
            </w:r>
          </w:p>
          <w:p w14:paraId="6F37A1B3">
            <w:pPr>
              <w:snapToGrid w:val="0"/>
              <w:rPr>
                <w:rFonts w:hint="eastAsia" w:ascii="宋体" w:hAnsi="宋体" w:cs="仿宋_GB2312"/>
                <w:color w:val="auto"/>
                <w:highlight w:val="none"/>
              </w:rPr>
            </w:pPr>
            <w:r>
              <w:rPr>
                <w:rFonts w:hint="eastAsia" w:ascii="宋体" w:hAnsi="宋体" w:cs="仿宋_GB2312"/>
                <w:color w:val="auto"/>
                <w:highlight w:val="none"/>
              </w:rPr>
              <w:t>(1)失信被执行人:以中国执行信息公开网公布的信息为准，自结果公布之日起6个月有效；</w:t>
            </w:r>
          </w:p>
          <w:p w14:paraId="6BD7EC41">
            <w:pPr>
              <w:snapToGrid w:val="0"/>
              <w:rPr>
                <w:rFonts w:hint="eastAsia" w:ascii="宋体" w:hAnsi="宋体" w:cs="仿宋_GB2312"/>
                <w:color w:val="auto"/>
                <w:highlight w:val="none"/>
              </w:rPr>
            </w:pPr>
            <w:r>
              <w:rPr>
                <w:rFonts w:hint="eastAsia" w:ascii="宋体" w:hAnsi="宋体" w:cs="仿宋_GB2312"/>
                <w:color w:val="auto"/>
                <w:highlight w:val="none"/>
              </w:rPr>
              <w:t>(2)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14:paraId="3240B42C">
            <w:pPr>
              <w:snapToGrid w:val="0"/>
              <w:rPr>
                <w:rFonts w:hint="eastAsia" w:ascii="宋体" w:hAnsi="宋体" w:cs="仿宋_GB2312"/>
                <w:color w:val="auto"/>
                <w:highlight w:val="none"/>
              </w:rPr>
            </w:pPr>
            <w:r>
              <w:rPr>
                <w:rFonts w:hint="eastAsia" w:ascii="宋体" w:hAnsi="宋体" w:cs="仿宋_GB2312"/>
                <w:color w:val="auto"/>
                <w:highlight w:val="none"/>
              </w:rPr>
              <w:t>(3)行政处罚:我省企业以我省省本级行政监督部门或综合监管部门的</w:t>
            </w:r>
            <w:r>
              <w:rPr>
                <w:rFonts w:hint="eastAsia" w:ascii="宋体" w:hAnsi="宋体"/>
                <w:color w:val="auto"/>
                <w:szCs w:val="21"/>
                <w:highlight w:val="none"/>
              </w:rPr>
              <w:t>行政处罚决定书为准</w:t>
            </w:r>
            <w:r>
              <w:rPr>
                <w:rFonts w:hint="eastAsia" w:ascii="宋体" w:hAnsi="宋体" w:cs="仿宋_GB2312"/>
                <w:color w:val="auto"/>
                <w:highlight w:val="none"/>
              </w:rPr>
              <w:t>；外省企业以该企业注册地省本级行政监督部门或综合监管部门的</w:t>
            </w:r>
            <w:r>
              <w:rPr>
                <w:rFonts w:hint="eastAsia" w:ascii="宋体" w:hAnsi="宋体"/>
                <w:color w:val="auto"/>
                <w:szCs w:val="21"/>
                <w:highlight w:val="none"/>
              </w:rPr>
              <w:t>行政处罚决定书为准</w:t>
            </w:r>
            <w:r>
              <w:rPr>
                <w:rFonts w:hint="eastAsia" w:ascii="宋体" w:hAnsi="宋体" w:cs="仿宋_GB2312"/>
                <w:color w:val="auto"/>
                <w:highlight w:val="none"/>
              </w:rPr>
              <w:t>，自结果公布之日起6个月有效，其中警告、通报批评、罚款行政处罚的，自结果公布之日起3个月有效;</w:t>
            </w:r>
          </w:p>
          <w:p w14:paraId="4F988FCF">
            <w:pPr>
              <w:snapToGrid w:val="0"/>
              <w:rPr>
                <w:rFonts w:hint="eastAsia" w:ascii="宋体" w:hAnsi="宋体" w:cs="仿宋_GB2312"/>
                <w:color w:val="auto"/>
                <w:highlight w:val="none"/>
              </w:rPr>
            </w:pPr>
            <w:r>
              <w:rPr>
                <w:rFonts w:hint="eastAsia" w:ascii="宋体" w:hAnsi="宋体" w:cs="仿宋_GB2312"/>
                <w:color w:val="auto"/>
                <w:highlight w:val="none"/>
              </w:rPr>
              <w:t>(4)刑事处罚:以刑事处罚决定书为准，自结果公布之日起1年有效;</w:t>
            </w:r>
          </w:p>
          <w:p w14:paraId="264D9065">
            <w:pPr>
              <w:snapToGrid w:val="0"/>
              <w:rPr>
                <w:rFonts w:hint="eastAsia" w:ascii="宋体" w:hAnsi="宋体" w:cs="仿宋_GB2312"/>
                <w:color w:val="auto"/>
                <w:highlight w:val="none"/>
              </w:rPr>
            </w:pPr>
            <w:r>
              <w:rPr>
                <w:rFonts w:hint="eastAsia" w:ascii="宋体" w:hAnsi="宋体" w:cs="仿宋_GB2312"/>
                <w:color w:val="auto"/>
                <w:highlight w:val="none"/>
              </w:rPr>
              <w:t>(5)严重失信行为名单:湖南省行政区域内的严重失信行为名单以湖南省</w:t>
            </w:r>
            <w:r>
              <w:rPr>
                <w:rFonts w:hint="eastAsia" w:ascii="宋体" w:hAnsi="宋体"/>
                <w:color w:val="auto"/>
                <w:szCs w:val="21"/>
                <w:highlight w:val="none"/>
              </w:rPr>
              <w:t>住房和城乡建设厅公布的相关文件为准，</w:t>
            </w:r>
            <w:r>
              <w:rPr>
                <w:rFonts w:hint="eastAsia" w:ascii="宋体" w:hAnsi="宋体" w:cs="仿宋_GB2312"/>
                <w:color w:val="auto"/>
                <w:highlight w:val="none"/>
              </w:rPr>
              <w:t>湖南省行政区域外的严重失信行为名单以企业注册地省级</w:t>
            </w:r>
            <w:r>
              <w:rPr>
                <w:rFonts w:hint="eastAsia" w:ascii="宋体" w:hAnsi="宋体"/>
                <w:color w:val="auto"/>
                <w:szCs w:val="21"/>
                <w:highlight w:val="none"/>
              </w:rPr>
              <w:t>住房和城乡建设部门公布的相关文件为准</w:t>
            </w:r>
            <w:r>
              <w:rPr>
                <w:rFonts w:hint="eastAsia" w:ascii="宋体" w:hAnsi="宋体" w:cs="仿宋_GB2312"/>
                <w:color w:val="auto"/>
                <w:highlight w:val="none"/>
              </w:rPr>
              <w:t>，自结果公布之日起1年有效。</w:t>
            </w:r>
          </w:p>
          <w:p w14:paraId="29762591">
            <w:pPr>
              <w:snapToGrid w:val="0"/>
              <w:rPr>
                <w:rFonts w:hint="eastAsia" w:ascii="宋体" w:hAnsi="宋体" w:cs="仿宋_GB2312"/>
                <w:color w:val="auto"/>
                <w:highlight w:val="none"/>
              </w:rPr>
            </w:pPr>
            <w:r>
              <w:rPr>
                <w:rFonts w:hint="eastAsia" w:ascii="宋体" w:hAnsi="宋体" w:cs="仿宋_GB2312"/>
                <w:color w:val="auto"/>
                <w:highlight w:val="none"/>
              </w:rPr>
              <w:t>上述</w:t>
            </w:r>
            <w:r>
              <w:rPr>
                <w:rFonts w:ascii="宋体" w:hAnsi="宋体" w:cs="宋体"/>
                <w:color w:val="auto"/>
                <w:szCs w:val="21"/>
                <w:highlight w:val="none"/>
              </w:rPr>
              <w:t>刑事处罚、行政处罚是指</w:t>
            </w:r>
            <w:r>
              <w:rPr>
                <w:rFonts w:hint="eastAsia" w:ascii="宋体" w:hAnsi="宋体" w:cs="宋体"/>
                <w:color w:val="auto"/>
                <w:szCs w:val="21"/>
                <w:highlight w:val="none"/>
              </w:rPr>
              <w:t>申请人</w:t>
            </w:r>
            <w:r>
              <w:rPr>
                <w:rFonts w:ascii="宋体" w:hAnsi="宋体" w:cs="宋体"/>
                <w:color w:val="auto"/>
                <w:szCs w:val="21"/>
                <w:highlight w:val="none"/>
              </w:rPr>
              <w:t>因工程建设违法行为受到的相关处罚</w:t>
            </w:r>
            <w:r>
              <w:rPr>
                <w:rFonts w:hint="eastAsia" w:ascii="宋体" w:hAnsi="宋体" w:cs="宋体"/>
                <w:color w:val="auto"/>
                <w:szCs w:val="21"/>
                <w:highlight w:val="none"/>
              </w:rPr>
              <w:t>。</w:t>
            </w:r>
            <w:r>
              <w:rPr>
                <w:rFonts w:hint="eastAsia" w:ascii="宋体" w:hAnsi="宋体" w:cs="仿宋_GB2312"/>
                <w:color w:val="auto"/>
                <w:highlight w:val="none"/>
              </w:rPr>
              <w:t>同一违法违规事项受到刑事处罚、行政处罚、不良行为记录的，按照最高处罚决定的分值扣分。</w:t>
            </w:r>
          </w:p>
          <w:p w14:paraId="304617D4">
            <w:pPr>
              <w:numPr>
                <w:ilvl w:val="255"/>
                <w:numId w:val="0"/>
              </w:numPr>
              <w:snapToGrid w:val="0"/>
              <w:rPr>
                <w:rFonts w:hint="eastAsia" w:ascii="宋体" w:hAnsi="宋体" w:cs="仿宋_GB2312"/>
                <w:color w:val="auto"/>
                <w:highlight w:val="none"/>
              </w:rPr>
            </w:pPr>
            <w:r>
              <w:rPr>
                <w:rFonts w:hint="eastAsia" w:ascii="宋体" w:hAnsi="宋体" w:cs="仿宋_GB2312"/>
                <w:color w:val="auto"/>
                <w:highlight w:val="none"/>
              </w:rPr>
              <w:t>3、因未如实填写造成异议、投诉，经调查属实且对其有利的，将取消其中标候选人资格或中标资格，并依法认定为失信行为。</w:t>
            </w:r>
          </w:p>
          <w:p w14:paraId="2636F644">
            <w:pPr>
              <w:numPr>
                <w:ilvl w:val="255"/>
                <w:numId w:val="0"/>
              </w:numPr>
              <w:snapToGrid w:val="0"/>
              <w:rPr>
                <w:rFonts w:hint="eastAsia" w:ascii="宋体" w:hAnsi="宋体" w:cs="仿宋_GB2312"/>
                <w:color w:val="auto"/>
                <w:highlight w:val="none"/>
              </w:rPr>
            </w:pPr>
            <w:r>
              <w:rPr>
                <w:rFonts w:hint="eastAsia" w:ascii="宋体" w:hAnsi="宋体" w:cs="仿宋_GB2312"/>
                <w:color w:val="auto"/>
                <w:highlight w:val="none"/>
              </w:rPr>
              <w:t>4、其他：</w:t>
            </w:r>
            <w:r>
              <w:rPr>
                <w:rFonts w:hint="eastAsia" w:ascii="宋体" w:hAnsi="宋体" w:cs="仿宋_GB2312"/>
                <w:color w:val="auto"/>
                <w:highlight w:val="none"/>
                <w:u w:val="single"/>
              </w:rPr>
              <w:t xml:space="preserve">      </w:t>
            </w:r>
            <w:r>
              <w:rPr>
                <w:rFonts w:hint="eastAsia" w:ascii="宋体" w:hAnsi="宋体" w:cs="仿宋_GB2312"/>
                <w:color w:val="auto"/>
                <w:highlight w:val="none"/>
              </w:rPr>
              <w:t>（由招标人根据项目情况依法依规在资格预审文件中明确</w:t>
            </w:r>
            <w:r>
              <w:rPr>
                <w:rFonts w:hint="eastAsia" w:ascii="宋体" w:hAnsi="宋体" w:cs="仿宋_GB2312"/>
                <w:color w:val="auto"/>
                <w:highlight w:val="none"/>
                <w:lang w:eastAsia="zh-CN"/>
              </w:rPr>
              <w:t>。</w:t>
            </w:r>
            <w:r>
              <w:rPr>
                <w:rFonts w:hint="eastAsia" w:ascii="宋体" w:hAnsi="宋体" w:cs="仿宋_GB2312"/>
                <w:color w:val="auto"/>
                <w:highlight w:val="none"/>
              </w:rPr>
              <w:t>）</w:t>
            </w:r>
          </w:p>
        </w:tc>
      </w:tr>
      <w:tr w14:paraId="033A2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6B8EEF80">
            <w:pPr>
              <w:snapToGrid w:val="0"/>
              <w:jc w:val="center"/>
              <w:rPr>
                <w:rFonts w:hint="eastAsia" w:ascii="宋体" w:hAnsi="宋体"/>
                <w:color w:val="auto"/>
                <w:szCs w:val="21"/>
                <w:highlight w:val="none"/>
              </w:rPr>
            </w:pPr>
            <w:r>
              <w:rPr>
                <w:rFonts w:hint="eastAsia" w:ascii="宋体" w:hAnsi="宋体"/>
                <w:color w:val="auto"/>
                <w:szCs w:val="21"/>
                <w:highlight w:val="none"/>
              </w:rPr>
              <w:t>9.5</w:t>
            </w:r>
          </w:p>
        </w:tc>
        <w:tc>
          <w:tcPr>
            <w:tcW w:w="1855" w:type="dxa"/>
            <w:tcBorders>
              <w:right w:val="single" w:color="auto" w:sz="4" w:space="0"/>
            </w:tcBorders>
            <w:vAlign w:val="center"/>
          </w:tcPr>
          <w:p w14:paraId="76A11524">
            <w:pPr>
              <w:jc w:val="center"/>
              <w:rPr>
                <w:color w:val="auto"/>
                <w:szCs w:val="21"/>
                <w:highlight w:val="none"/>
              </w:rPr>
            </w:pPr>
            <w:r>
              <w:rPr>
                <w:rFonts w:hint="eastAsia"/>
                <w:color w:val="auto"/>
                <w:szCs w:val="21"/>
                <w:highlight w:val="none"/>
              </w:rPr>
              <w:t>质量安全评价</w:t>
            </w:r>
          </w:p>
        </w:tc>
        <w:tc>
          <w:tcPr>
            <w:tcW w:w="6514" w:type="dxa"/>
            <w:tcBorders>
              <w:left w:val="single" w:color="auto" w:sz="4" w:space="0"/>
            </w:tcBorders>
            <w:vAlign w:val="center"/>
          </w:tcPr>
          <w:p w14:paraId="467447A4">
            <w:pPr>
              <w:numPr>
                <w:ilvl w:val="255"/>
                <w:numId w:val="0"/>
              </w:numPr>
              <w:rPr>
                <w:rFonts w:hint="eastAsia" w:ascii="宋体" w:hAnsi="宋体"/>
                <w:color w:val="auto"/>
                <w:szCs w:val="21"/>
                <w:highlight w:val="none"/>
              </w:rPr>
            </w:pPr>
            <w:r>
              <w:rPr>
                <w:rFonts w:hint="eastAsia" w:ascii="宋体" w:hAnsi="宋体" w:cs="宋体"/>
                <w:color w:val="auto"/>
                <w:kern w:val="0"/>
                <w:sz w:val="20"/>
                <w:szCs w:val="22"/>
                <w:highlight w:val="none"/>
              </w:rPr>
              <w:t>1、省级建筑施工安全质量标准化考评合格企业、优良企业，</w:t>
            </w:r>
            <w:r>
              <w:rPr>
                <w:rFonts w:hint="eastAsia" w:ascii="宋体" w:hAnsi="宋体" w:cs="仿宋_GB2312"/>
                <w:color w:val="auto"/>
                <w:highlight w:val="none"/>
              </w:rPr>
              <w:t>以湖南省住房和城乡建设厅公布的相关文件为准；</w:t>
            </w:r>
            <w:r>
              <w:rPr>
                <w:rFonts w:hint="eastAsia" w:ascii="宋体" w:hAnsi="宋体" w:cs="仿宋_GB2312"/>
                <w:color w:val="auto"/>
                <w:highlight w:val="none"/>
                <w:lang w:val="en-US" w:eastAsia="zh-CN"/>
              </w:rPr>
              <w:t>未查询到</w:t>
            </w:r>
            <w:r>
              <w:rPr>
                <w:rFonts w:hint="eastAsia" w:ascii="宋体" w:hAnsi="宋体" w:cs="仿宋_GB2312"/>
                <w:color w:val="auto"/>
                <w:highlight w:val="none"/>
              </w:rPr>
              <w:t>安全</w:t>
            </w:r>
            <w:r>
              <w:rPr>
                <w:rFonts w:hint="eastAsia" w:ascii="宋体" w:hAnsi="宋体" w:cs="仿宋_GB2312"/>
                <w:color w:val="auto"/>
                <w:highlight w:val="none"/>
                <w:lang w:val="en-US" w:eastAsia="zh-CN"/>
              </w:rPr>
              <w:t>质量</w:t>
            </w:r>
            <w:r>
              <w:rPr>
                <w:rFonts w:hint="eastAsia" w:ascii="宋体" w:hAnsi="宋体" w:cs="仿宋_GB2312"/>
                <w:color w:val="auto"/>
                <w:highlight w:val="none"/>
              </w:rPr>
              <w:t>标准化考评</w:t>
            </w:r>
            <w:r>
              <w:rPr>
                <w:rFonts w:hint="eastAsia" w:ascii="宋体" w:hAnsi="宋体" w:cs="仿宋_GB2312"/>
                <w:color w:val="auto"/>
                <w:highlight w:val="none"/>
                <w:lang w:val="en-US" w:eastAsia="zh-CN"/>
              </w:rPr>
              <w:t>结果</w:t>
            </w:r>
            <w:r>
              <w:rPr>
                <w:rFonts w:hint="eastAsia" w:ascii="宋体" w:hAnsi="宋体" w:cs="仿宋_GB2312"/>
                <w:color w:val="auto"/>
                <w:highlight w:val="none"/>
              </w:rPr>
              <w:t>的</w:t>
            </w:r>
            <w:r>
              <w:rPr>
                <w:rFonts w:hint="eastAsia" w:ascii="宋体" w:hAnsi="宋体" w:cs="仿宋_GB2312"/>
                <w:color w:val="auto"/>
                <w:highlight w:val="none"/>
                <w:lang w:val="en-US" w:eastAsia="zh-CN"/>
              </w:rPr>
              <w:t>外省企业</w:t>
            </w:r>
            <w:r>
              <w:rPr>
                <w:rFonts w:hint="eastAsia" w:ascii="宋体" w:hAnsi="宋体" w:cs="仿宋_GB2312"/>
                <w:color w:val="auto"/>
                <w:highlight w:val="none"/>
              </w:rPr>
              <w:t>，</w:t>
            </w:r>
            <w:r>
              <w:rPr>
                <w:rFonts w:hint="eastAsia" w:ascii="宋体" w:hAnsi="宋体" w:cs="仿宋_GB2312"/>
                <w:color w:val="auto"/>
                <w:highlight w:val="none"/>
                <w:lang w:val="en-US" w:eastAsia="zh-CN"/>
              </w:rPr>
              <w:t>可提供</w:t>
            </w:r>
            <w:r>
              <w:rPr>
                <w:rFonts w:hint="eastAsia" w:ascii="宋体" w:hAnsi="宋体" w:cs="仿宋_GB2312"/>
                <w:color w:val="auto"/>
                <w:highlight w:val="none"/>
              </w:rPr>
              <w:t>该企业注册地省级住房和城乡建设部门公布的相关文件</w:t>
            </w:r>
            <w:r>
              <w:rPr>
                <w:rFonts w:hint="eastAsia" w:ascii="宋体" w:hAnsi="宋体" w:cs="仿宋_GB2312"/>
                <w:color w:val="auto"/>
                <w:highlight w:val="none"/>
                <w:lang w:val="en-US" w:eastAsia="zh-CN"/>
              </w:rPr>
              <w:t>作为证明材料</w:t>
            </w:r>
            <w:r>
              <w:rPr>
                <w:rFonts w:hint="eastAsia" w:ascii="宋体" w:hAnsi="宋体" w:cs="仿宋_GB2312"/>
                <w:color w:val="auto"/>
                <w:highlight w:val="none"/>
              </w:rPr>
              <w:t>。</w:t>
            </w:r>
          </w:p>
          <w:p w14:paraId="3D8C470D">
            <w:pPr>
              <w:numPr>
                <w:ilvl w:val="255"/>
                <w:numId w:val="0"/>
              </w:numPr>
              <w:rPr>
                <w:rFonts w:hint="eastAsia" w:ascii="宋体" w:hAnsi="宋体"/>
                <w:color w:val="auto"/>
                <w:szCs w:val="21"/>
                <w:highlight w:val="none"/>
              </w:rPr>
            </w:pPr>
            <w:r>
              <w:rPr>
                <w:rFonts w:hint="eastAsia" w:asciiTheme="majorEastAsia" w:hAnsiTheme="majorEastAsia" w:eastAsiaTheme="majorEastAsia"/>
                <w:color w:val="auto"/>
                <w:szCs w:val="21"/>
                <w:highlight w:val="none"/>
              </w:rPr>
              <w:t>2、省级建筑施工安全质量标准化考评优良项目</w:t>
            </w:r>
          </w:p>
          <w:p w14:paraId="2D34E084">
            <w:pPr>
              <w:rPr>
                <w:rFonts w:ascii="Calibri" w:hAnsi="Calibri" w:cs="Calibri"/>
                <w:b/>
                <w:bCs/>
                <w:color w:val="auto"/>
                <w:szCs w:val="21"/>
                <w:highlight w:val="none"/>
              </w:rPr>
            </w:pPr>
            <w:r>
              <w:rPr>
                <w:rFonts w:hint="eastAsia" w:ascii="Calibri" w:hAnsi="Calibri" w:cs="Calibri"/>
                <w:color w:val="auto"/>
                <w:szCs w:val="21"/>
                <w:highlight w:val="none"/>
              </w:rPr>
              <w:t>（1）</w:t>
            </w:r>
            <w:r>
              <w:rPr>
                <w:rFonts w:hint="eastAsia" w:ascii="Calibri" w:hAnsi="Calibri" w:cs="Calibri"/>
                <w:b/>
                <w:bCs/>
                <w:color w:val="auto"/>
                <w:szCs w:val="21"/>
                <w:highlight w:val="none"/>
              </w:rPr>
              <w:t>个数：</w:t>
            </w:r>
            <w:r>
              <w:rPr>
                <w:rFonts w:hint="eastAsia" w:ascii="Calibri" w:hAnsi="Calibri" w:cs="Calibri"/>
                <w:b/>
                <w:bCs/>
                <w:color w:val="auto"/>
                <w:szCs w:val="21"/>
                <w:highlight w:val="none"/>
                <w:u w:val="single"/>
              </w:rPr>
              <w:t xml:space="preserve">     </w:t>
            </w:r>
            <w:r>
              <w:rPr>
                <w:rFonts w:hint="eastAsia" w:ascii="Calibri" w:hAnsi="Calibri" w:cs="Calibri"/>
                <w:b w:val="0"/>
                <w:bCs w:val="0"/>
                <w:color w:val="auto"/>
                <w:szCs w:val="21"/>
                <w:highlight w:val="none"/>
                <w:u w:val="none"/>
              </w:rPr>
              <w:t>（</w:t>
            </w:r>
            <w:r>
              <w:rPr>
                <w:rFonts w:hint="eastAsia" w:ascii="Calibri" w:hAnsi="Calibri" w:cs="Calibri"/>
                <w:color w:val="auto"/>
                <w:szCs w:val="21"/>
                <w:highlight w:val="none"/>
              </w:rPr>
              <w:t>具体个数可</w:t>
            </w:r>
            <w:r>
              <w:rPr>
                <w:rFonts w:hint="eastAsia" w:ascii="宋体" w:hAnsi="宋体" w:cs="宋体"/>
                <w:color w:val="auto"/>
                <w:szCs w:val="21"/>
                <w:highlight w:val="none"/>
              </w:rPr>
              <w:t>由招标人根据项目情况依法依规在资格预审文件中明确</w:t>
            </w:r>
            <w:r>
              <w:rPr>
                <w:rFonts w:hint="eastAsia" w:ascii="宋体" w:hAnsi="宋体" w:cs="宋体"/>
                <w:color w:val="auto"/>
                <w:szCs w:val="21"/>
                <w:highlight w:val="none"/>
                <w:lang w:eastAsia="zh-CN"/>
              </w:rPr>
              <w:t>。</w:t>
            </w:r>
            <w:r>
              <w:rPr>
                <w:rFonts w:hint="eastAsia" w:ascii="Calibri" w:hAnsi="Calibri" w:cs="Calibri"/>
                <w:color w:val="auto"/>
                <w:szCs w:val="21"/>
                <w:highlight w:val="none"/>
              </w:rPr>
              <w:t>）</w:t>
            </w:r>
          </w:p>
          <w:p w14:paraId="7A374B97">
            <w:pPr>
              <w:rPr>
                <w:rFonts w:ascii="Calibri" w:hAnsi="Calibri" w:cs="Calibri"/>
                <w:color w:val="auto"/>
                <w:szCs w:val="21"/>
                <w:highlight w:val="none"/>
              </w:rPr>
            </w:pPr>
            <w:r>
              <w:rPr>
                <w:rFonts w:hint="eastAsia" w:ascii="Calibri" w:hAnsi="Calibri" w:cs="Calibri"/>
                <w:color w:val="auto"/>
                <w:szCs w:val="21"/>
                <w:highlight w:val="none"/>
              </w:rPr>
              <w:t>（2）</w:t>
            </w:r>
            <w:r>
              <w:rPr>
                <w:rFonts w:hint="eastAsia" w:ascii="Calibri" w:hAnsi="Calibri" w:cs="Calibri"/>
                <w:b/>
                <w:bCs/>
                <w:color w:val="auto"/>
                <w:szCs w:val="21"/>
                <w:highlight w:val="none"/>
              </w:rPr>
              <w:t>加分分值</w:t>
            </w:r>
            <w:r>
              <w:rPr>
                <w:rFonts w:ascii="Calibri" w:hAnsi="Calibri" w:cs="Calibri"/>
                <w:color w:val="auto"/>
                <w:szCs w:val="21"/>
                <w:highlight w:val="none"/>
              </w:rPr>
              <w:t>为</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分/每个，该项最高分</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分</w:t>
            </w:r>
            <w:r>
              <w:rPr>
                <w:rFonts w:hint="eastAsia" w:ascii="Calibri" w:hAnsi="Calibri" w:cs="Calibri"/>
                <w:b/>
                <w:bCs/>
                <w:color w:val="auto"/>
                <w:szCs w:val="21"/>
                <w:highlight w:val="none"/>
              </w:rPr>
              <w:t>（</w:t>
            </w:r>
            <w:r>
              <w:rPr>
                <w:rFonts w:hint="eastAsia" w:ascii="Calibri" w:hAnsi="Calibri" w:cs="Calibri"/>
                <w:color w:val="auto"/>
                <w:szCs w:val="21"/>
                <w:highlight w:val="none"/>
              </w:rPr>
              <w:t>具体分数可</w:t>
            </w:r>
            <w:r>
              <w:rPr>
                <w:rFonts w:hint="eastAsia" w:ascii="宋体" w:hAnsi="宋体" w:cs="宋体"/>
                <w:color w:val="auto"/>
                <w:szCs w:val="21"/>
                <w:highlight w:val="none"/>
              </w:rPr>
              <w:t>由者招标人根据项目情况依法依规在资格预审文件中明确</w:t>
            </w:r>
            <w:r>
              <w:rPr>
                <w:rFonts w:hint="eastAsia" w:ascii="宋体" w:hAnsi="宋体" w:cs="宋体"/>
                <w:color w:val="auto"/>
                <w:szCs w:val="21"/>
                <w:highlight w:val="none"/>
                <w:lang w:eastAsia="zh-CN"/>
              </w:rPr>
              <w:t>，但</w:t>
            </w:r>
            <w:r>
              <w:rPr>
                <w:rFonts w:hint="eastAsia" w:ascii="宋体" w:hAnsi="宋体" w:cs="宋体"/>
                <w:color w:val="auto"/>
                <w:szCs w:val="21"/>
                <w:highlight w:val="none"/>
              </w:rPr>
              <w:t>该项最高分不得超过8分</w:t>
            </w:r>
            <w:r>
              <w:rPr>
                <w:rFonts w:hint="eastAsia" w:ascii="Calibri" w:hAnsi="Calibri" w:cs="Calibri"/>
                <w:color w:val="auto"/>
                <w:szCs w:val="21"/>
                <w:highlight w:val="none"/>
              </w:rPr>
              <w:t>）</w:t>
            </w:r>
          </w:p>
          <w:p w14:paraId="313EC01E">
            <w:pPr>
              <w:rPr>
                <w:rFonts w:ascii="Calibri" w:hAnsi="Calibri" w:cs="Calibri"/>
                <w:color w:val="auto"/>
                <w:szCs w:val="21"/>
                <w:highlight w:val="none"/>
              </w:rPr>
            </w:pPr>
            <w:r>
              <w:rPr>
                <w:rFonts w:hint="eastAsia" w:ascii="Calibri" w:hAnsi="Calibri" w:cs="Calibri"/>
                <w:color w:val="auto"/>
                <w:szCs w:val="21"/>
                <w:highlight w:val="none"/>
              </w:rPr>
              <w:t>（3）</w:t>
            </w:r>
            <w:r>
              <w:rPr>
                <w:rFonts w:hint="eastAsia" w:asciiTheme="majorEastAsia" w:hAnsiTheme="majorEastAsia" w:eastAsiaTheme="majorEastAsia"/>
                <w:color w:val="auto"/>
                <w:szCs w:val="21"/>
                <w:highlight w:val="none"/>
              </w:rPr>
              <w:t>考评优良项目</w:t>
            </w:r>
            <w:r>
              <w:rPr>
                <w:rFonts w:hint="eastAsia" w:ascii="Calibri" w:hAnsi="Calibri" w:cs="Calibri"/>
                <w:color w:val="auto"/>
                <w:szCs w:val="21"/>
                <w:highlight w:val="none"/>
              </w:rPr>
              <w:t>时间及类型：近</w:t>
            </w:r>
            <w:r>
              <w:rPr>
                <w:rFonts w:ascii="Calibri" w:hAnsi="Calibri" w:cs="Calibri"/>
                <w:color w:val="auto"/>
                <w:szCs w:val="21"/>
                <w:highlight w:val="none"/>
                <w:u w:val="single"/>
              </w:rPr>
              <w:t xml:space="preserve">  1  </w:t>
            </w:r>
            <w:r>
              <w:rPr>
                <w:rFonts w:hint="eastAsia" w:ascii="Calibri" w:hAnsi="Calibri" w:cs="Calibri"/>
                <w:color w:val="auto"/>
                <w:szCs w:val="21"/>
                <w:highlight w:val="none"/>
              </w:rPr>
              <w:t>年获得的</w:t>
            </w:r>
            <w:r>
              <w:rPr>
                <w:color w:val="auto"/>
                <w:sz w:val="21"/>
                <w:szCs w:val="21"/>
                <w:highlight w:val="none"/>
              </w:rPr>
              <w:sym w:font="Wingdings 2" w:char="00A3"/>
            </w:r>
            <w:r>
              <w:rPr>
                <w:rFonts w:hint="eastAsia" w:ascii="Calibri" w:hAnsi="Calibri" w:cs="Calibri"/>
                <w:color w:val="auto"/>
                <w:szCs w:val="21"/>
                <w:highlight w:val="none"/>
              </w:rPr>
              <w:t>房屋建筑工程</w:t>
            </w:r>
            <w:r>
              <w:rPr>
                <w:rFonts w:hint="eastAsia" w:ascii="Calibri" w:hAnsi="Calibri" w:cs="Calibri"/>
                <w:color w:val="auto"/>
                <w:szCs w:val="21"/>
                <w:highlight w:val="none"/>
                <w:lang w:val="en-US" w:eastAsia="zh-CN"/>
              </w:rPr>
              <w:t xml:space="preserve"> </w:t>
            </w:r>
            <w:r>
              <w:rPr>
                <w:color w:val="auto"/>
                <w:sz w:val="21"/>
                <w:szCs w:val="21"/>
                <w:highlight w:val="none"/>
              </w:rPr>
              <w:sym w:font="Wingdings 2" w:char="00A3"/>
            </w:r>
            <w:r>
              <w:rPr>
                <w:rFonts w:hint="eastAsia" w:ascii="Calibri" w:hAnsi="Calibri" w:cs="Calibri"/>
                <w:color w:val="auto"/>
                <w:szCs w:val="21"/>
                <w:highlight w:val="none"/>
              </w:rPr>
              <w:t>市政公用工程优良工地均予以计分。</w:t>
            </w:r>
          </w:p>
          <w:p w14:paraId="2C14413C">
            <w:pPr>
              <w:rPr>
                <w:rFonts w:hint="eastAsia" w:asciiTheme="majorEastAsia" w:hAnsiTheme="majorEastAsia" w:eastAsiaTheme="majorEastAsia"/>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rPr>
              <w:t>4</w:t>
            </w:r>
            <w:r>
              <w:rPr>
                <w:rFonts w:ascii="Calibri" w:hAnsi="Calibri" w:cs="Calibri"/>
                <w:color w:val="auto"/>
                <w:szCs w:val="21"/>
                <w:highlight w:val="none"/>
              </w:rPr>
              <w:t>）</w:t>
            </w:r>
            <w:r>
              <w:rPr>
                <w:rFonts w:hint="eastAsia" w:asciiTheme="majorEastAsia" w:hAnsiTheme="majorEastAsia" w:eastAsiaTheme="majorEastAsia"/>
                <w:color w:val="auto"/>
                <w:szCs w:val="21"/>
                <w:highlight w:val="none"/>
              </w:rPr>
              <w:t>考评优良项目</w:t>
            </w:r>
            <w:r>
              <w:rPr>
                <w:rFonts w:hint="eastAsia" w:ascii="Calibri" w:hAnsi="Calibri" w:cs="Calibri"/>
                <w:color w:val="auto"/>
                <w:szCs w:val="21"/>
                <w:highlight w:val="none"/>
              </w:rPr>
              <w:t>公布</w:t>
            </w:r>
            <w:r>
              <w:rPr>
                <w:rFonts w:ascii="Calibri" w:hAnsi="Calibri" w:cs="Calibri"/>
                <w:color w:val="auto"/>
                <w:szCs w:val="21"/>
                <w:highlight w:val="none"/>
              </w:rPr>
              <w:t>文件注明了</w:t>
            </w:r>
            <w:r>
              <w:rPr>
                <w:rFonts w:hint="eastAsia" w:ascii="Calibri" w:hAnsi="Calibri" w:cs="Calibri"/>
                <w:color w:val="auto"/>
                <w:szCs w:val="21"/>
                <w:highlight w:val="none"/>
              </w:rPr>
              <w:t>项目</w:t>
            </w:r>
            <w:r>
              <w:rPr>
                <w:rFonts w:ascii="Calibri" w:hAnsi="Calibri" w:cs="Calibri"/>
                <w:color w:val="auto"/>
                <w:szCs w:val="21"/>
                <w:highlight w:val="none"/>
              </w:rPr>
              <w:t>类型的，以</w:t>
            </w:r>
            <w:r>
              <w:rPr>
                <w:rFonts w:hint="eastAsia" w:ascii="Calibri" w:hAnsi="Calibri" w:cs="Calibri"/>
                <w:color w:val="auto"/>
                <w:szCs w:val="21"/>
                <w:highlight w:val="none"/>
              </w:rPr>
              <w:t>公布</w:t>
            </w:r>
            <w:r>
              <w:rPr>
                <w:rFonts w:ascii="Calibri" w:hAnsi="Calibri" w:cs="Calibri"/>
                <w:color w:val="auto"/>
                <w:szCs w:val="21"/>
                <w:highlight w:val="none"/>
              </w:rPr>
              <w:t>文件为准；</w:t>
            </w:r>
            <w:r>
              <w:rPr>
                <w:rFonts w:hint="eastAsia" w:ascii="Calibri" w:hAnsi="Calibri" w:cs="Calibri"/>
                <w:color w:val="auto"/>
                <w:szCs w:val="21"/>
                <w:highlight w:val="none"/>
              </w:rPr>
              <w:t>公布文件中未注明的，以优良工地申报材料上注明的项目类型为准</w:t>
            </w:r>
            <w:r>
              <w:rPr>
                <w:rFonts w:ascii="Calibri" w:hAnsi="Calibri" w:cs="Calibri"/>
                <w:color w:val="auto"/>
                <w:szCs w:val="21"/>
                <w:highlight w:val="none"/>
              </w:rPr>
              <w:t>；</w:t>
            </w:r>
            <w:r>
              <w:rPr>
                <w:rFonts w:hint="eastAsia" w:ascii="Calibri" w:hAnsi="Calibri" w:cs="Calibri"/>
                <w:color w:val="auto"/>
                <w:szCs w:val="21"/>
                <w:highlight w:val="none"/>
                <w:lang w:val="en-US" w:eastAsia="zh-CN"/>
              </w:rPr>
              <w:t>以上材料均未注明工程类型的</w:t>
            </w:r>
            <w:r>
              <w:rPr>
                <w:rFonts w:ascii="Calibri" w:hAnsi="Calibri" w:cs="Calibri"/>
                <w:color w:val="auto"/>
                <w:szCs w:val="21"/>
                <w:highlight w:val="none"/>
              </w:rPr>
              <w:t>，该</w:t>
            </w:r>
            <w:r>
              <w:rPr>
                <w:rFonts w:hint="eastAsia" w:ascii="Calibri" w:hAnsi="Calibri" w:cs="Calibri"/>
                <w:color w:val="auto"/>
                <w:szCs w:val="21"/>
                <w:highlight w:val="none"/>
                <w:lang w:val="en-US" w:eastAsia="zh-CN"/>
              </w:rPr>
              <w:t>质量安全评价结果</w:t>
            </w:r>
            <w:r>
              <w:rPr>
                <w:rFonts w:ascii="Calibri" w:hAnsi="Calibri" w:cs="Calibri"/>
                <w:color w:val="auto"/>
                <w:szCs w:val="21"/>
                <w:highlight w:val="none"/>
              </w:rPr>
              <w:t>不予计分。</w:t>
            </w:r>
          </w:p>
        </w:tc>
      </w:tr>
      <w:tr w14:paraId="559D9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29379A4F">
            <w:pPr>
              <w:snapToGrid w:val="0"/>
              <w:jc w:val="center"/>
              <w:rPr>
                <w:rFonts w:hint="eastAsia" w:ascii="宋体" w:hAnsi="宋体"/>
                <w:color w:val="auto"/>
                <w:szCs w:val="21"/>
                <w:highlight w:val="none"/>
              </w:rPr>
            </w:pPr>
            <w:r>
              <w:rPr>
                <w:rFonts w:hint="eastAsia" w:ascii="宋体" w:hAnsi="宋体"/>
                <w:color w:val="auto"/>
                <w:szCs w:val="21"/>
                <w:highlight w:val="none"/>
              </w:rPr>
              <w:t>9.6</w:t>
            </w:r>
          </w:p>
        </w:tc>
        <w:tc>
          <w:tcPr>
            <w:tcW w:w="1855" w:type="dxa"/>
            <w:tcBorders>
              <w:right w:val="single" w:color="auto" w:sz="4" w:space="0"/>
            </w:tcBorders>
            <w:vAlign w:val="center"/>
          </w:tcPr>
          <w:p w14:paraId="7E1E86F3">
            <w:pPr>
              <w:jc w:val="center"/>
              <w:rPr>
                <w:rFonts w:hint="eastAsia" w:ascii="宋体" w:hAnsi="宋体" w:cs="宋体"/>
                <w:snapToGrid w:val="0"/>
                <w:color w:val="auto"/>
                <w:kern w:val="0"/>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奖项、加分业绩、信用得分、财务状况</w:t>
            </w:r>
            <w:r>
              <w:rPr>
                <w:rFonts w:hint="eastAsia" w:ascii="Calibri" w:hAnsi="Calibri" w:cs="Calibri"/>
                <w:color w:val="auto"/>
                <w:szCs w:val="21"/>
                <w:highlight w:val="none"/>
              </w:rPr>
              <w:t>的计分方式</w:t>
            </w:r>
          </w:p>
        </w:tc>
        <w:tc>
          <w:tcPr>
            <w:tcW w:w="6514" w:type="dxa"/>
            <w:tcBorders>
              <w:left w:val="single" w:color="auto" w:sz="4" w:space="0"/>
            </w:tcBorders>
            <w:vAlign w:val="center"/>
          </w:tcPr>
          <w:p w14:paraId="210C0212">
            <w:pPr>
              <w:widowControl/>
              <w:numPr>
                <w:ilvl w:val="255"/>
                <w:numId w:val="0"/>
              </w:numPr>
              <w:jc w:val="left"/>
              <w:rPr>
                <w:rFonts w:hint="eastAsia" w:ascii="仿宋_GB2312" w:hAnsi="仿宋_GB2312" w:cs="仿宋_GB2312"/>
                <w:b/>
                <w:bCs/>
                <w:color w:val="auto"/>
                <w:highlight w:val="none"/>
              </w:rPr>
            </w:pPr>
            <w:r>
              <w:rPr>
                <w:rFonts w:hint="eastAsia" w:ascii="仿宋_GB2312" w:hAnsi="仿宋_GB2312" w:cs="仿宋_GB2312"/>
                <w:b/>
                <w:bCs/>
                <w:color w:val="auto"/>
                <w:highlight w:val="none"/>
              </w:rPr>
              <w:t>1.加分类似业绩：</w:t>
            </w:r>
          </w:p>
          <w:p w14:paraId="6840DD23">
            <w:pPr>
              <w:widowControl/>
              <w:numPr>
                <w:ilvl w:val="255"/>
                <w:numId w:val="0"/>
              </w:numPr>
              <w:jc w:val="left"/>
              <w:rPr>
                <w:rFonts w:hint="eastAsia" w:ascii="仿宋_GB2312" w:hAnsi="仿宋_GB2312" w:cs="仿宋_GB2312"/>
                <w:color w:val="auto"/>
                <w:highlight w:val="none"/>
              </w:rPr>
            </w:pPr>
            <w:r>
              <w:rPr>
                <w:rFonts w:hint="eastAsia" w:ascii="仿宋_GB2312" w:hAnsi="仿宋_GB2312" w:cs="仿宋_GB2312"/>
                <w:b/>
                <w:bCs/>
                <w:color w:val="auto"/>
                <w:highlight w:val="none"/>
              </w:rPr>
              <w:t>（1）</w:t>
            </w:r>
            <w:r>
              <w:rPr>
                <w:rFonts w:hint="eastAsia" w:ascii="仿宋_GB2312" w:hAnsi="仿宋_GB2312" w:cs="仿宋_GB2312"/>
                <w:color w:val="auto"/>
                <w:highlight w:val="none"/>
              </w:rPr>
              <w:t>招标项目存在不同专业工程内容的,招标人应根据项目实际情况在资格预审文件中明确主要专业，加分业绩的认定须以主要专业为准。本项目主要专业</w:t>
            </w:r>
            <w:r>
              <w:rPr>
                <w:rFonts w:hint="eastAsia" w:ascii="仿宋_GB2312" w:hAnsi="仿宋_GB2312" w:cs="仿宋_GB2312"/>
                <w:b/>
                <w:bCs/>
                <w:color w:val="auto"/>
                <w:highlight w:val="none"/>
              </w:rPr>
              <w:t>：</w:t>
            </w:r>
            <w:r>
              <w:rPr>
                <w:rFonts w:hint="eastAsia" w:ascii="仿宋_GB2312" w:hAnsi="仿宋_GB2312" w:cs="仿宋_GB2312"/>
                <w:color w:val="auto"/>
                <w:highlight w:val="none"/>
                <w:u w:val="single"/>
              </w:rPr>
              <w:t xml:space="preserve">          </w:t>
            </w:r>
          </w:p>
          <w:p w14:paraId="438FBCC8">
            <w:pPr>
              <w:widowControl/>
              <w:numPr>
                <w:ilvl w:val="255"/>
                <w:numId w:val="0"/>
              </w:numPr>
              <w:jc w:val="left"/>
              <w:rPr>
                <w:rFonts w:hint="eastAsia" w:ascii="仿宋_GB2312" w:hAnsi="仿宋_GB2312" w:cs="仿宋_GB2312"/>
                <w:color w:val="auto"/>
                <w:highlight w:val="none"/>
                <w:u w:val="single"/>
              </w:rPr>
            </w:pPr>
            <w:r>
              <w:rPr>
                <w:rFonts w:hint="eastAsia" w:ascii="仿宋_GB2312" w:hAnsi="仿宋_GB2312" w:cs="仿宋_GB2312"/>
                <w:color w:val="auto"/>
                <w:highlight w:val="none"/>
              </w:rPr>
              <w:t>（2）联合体第一、第二个评审加分业绩的认定须以联合体牵头人具备的业绩为准，第三个评审加分业绩可以是联合体成员的。</w:t>
            </w:r>
          </w:p>
          <w:p w14:paraId="78B75A94">
            <w:pPr>
              <w:widowControl/>
              <w:numPr>
                <w:ilvl w:val="255"/>
                <w:numId w:val="0"/>
              </w:numPr>
              <w:jc w:val="left"/>
              <w:rPr>
                <w:rFonts w:hint="eastAsia" w:ascii="仿宋_GB2312" w:hAnsi="仿宋_GB2312" w:cs="仿宋_GB2312"/>
                <w:color w:val="auto"/>
                <w:highlight w:val="none"/>
              </w:rPr>
            </w:pPr>
            <w:r>
              <w:rPr>
                <w:rFonts w:hint="eastAsia" w:ascii="仿宋_GB2312" w:hAnsi="仿宋_GB2312" w:cs="仿宋_GB2312"/>
                <w:b/>
                <w:bCs/>
                <w:color w:val="auto"/>
                <w:highlight w:val="none"/>
              </w:rPr>
              <w:t>2.奖项：</w:t>
            </w:r>
            <w:r>
              <w:rPr>
                <w:rFonts w:hint="eastAsia" w:ascii="仿宋_GB2312" w:hAnsi="仿宋_GB2312" w:cs="仿宋_GB2312"/>
                <w:color w:val="auto"/>
                <w:highlight w:val="none"/>
              </w:rPr>
              <w:t>联合体第一、二个加分奖项必须是联合体牵头人具备的，第三个加分奖项可以是联合体成员的。</w:t>
            </w:r>
          </w:p>
          <w:p w14:paraId="66504E94">
            <w:pPr>
              <w:widowControl/>
              <w:numPr>
                <w:ilvl w:val="255"/>
                <w:numId w:val="0"/>
              </w:numPr>
              <w:jc w:val="left"/>
              <w:rPr>
                <w:rFonts w:ascii="Calibri" w:hAnsi="Calibri" w:cs="Calibri"/>
                <w:color w:val="auto"/>
                <w:szCs w:val="21"/>
                <w:highlight w:val="none"/>
              </w:rPr>
            </w:pPr>
            <w:r>
              <w:rPr>
                <w:rFonts w:hint="eastAsia" w:asciiTheme="minorEastAsia" w:hAnsiTheme="minorEastAsia" w:eastAsiaTheme="minorEastAsia"/>
                <w:b/>
                <w:bCs/>
                <w:color w:val="auto"/>
                <w:szCs w:val="21"/>
                <w:highlight w:val="none"/>
                <w:lang w:val="en-US" w:eastAsia="zh-CN"/>
              </w:rPr>
              <w:t>3</w:t>
            </w:r>
            <w:r>
              <w:rPr>
                <w:rFonts w:hint="eastAsia" w:asciiTheme="minorEastAsia" w:hAnsiTheme="minorEastAsia" w:eastAsiaTheme="minorEastAsia"/>
                <w:b/>
                <w:bCs/>
                <w:color w:val="auto"/>
                <w:szCs w:val="21"/>
                <w:highlight w:val="none"/>
              </w:rPr>
              <w:t>.装配式建筑</w:t>
            </w:r>
            <w:r>
              <w:rPr>
                <w:rFonts w:hint="eastAsia" w:asciiTheme="minorEastAsia" w:hAnsiTheme="minorEastAsia" w:eastAsiaTheme="minorEastAsia"/>
                <w:b/>
                <w:bCs/>
                <w:color w:val="auto"/>
                <w:szCs w:val="21"/>
                <w:highlight w:val="none"/>
                <w:lang w:eastAsia="zh-CN"/>
              </w:rPr>
              <w:t>：</w:t>
            </w:r>
            <w:r>
              <w:rPr>
                <w:rFonts w:ascii="Calibri" w:hAnsi="Calibri" w:cs="Calibri"/>
                <w:color w:val="auto"/>
                <w:szCs w:val="21"/>
                <w:highlight w:val="none"/>
              </w:rPr>
              <w:t>根据联合体协议，仅以装配式建筑产业基地身份作为联合体成员</w:t>
            </w:r>
            <w:r>
              <w:rPr>
                <w:rFonts w:hint="eastAsia" w:ascii="Calibri" w:hAnsi="Calibri" w:cs="Calibri"/>
                <w:color w:val="auto"/>
                <w:szCs w:val="21"/>
                <w:highlight w:val="none"/>
              </w:rPr>
              <w:t>提出资格预审申请</w:t>
            </w:r>
            <w:r>
              <w:rPr>
                <w:rFonts w:ascii="Calibri" w:hAnsi="Calibri" w:cs="Calibri"/>
                <w:color w:val="auto"/>
                <w:szCs w:val="21"/>
                <w:highlight w:val="none"/>
              </w:rPr>
              <w:t>的，不</w:t>
            </w:r>
            <w:r>
              <w:rPr>
                <w:rFonts w:hint="eastAsia" w:ascii="Calibri" w:hAnsi="Calibri" w:cs="Calibri"/>
                <w:color w:val="auto"/>
                <w:szCs w:val="21"/>
                <w:highlight w:val="none"/>
              </w:rPr>
              <w:t>参与资格审查办法评分标准</w:t>
            </w:r>
            <w:r>
              <w:rPr>
                <w:rFonts w:ascii="Calibri" w:hAnsi="Calibri" w:cs="Calibri"/>
                <w:color w:val="auto"/>
                <w:szCs w:val="21"/>
                <w:highlight w:val="none"/>
              </w:rPr>
              <w:t>中各项</w:t>
            </w:r>
            <w:r>
              <w:rPr>
                <w:rFonts w:hint="eastAsia" w:ascii="Calibri" w:hAnsi="Calibri" w:cs="Calibri"/>
                <w:color w:val="auto"/>
                <w:szCs w:val="21"/>
                <w:highlight w:val="none"/>
              </w:rPr>
              <w:t>评审指标</w:t>
            </w:r>
            <w:r>
              <w:rPr>
                <w:rFonts w:ascii="Calibri" w:hAnsi="Calibri" w:cs="Calibri"/>
                <w:color w:val="auto"/>
                <w:szCs w:val="21"/>
                <w:highlight w:val="none"/>
              </w:rPr>
              <w:t>的</w:t>
            </w:r>
            <w:r>
              <w:rPr>
                <w:rFonts w:hint="eastAsia" w:ascii="Calibri" w:hAnsi="Calibri" w:cs="Calibri"/>
                <w:color w:val="auto"/>
                <w:szCs w:val="21"/>
                <w:highlight w:val="none"/>
              </w:rPr>
              <w:t>计分</w:t>
            </w:r>
            <w:r>
              <w:rPr>
                <w:rFonts w:ascii="Calibri" w:hAnsi="Calibri" w:cs="Calibri"/>
                <w:color w:val="auto"/>
                <w:szCs w:val="21"/>
                <w:highlight w:val="none"/>
              </w:rPr>
              <w:t>。</w:t>
            </w:r>
          </w:p>
          <w:p w14:paraId="5E8D7219">
            <w:pPr>
              <w:widowControl/>
              <w:numPr>
                <w:ilvl w:val="255"/>
                <w:numId w:val="0"/>
              </w:numPr>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b/>
                <w:bCs/>
                <w:color w:val="auto"/>
                <w:szCs w:val="21"/>
                <w:highlight w:val="none"/>
                <w:lang w:val="en-US" w:eastAsia="zh-CN"/>
              </w:rPr>
              <w:t>4.</w:t>
            </w:r>
            <w:r>
              <w:rPr>
                <w:rFonts w:hint="eastAsia" w:asciiTheme="minorEastAsia" w:hAnsiTheme="minorEastAsia" w:eastAsiaTheme="minorEastAsia"/>
                <w:color w:val="auto"/>
                <w:szCs w:val="21"/>
                <w:highlight w:val="none"/>
                <w:lang w:val="en-US" w:eastAsia="zh-CN"/>
              </w:rPr>
              <w:t>联合体投标人的信用、财务状况以及质量安全评价得分，</w:t>
            </w:r>
            <w:r>
              <w:rPr>
                <w:rFonts w:hint="eastAsia" w:ascii="仿宋_GB2312" w:hAnsi="仿宋_GB2312" w:cs="仿宋_GB2312"/>
                <w:color w:val="auto"/>
                <w:highlight w:val="none"/>
              </w:rPr>
              <w:t>按</w:t>
            </w:r>
            <w:r>
              <w:rPr>
                <w:rFonts w:hint="eastAsia" w:asciiTheme="minorEastAsia" w:hAnsiTheme="minorEastAsia" w:eastAsiaTheme="minorEastAsia"/>
                <w:color w:val="auto"/>
                <w:szCs w:val="21"/>
                <w:highlight w:val="none"/>
              </w:rPr>
              <w:t>“就低不就高”的原则确定。</w:t>
            </w:r>
          </w:p>
          <w:p w14:paraId="7262DF74">
            <w:pPr>
              <w:widowControl/>
              <w:numPr>
                <w:ilvl w:val="255"/>
                <w:numId w:val="0"/>
              </w:numPr>
              <w:jc w:val="left"/>
              <w:rPr>
                <w:rFonts w:hint="eastAsia" w:ascii="宋体" w:hAnsi="宋体" w:cs="仿宋_GB2312"/>
                <w:color w:val="auto"/>
                <w:highlight w:val="none"/>
              </w:rPr>
            </w:pPr>
            <w:r>
              <w:rPr>
                <w:rFonts w:hint="eastAsia" w:ascii="Calibri" w:hAnsi="Calibri" w:cs="Calibri"/>
                <w:b/>
                <w:bCs/>
                <w:color w:val="auto"/>
                <w:szCs w:val="21"/>
                <w:highlight w:val="none"/>
                <w:lang w:val="en-US" w:eastAsia="zh-CN"/>
              </w:rPr>
              <w:t>5</w:t>
            </w:r>
            <w:r>
              <w:rPr>
                <w:rFonts w:hint="eastAsia" w:ascii="Calibri" w:hAnsi="Calibri" w:cs="Calibri"/>
                <w:b/>
                <w:bCs/>
                <w:color w:val="auto"/>
                <w:szCs w:val="21"/>
                <w:highlight w:val="none"/>
              </w:rPr>
              <w:t>.</w:t>
            </w:r>
            <w:r>
              <w:rPr>
                <w:rFonts w:hint="eastAsia" w:ascii="Calibri" w:hAnsi="Calibri" w:cs="Calibri"/>
                <w:color w:val="auto"/>
                <w:szCs w:val="21"/>
                <w:highlight w:val="none"/>
              </w:rPr>
              <w:t>其他</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hint="eastAsia" w:ascii="宋体" w:hAnsi="宋体" w:cs="宋体"/>
                <w:color w:val="auto"/>
                <w:szCs w:val="21"/>
                <w:highlight w:val="none"/>
              </w:rPr>
              <w:t>由招标人根据项目情况依法依规在资格预审文件中明确。</w:t>
            </w:r>
            <w:r>
              <w:rPr>
                <w:rFonts w:hint="eastAsia" w:ascii="Calibri" w:hAnsi="Calibri" w:cs="Calibri"/>
                <w:color w:val="auto"/>
                <w:szCs w:val="21"/>
                <w:highlight w:val="none"/>
              </w:rPr>
              <w:t>）</w:t>
            </w:r>
          </w:p>
        </w:tc>
      </w:tr>
      <w:tr w14:paraId="70BAB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73D35DD4">
            <w:pPr>
              <w:snapToGrid w:val="0"/>
              <w:jc w:val="center"/>
              <w:rPr>
                <w:rFonts w:hint="eastAsia" w:ascii="宋体" w:hAnsi="宋体"/>
                <w:color w:val="auto"/>
                <w:szCs w:val="21"/>
                <w:highlight w:val="none"/>
              </w:rPr>
            </w:pPr>
            <w:r>
              <w:rPr>
                <w:rFonts w:hint="eastAsia" w:ascii="宋体" w:hAnsi="宋体"/>
                <w:color w:val="auto"/>
                <w:szCs w:val="21"/>
                <w:highlight w:val="none"/>
              </w:rPr>
              <w:t>9.7</w:t>
            </w:r>
          </w:p>
        </w:tc>
        <w:tc>
          <w:tcPr>
            <w:tcW w:w="1855" w:type="dxa"/>
            <w:tcBorders>
              <w:right w:val="single" w:color="auto" w:sz="4" w:space="0"/>
            </w:tcBorders>
          </w:tcPr>
          <w:p w14:paraId="0DC8F4BD">
            <w:pPr>
              <w:rPr>
                <w:color w:val="auto"/>
                <w:szCs w:val="21"/>
                <w:highlight w:val="none"/>
              </w:rPr>
            </w:pPr>
            <w:r>
              <w:rPr>
                <w:rFonts w:hint="eastAsia"/>
                <w:color w:val="auto"/>
                <w:highlight w:val="none"/>
              </w:rPr>
              <w:t>资格审查委员会复核</w:t>
            </w:r>
          </w:p>
        </w:tc>
        <w:tc>
          <w:tcPr>
            <w:tcW w:w="6514" w:type="dxa"/>
            <w:tcBorders>
              <w:left w:val="single" w:color="auto" w:sz="4" w:space="0"/>
            </w:tcBorders>
          </w:tcPr>
          <w:p w14:paraId="710B7CBE">
            <w:pPr>
              <w:rPr>
                <w:color w:val="auto"/>
                <w:highlight w:val="none"/>
              </w:rPr>
            </w:pPr>
            <w:r>
              <w:rPr>
                <w:rFonts w:hint="eastAsia"/>
                <w:color w:val="auto"/>
                <w:highlight w:val="none"/>
              </w:rPr>
              <w:t>本项目采用机器</w:t>
            </w:r>
            <w:r>
              <w:rPr>
                <w:rFonts w:hint="eastAsia"/>
                <w:color w:val="auto"/>
                <w:highlight w:val="none"/>
                <w:lang w:eastAsia="zh-CN"/>
              </w:rPr>
              <w:t>管招投标方式</w:t>
            </w:r>
            <w:r>
              <w:rPr>
                <w:rFonts w:hint="eastAsia"/>
                <w:color w:val="auto"/>
                <w:highlight w:val="none"/>
              </w:rPr>
              <w:t>，由资格审查委员会对评审结果进行复核确认。</w:t>
            </w:r>
          </w:p>
        </w:tc>
      </w:tr>
      <w:tr w14:paraId="49A4E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42C8C695">
            <w:pPr>
              <w:snapToGrid w:val="0"/>
              <w:jc w:val="center"/>
              <w:rPr>
                <w:rFonts w:hint="eastAsia" w:ascii="宋体" w:hAnsi="宋体"/>
                <w:color w:val="auto"/>
                <w:szCs w:val="21"/>
                <w:highlight w:val="none"/>
              </w:rPr>
            </w:pPr>
            <w:r>
              <w:rPr>
                <w:rFonts w:hint="eastAsia" w:ascii="宋体" w:hAnsi="宋体"/>
                <w:color w:val="auto"/>
                <w:szCs w:val="21"/>
                <w:highlight w:val="none"/>
              </w:rPr>
              <w:t>9.8</w:t>
            </w:r>
          </w:p>
        </w:tc>
        <w:tc>
          <w:tcPr>
            <w:tcW w:w="1855" w:type="dxa"/>
            <w:tcBorders>
              <w:right w:val="single" w:color="auto" w:sz="4" w:space="0"/>
            </w:tcBorders>
            <w:vAlign w:val="center"/>
          </w:tcPr>
          <w:p w14:paraId="0D3FB024">
            <w:pPr>
              <w:rPr>
                <w:color w:val="auto"/>
                <w:highlight w:val="none"/>
              </w:rPr>
            </w:pPr>
            <w:r>
              <w:rPr>
                <w:rFonts w:hint="eastAsia"/>
                <w:color w:val="auto"/>
                <w:highlight w:val="none"/>
              </w:rPr>
              <w:t>是否要求申请人代表出席现场资格预审会</w:t>
            </w:r>
          </w:p>
        </w:tc>
        <w:tc>
          <w:tcPr>
            <w:tcW w:w="6514" w:type="dxa"/>
            <w:tcBorders>
              <w:left w:val="single" w:color="auto" w:sz="4" w:space="0"/>
            </w:tcBorders>
            <w:vAlign w:val="center"/>
          </w:tcPr>
          <w:p w14:paraId="58B8B9EB">
            <w:pPr>
              <w:rPr>
                <w:color w:val="auto"/>
                <w:highlight w:val="none"/>
              </w:rPr>
            </w:pPr>
            <w:r>
              <w:rPr>
                <w:rFonts w:hint="eastAsia"/>
                <w:color w:val="auto"/>
                <w:highlight w:val="none"/>
              </w:rPr>
              <w:t>不要求</w:t>
            </w:r>
          </w:p>
        </w:tc>
      </w:tr>
      <w:tr w14:paraId="605BB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600E0FE5">
            <w:pPr>
              <w:snapToGrid w:val="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9</w:t>
            </w:r>
          </w:p>
        </w:tc>
        <w:tc>
          <w:tcPr>
            <w:tcW w:w="1855" w:type="dxa"/>
            <w:tcBorders>
              <w:right w:val="single" w:color="auto" w:sz="4" w:space="0"/>
            </w:tcBorders>
            <w:vAlign w:val="center"/>
          </w:tcPr>
          <w:p w14:paraId="3AF98468">
            <w:pPr>
              <w:spacing w:line="300" w:lineRule="exact"/>
              <w:rPr>
                <w:color w:val="auto"/>
                <w:highlight w:val="none"/>
              </w:rPr>
            </w:pPr>
            <w:r>
              <w:rPr>
                <w:rFonts w:hint="eastAsia"/>
                <w:color w:val="auto"/>
                <w:highlight w:val="none"/>
              </w:rPr>
              <w:t>省外入湘</w:t>
            </w:r>
            <w:r>
              <w:rPr>
                <w:rFonts w:hint="eastAsia"/>
                <w:color w:val="auto"/>
                <w:highlight w:val="none"/>
                <w:lang w:val="en-US" w:eastAsia="zh-CN"/>
              </w:rPr>
              <w:t>信息报送</w:t>
            </w:r>
            <w:r>
              <w:rPr>
                <w:rFonts w:hint="eastAsia"/>
                <w:color w:val="auto"/>
                <w:highlight w:val="none"/>
              </w:rPr>
              <w:t>要求</w:t>
            </w:r>
          </w:p>
        </w:tc>
        <w:tc>
          <w:tcPr>
            <w:tcW w:w="6514" w:type="dxa"/>
            <w:tcBorders>
              <w:left w:val="single" w:color="auto" w:sz="4" w:space="0"/>
            </w:tcBorders>
            <w:vAlign w:val="center"/>
          </w:tcPr>
          <w:p w14:paraId="3D586D6D">
            <w:pPr>
              <w:spacing w:line="300" w:lineRule="exact"/>
              <w:jc w:val="left"/>
              <w:rPr>
                <w:color w:val="auto"/>
                <w:highlight w:val="none"/>
              </w:rPr>
            </w:pPr>
            <w:r>
              <w:rPr>
                <w:rFonts w:hint="eastAsia"/>
                <w:color w:val="auto"/>
                <w:highlight w:val="none"/>
              </w:rPr>
              <w:t>省外施工入湘企业在</w:t>
            </w:r>
            <w:r>
              <w:rPr>
                <w:rFonts w:hint="eastAsia" w:ascii="Calibri" w:hAnsi="Calibri" w:cs="Calibri"/>
                <w:color w:val="auto"/>
                <w:highlight w:val="none"/>
              </w:rPr>
              <w:t>“湖南省建筑市场监管公共服务平台”</w:t>
            </w:r>
            <w:r>
              <w:rPr>
                <w:rFonts w:hint="eastAsia"/>
                <w:color w:val="auto"/>
                <w:highlight w:val="none"/>
                <w:lang w:val="en-US" w:eastAsia="zh-CN"/>
              </w:rPr>
              <w:t>完成省外入湘信息报送。</w:t>
            </w:r>
            <w:r>
              <w:rPr>
                <w:rFonts w:hint="eastAsia"/>
                <w:color w:val="auto"/>
                <w:highlight w:val="none"/>
              </w:rPr>
              <w:t>（按照第四章资格预审申请文件格式规定提供查询网页截图）。</w:t>
            </w:r>
          </w:p>
        </w:tc>
      </w:tr>
      <w:tr w14:paraId="7E060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1D8D2D50">
            <w:pPr>
              <w:snapToGrid w:val="0"/>
              <w:jc w:val="center"/>
              <w:rPr>
                <w:rFonts w:hint="eastAsia" w:ascii="宋体" w:hAnsi="宋体"/>
                <w:color w:val="auto"/>
                <w:szCs w:val="21"/>
                <w:highlight w:val="none"/>
              </w:rPr>
            </w:pPr>
            <w:r>
              <w:rPr>
                <w:rFonts w:hint="eastAsia" w:ascii="宋体" w:hAnsi="宋体"/>
                <w:color w:val="auto"/>
                <w:szCs w:val="21"/>
                <w:highlight w:val="none"/>
              </w:rPr>
              <w:t>9.10</w:t>
            </w:r>
          </w:p>
        </w:tc>
        <w:tc>
          <w:tcPr>
            <w:tcW w:w="1855" w:type="dxa"/>
            <w:tcBorders>
              <w:right w:val="single" w:color="auto" w:sz="4" w:space="0"/>
            </w:tcBorders>
            <w:vAlign w:val="center"/>
          </w:tcPr>
          <w:p w14:paraId="2F11F0F5">
            <w:pPr>
              <w:jc w:val="center"/>
              <w:rPr>
                <w:color w:val="auto"/>
                <w:highlight w:val="none"/>
              </w:rPr>
            </w:pPr>
            <w:r>
              <w:rPr>
                <w:rFonts w:hint="eastAsia"/>
                <w:color w:val="auto"/>
                <w:highlight w:val="none"/>
              </w:rPr>
              <w:t>监  督</w:t>
            </w:r>
          </w:p>
        </w:tc>
        <w:tc>
          <w:tcPr>
            <w:tcW w:w="6514" w:type="dxa"/>
            <w:tcBorders>
              <w:left w:val="single" w:color="auto" w:sz="4" w:space="0"/>
            </w:tcBorders>
            <w:vAlign w:val="center"/>
          </w:tcPr>
          <w:p w14:paraId="53518BB2">
            <w:pPr>
              <w:rPr>
                <w:color w:val="auto"/>
                <w:highlight w:val="none"/>
              </w:rPr>
            </w:pPr>
            <w:r>
              <w:rPr>
                <w:rFonts w:hint="eastAsia"/>
                <w:color w:val="auto"/>
                <w:highlight w:val="none"/>
              </w:rPr>
              <w:t>本项目的招标投标活动及其相关当事人应当接受招标投标行政监督部门依法实施的监督。</w:t>
            </w:r>
          </w:p>
        </w:tc>
      </w:tr>
      <w:tr w14:paraId="5CA7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4B044749">
            <w:pPr>
              <w:snapToGrid w:val="0"/>
              <w:ind w:firstLine="210" w:firstLineChars="100"/>
              <w:rPr>
                <w:rFonts w:hint="eastAsia" w:ascii="宋体" w:hAnsi="宋体"/>
                <w:color w:val="auto"/>
                <w:szCs w:val="21"/>
                <w:highlight w:val="none"/>
              </w:rPr>
            </w:pPr>
            <w:r>
              <w:rPr>
                <w:rFonts w:hint="eastAsia" w:ascii="宋体" w:hAnsi="宋体"/>
                <w:color w:val="auto"/>
                <w:szCs w:val="21"/>
                <w:highlight w:val="none"/>
              </w:rPr>
              <w:t>9.11</w:t>
            </w:r>
          </w:p>
        </w:tc>
        <w:tc>
          <w:tcPr>
            <w:tcW w:w="1855" w:type="dxa"/>
            <w:tcBorders>
              <w:right w:val="single" w:color="auto" w:sz="4" w:space="0"/>
            </w:tcBorders>
            <w:vAlign w:val="center"/>
          </w:tcPr>
          <w:p w14:paraId="7F32F38D">
            <w:pPr>
              <w:jc w:val="center"/>
              <w:rPr>
                <w:color w:val="auto"/>
                <w:highlight w:val="none"/>
              </w:rPr>
            </w:pPr>
            <w:r>
              <w:rPr>
                <w:rFonts w:hint="eastAsia"/>
                <w:color w:val="auto"/>
                <w:highlight w:val="none"/>
              </w:rPr>
              <w:t>解释权</w:t>
            </w:r>
          </w:p>
        </w:tc>
        <w:tc>
          <w:tcPr>
            <w:tcW w:w="6514" w:type="dxa"/>
            <w:tcBorders>
              <w:left w:val="single" w:color="auto" w:sz="4" w:space="0"/>
            </w:tcBorders>
            <w:vAlign w:val="center"/>
          </w:tcPr>
          <w:p w14:paraId="5081466F">
            <w:pPr>
              <w:rPr>
                <w:color w:val="auto"/>
                <w:highlight w:val="none"/>
              </w:rPr>
            </w:pPr>
            <w:r>
              <w:rPr>
                <w:rFonts w:hint="eastAsia"/>
                <w:color w:val="auto"/>
                <w:highlight w:val="none"/>
              </w:rPr>
              <w:t>构成本资格预审文件的各个组成文件（章，下同）应互为解释，互为说明；如有不明确或不一致，除资格预审文件中有特别规定外，仅适用于资格预审阶段的规定，按资格预审公告、申请人须知、资格审查方法、资格预审申请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3F184E26">
            <w:pPr>
              <w:rPr>
                <w:color w:val="auto"/>
                <w:highlight w:val="none"/>
              </w:rPr>
            </w:pPr>
            <w:r>
              <w:rPr>
                <w:rFonts w:hint="eastAsia" w:ascii="Calibri" w:hAnsi="Calibri" w:cs="Calibri"/>
                <w:snapToGrid w:val="0"/>
                <w:color w:val="auto"/>
                <w:kern w:val="0"/>
                <w:szCs w:val="21"/>
                <w:highlight w:val="none"/>
              </w:rPr>
              <w:t>涉及《导则》的问题，由《导则》发文部门负责解释。</w:t>
            </w:r>
          </w:p>
        </w:tc>
      </w:tr>
      <w:tr w14:paraId="34C26B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5" w:type="dxa"/>
            <w:bottom w:w="0" w:type="dxa"/>
            <w:right w:w="45" w:type="dxa"/>
          </w:tblCellMar>
        </w:tblPrEx>
        <w:trPr>
          <w:trHeight w:val="567" w:hRule="atLeast"/>
          <w:jc w:val="center"/>
        </w:trPr>
        <w:tc>
          <w:tcPr>
            <w:tcW w:w="878" w:type="dxa"/>
            <w:vAlign w:val="center"/>
          </w:tcPr>
          <w:p w14:paraId="36C49207">
            <w:pPr>
              <w:snapToGrid w:val="0"/>
              <w:jc w:val="center"/>
              <w:rPr>
                <w:rFonts w:hint="eastAsia" w:ascii="宋体" w:hAnsi="宋体"/>
                <w:color w:val="auto"/>
                <w:szCs w:val="21"/>
                <w:highlight w:val="none"/>
              </w:rPr>
            </w:pPr>
            <w:r>
              <w:rPr>
                <w:rFonts w:hint="eastAsia" w:ascii="宋体" w:hAnsi="宋体"/>
                <w:color w:val="auto"/>
                <w:szCs w:val="21"/>
                <w:highlight w:val="none"/>
              </w:rPr>
              <w:t>9.12</w:t>
            </w:r>
          </w:p>
        </w:tc>
        <w:tc>
          <w:tcPr>
            <w:tcW w:w="1855" w:type="dxa"/>
            <w:tcBorders>
              <w:right w:val="single" w:color="auto" w:sz="4" w:space="0"/>
            </w:tcBorders>
            <w:vAlign w:val="center"/>
          </w:tcPr>
          <w:p w14:paraId="0CAEB212">
            <w:pPr>
              <w:snapToGrid w:val="0"/>
              <w:jc w:val="center"/>
              <w:rPr>
                <w:rFonts w:hint="eastAsia" w:ascii="宋体" w:hAnsi="宋体"/>
                <w:color w:val="auto"/>
                <w:szCs w:val="21"/>
                <w:highlight w:val="none"/>
              </w:rPr>
            </w:pPr>
            <w:r>
              <w:rPr>
                <w:rFonts w:hint="eastAsia" w:ascii="宋体" w:hAnsi="宋体"/>
                <w:color w:val="auto"/>
                <w:szCs w:val="21"/>
                <w:highlight w:val="none"/>
              </w:rPr>
              <w:t>其他</w:t>
            </w:r>
          </w:p>
        </w:tc>
        <w:tc>
          <w:tcPr>
            <w:tcW w:w="6514" w:type="dxa"/>
            <w:tcBorders>
              <w:left w:val="single" w:color="auto" w:sz="4" w:space="0"/>
            </w:tcBorders>
            <w:vAlign w:val="center"/>
          </w:tcPr>
          <w:p w14:paraId="22E07E75">
            <w:pPr>
              <w:rPr>
                <w:color w:val="auto"/>
                <w:highlight w:val="none"/>
              </w:rPr>
            </w:pPr>
            <w:r>
              <w:rPr>
                <w:rFonts w:hint="eastAsia" w:ascii="宋体" w:hAnsi="宋体" w:cs="仿宋_GB2312"/>
                <w:color w:val="auto"/>
                <w:szCs w:val="21"/>
                <w:highlight w:val="none"/>
              </w:rPr>
              <w:t>1.资格预审文件中所设置的内容、条款及未尽事宜，以国家或省有关规定</w:t>
            </w:r>
            <w:r>
              <w:rPr>
                <w:rFonts w:hint="eastAsia"/>
                <w:color w:val="auto"/>
                <w:highlight w:val="none"/>
              </w:rPr>
              <w:t>为准；</w:t>
            </w:r>
          </w:p>
          <w:p w14:paraId="1351B4B3">
            <w:pPr>
              <w:rPr>
                <w:color w:val="auto"/>
                <w:highlight w:val="none"/>
              </w:rPr>
            </w:pPr>
            <w:r>
              <w:rPr>
                <w:rFonts w:hint="eastAsia"/>
                <w:color w:val="auto"/>
                <w:highlight w:val="none"/>
              </w:rPr>
              <w:t>2.本资格预审文件要求的复印件是指复印件或扫描件或影印件。</w:t>
            </w:r>
          </w:p>
          <w:p w14:paraId="26B5CDD4">
            <w:pPr>
              <w:rPr>
                <w:rFonts w:hint="eastAsia" w:ascii="宋体" w:hAnsi="宋体"/>
                <w:color w:val="auto"/>
                <w:szCs w:val="21"/>
                <w:highlight w:val="none"/>
                <w:u w:val="single"/>
              </w:rPr>
            </w:pPr>
            <w:r>
              <w:rPr>
                <w:rFonts w:hint="eastAsia"/>
                <w:color w:val="auto"/>
                <w:highlight w:val="none"/>
              </w:rPr>
              <w:t>3.</w:t>
            </w:r>
            <w:bookmarkStart w:id="37" w:name="_Hlk196385248"/>
            <w:r>
              <w:rPr>
                <w:rFonts w:hint="eastAsia"/>
                <w:color w:val="auto"/>
                <w:highlight w:val="none"/>
              </w:rPr>
              <w:t>其他：</w:t>
            </w:r>
            <w:r>
              <w:rPr>
                <w:rFonts w:hint="eastAsia"/>
                <w:color w:val="auto"/>
                <w:highlight w:val="none"/>
                <w:u w:val="single"/>
              </w:rPr>
              <w:t xml:space="preserve">             </w:t>
            </w:r>
            <w:r>
              <w:rPr>
                <w:rFonts w:hint="eastAsia" w:ascii="Calibri" w:hAnsi="Calibri" w:cs="Calibri"/>
                <w:color w:val="auto"/>
                <w:szCs w:val="21"/>
                <w:highlight w:val="none"/>
              </w:rPr>
              <w:t>（</w:t>
            </w:r>
            <w:r>
              <w:rPr>
                <w:rFonts w:hint="eastAsia" w:ascii="宋体" w:hAnsi="宋体" w:cs="宋体"/>
                <w:color w:val="auto"/>
                <w:szCs w:val="21"/>
                <w:highlight w:val="none"/>
              </w:rPr>
              <w:t>由招标人根据项目情况依法依规在资格预审文件中明确。</w:t>
            </w:r>
            <w:r>
              <w:rPr>
                <w:rFonts w:hint="eastAsia" w:ascii="Calibri" w:hAnsi="Calibri" w:cs="Calibri"/>
                <w:color w:val="auto"/>
                <w:szCs w:val="21"/>
                <w:highlight w:val="none"/>
              </w:rPr>
              <w:t>）</w:t>
            </w:r>
            <w:bookmarkEnd w:id="37"/>
          </w:p>
        </w:tc>
      </w:tr>
    </w:tbl>
    <w:p w14:paraId="5FDF06E1">
      <w:pPr>
        <w:snapToGrid w:val="0"/>
        <w:spacing w:line="360" w:lineRule="auto"/>
        <w:ind w:firstLine="560"/>
        <w:jc w:val="center"/>
        <w:rPr>
          <w:rFonts w:hint="eastAsia" w:ascii="黑体" w:hAnsi="宋体" w:eastAsia="黑体"/>
          <w:color w:val="auto"/>
          <w:sz w:val="28"/>
          <w:szCs w:val="28"/>
          <w:highlight w:val="none"/>
        </w:rPr>
      </w:pPr>
      <w:r>
        <w:rPr>
          <w:rFonts w:ascii="宋体" w:hAnsi="宋体"/>
          <w:color w:val="auto"/>
          <w:highlight w:val="none"/>
        </w:rPr>
        <w:br w:type="page"/>
      </w:r>
      <w:r>
        <w:rPr>
          <w:rFonts w:hint="eastAsia" w:ascii="黑体" w:hAnsi="宋体" w:eastAsia="黑体"/>
          <w:color w:val="auto"/>
          <w:sz w:val="28"/>
          <w:szCs w:val="28"/>
          <w:highlight w:val="none"/>
        </w:rPr>
        <w:t>申请人须知正文部分</w:t>
      </w:r>
    </w:p>
    <w:p w14:paraId="7938051E">
      <w:pPr>
        <w:pStyle w:val="4"/>
        <w:ind w:firstLine="0" w:firstLineChars="0"/>
        <w:jc w:val="left"/>
        <w:rPr>
          <w:rFonts w:hint="eastAsia" w:ascii="黑体" w:hAnsi="宋体" w:eastAsia="黑体"/>
          <w:b w:val="0"/>
          <w:bCs w:val="0"/>
          <w:color w:val="auto"/>
          <w:sz w:val="28"/>
          <w:szCs w:val="28"/>
          <w:highlight w:val="none"/>
        </w:rPr>
      </w:pPr>
      <w:bookmarkStart w:id="38" w:name="_Toc295196498"/>
      <w:bookmarkStart w:id="39" w:name="_Toc1190"/>
      <w:bookmarkStart w:id="40" w:name="_Toc184704563"/>
      <w:bookmarkStart w:id="41" w:name="_Toc184704675"/>
      <w:r>
        <w:rPr>
          <w:rFonts w:hint="eastAsia" w:ascii="黑体" w:hAnsi="宋体" w:eastAsia="黑体"/>
          <w:b w:val="0"/>
          <w:bCs w:val="0"/>
          <w:color w:val="auto"/>
          <w:sz w:val="28"/>
          <w:szCs w:val="28"/>
          <w:highlight w:val="none"/>
        </w:rPr>
        <w:t>1.总则</w:t>
      </w:r>
      <w:bookmarkEnd w:id="38"/>
      <w:bookmarkEnd w:id="39"/>
      <w:bookmarkEnd w:id="40"/>
      <w:bookmarkEnd w:id="41"/>
    </w:p>
    <w:p w14:paraId="58CE23E0">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42" w:name="_Toc184704564"/>
      <w:bookmarkStart w:id="43" w:name="_Toc295196499"/>
      <w:r>
        <w:rPr>
          <w:rFonts w:hint="eastAsia" w:ascii="黑体" w:hAnsi="宋体" w:eastAsia="黑体"/>
          <w:bCs/>
          <w:color w:val="auto"/>
          <w:kern w:val="2"/>
          <w:sz w:val="24"/>
          <w:szCs w:val="21"/>
          <w:highlight w:val="none"/>
        </w:rPr>
        <w:t>1.1 项目概况</w:t>
      </w:r>
      <w:bookmarkEnd w:id="42"/>
      <w:bookmarkEnd w:id="43"/>
    </w:p>
    <w:p w14:paraId="54E58A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根据《中华人民共和国招标投标法》等有关法律、法规和规章的规定，本招标项目已具备招标条件，现进行公开招标，特邀请有兴趣承担本标段的申请人提出资格预审申请。</w:t>
      </w:r>
    </w:p>
    <w:p w14:paraId="44FB9E8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本招标项目招标人：见申请人须知前附表。</w:t>
      </w:r>
    </w:p>
    <w:p w14:paraId="465291E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本标段招标代理机构：见申请人须知前附表。</w:t>
      </w:r>
    </w:p>
    <w:p w14:paraId="4CFD9E0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1.1.4  本招标项目名称：见申请人须知前附表。</w:t>
      </w:r>
    </w:p>
    <w:p w14:paraId="3E697DF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1.1.5  本标段建设地点：见申请人须知前附表。</w:t>
      </w:r>
    </w:p>
    <w:p w14:paraId="07654222">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44" w:name="_Toc184704565"/>
      <w:bookmarkStart w:id="45" w:name="_Toc295196500"/>
      <w:r>
        <w:rPr>
          <w:rFonts w:hint="eastAsia" w:ascii="黑体" w:hAnsi="宋体" w:eastAsia="黑体"/>
          <w:bCs/>
          <w:color w:val="auto"/>
          <w:kern w:val="2"/>
          <w:sz w:val="24"/>
          <w:szCs w:val="21"/>
          <w:highlight w:val="none"/>
        </w:rPr>
        <w:t>1.2 资金来源和落实情况</w:t>
      </w:r>
      <w:bookmarkEnd w:id="44"/>
      <w:bookmarkEnd w:id="45"/>
    </w:p>
    <w:p w14:paraId="363575D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详见资格预审公告。</w:t>
      </w:r>
    </w:p>
    <w:p w14:paraId="580F9CF0">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46" w:name="_Toc295196501"/>
      <w:bookmarkStart w:id="47" w:name="_Toc184704566"/>
      <w:r>
        <w:rPr>
          <w:rFonts w:hint="eastAsia" w:ascii="黑体" w:hAnsi="宋体" w:eastAsia="黑体"/>
          <w:bCs/>
          <w:color w:val="auto"/>
          <w:kern w:val="2"/>
          <w:sz w:val="24"/>
          <w:szCs w:val="21"/>
          <w:highlight w:val="none"/>
        </w:rPr>
        <w:t>1.3 招标范围、计划工期和质量要求</w:t>
      </w:r>
      <w:bookmarkEnd w:id="46"/>
      <w:bookmarkEnd w:id="47"/>
    </w:p>
    <w:p w14:paraId="3411714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本次招标范围：见申请人须知前附表。</w:t>
      </w:r>
    </w:p>
    <w:p w14:paraId="3506C8F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本标段的计划工期：见申请人须知前附表。</w:t>
      </w:r>
    </w:p>
    <w:p w14:paraId="170B2DB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  本标段的质量要求及保修要求：见申请人须知前附表。</w:t>
      </w:r>
    </w:p>
    <w:p w14:paraId="30B3E4A2">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48" w:name="_Toc184704567"/>
      <w:bookmarkStart w:id="49" w:name="_Toc295196502"/>
      <w:r>
        <w:rPr>
          <w:rFonts w:hint="eastAsia" w:ascii="黑体" w:hAnsi="宋体" w:eastAsia="黑体"/>
          <w:bCs/>
          <w:color w:val="auto"/>
          <w:kern w:val="2"/>
          <w:sz w:val="24"/>
          <w:szCs w:val="21"/>
          <w:highlight w:val="none"/>
        </w:rPr>
        <w:t>1.4 申请人资格要求</w:t>
      </w:r>
      <w:bookmarkEnd w:id="48"/>
      <w:bookmarkEnd w:id="49"/>
    </w:p>
    <w:p w14:paraId="08C6AFC9">
      <w:pPr>
        <w:pStyle w:val="38"/>
        <w:spacing w:line="360" w:lineRule="auto"/>
        <w:ind w:firstLine="420" w:firstLineChars="200"/>
        <w:rPr>
          <w:rFonts w:hint="eastAsia" w:ascii="宋体" w:hAnsi="宋体"/>
          <w:color w:val="auto"/>
          <w:highlight w:val="none"/>
        </w:rPr>
      </w:pPr>
      <w:r>
        <w:rPr>
          <w:rFonts w:hint="eastAsia" w:ascii="宋体" w:hAnsi="宋体"/>
          <w:color w:val="auto"/>
          <w:highlight w:val="none"/>
        </w:rPr>
        <w:t>1.4.1  申请人应具备承担本标段施工招标的资质条件：见申请人须知前附表。</w:t>
      </w:r>
    </w:p>
    <w:p w14:paraId="5819BDE5">
      <w:pPr>
        <w:pStyle w:val="38"/>
        <w:spacing w:line="360" w:lineRule="auto"/>
        <w:ind w:firstLine="420" w:firstLineChars="200"/>
        <w:rPr>
          <w:rFonts w:hint="eastAsia" w:ascii="宋体" w:hAnsi="宋体"/>
          <w:color w:val="auto"/>
          <w:highlight w:val="none"/>
        </w:rPr>
      </w:pPr>
      <w:r>
        <w:rPr>
          <w:rFonts w:hint="eastAsia" w:ascii="宋体" w:hAnsi="宋体"/>
          <w:color w:val="auto"/>
          <w:highlight w:val="none"/>
        </w:rPr>
        <w:t>1.4.2  申请人须知前附表规定接受联合体申请资格预审的，联合体申请人除应符合本章第1.4.1项和申请人须知前附表的要求外，还应遵守以下规定：</w:t>
      </w:r>
    </w:p>
    <w:p w14:paraId="7BE054D6">
      <w:pPr>
        <w:pStyle w:val="38"/>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（1）联合体各方应按资格预审文件提供的格式签订联合体协议书，明确联合体牵头人和各方权利义务；</w:t>
      </w:r>
    </w:p>
    <w:p w14:paraId="114478B2">
      <w:pPr>
        <w:pStyle w:val="38"/>
        <w:spacing w:line="360" w:lineRule="auto"/>
        <w:ind w:firstLine="420" w:firstLineChars="200"/>
        <w:rPr>
          <w:rFonts w:hint="eastAsia" w:ascii="宋体" w:hAnsi="宋体"/>
          <w:bCs/>
          <w:color w:val="auto"/>
          <w:highlight w:val="none"/>
        </w:rPr>
      </w:pPr>
      <w:r>
        <w:rPr>
          <w:rFonts w:hint="eastAsia" w:ascii="宋体" w:hAnsi="宋体"/>
          <w:bCs/>
          <w:color w:val="auto"/>
          <w:highlight w:val="none"/>
        </w:rPr>
        <w:t xml:space="preserve">（2）由同一专业的单位组成的联合体，按照资质等级较低的单位确定资质等级； </w:t>
      </w:r>
    </w:p>
    <w:p w14:paraId="0209399A">
      <w:pPr>
        <w:pStyle w:val="38"/>
        <w:spacing w:line="360" w:lineRule="auto"/>
        <w:ind w:firstLine="420" w:firstLineChars="200"/>
        <w:rPr>
          <w:rFonts w:hint="eastAsia" w:ascii="宋体" w:hAnsi="宋体"/>
          <w:bCs/>
          <w:color w:val="auto"/>
          <w:highlight w:val="none"/>
        </w:rPr>
      </w:pPr>
      <w:r>
        <w:rPr>
          <w:rFonts w:hint="eastAsia" w:ascii="宋体" w:hAnsi="宋体"/>
          <w:bCs/>
          <w:color w:val="auto"/>
          <w:highlight w:val="none"/>
        </w:rPr>
        <w:t>（3）通过资格预审的联合体，其各方组成结构或职责，以及资格条件不得改变；</w:t>
      </w:r>
    </w:p>
    <w:p w14:paraId="69FEDA3B">
      <w:pPr>
        <w:pStyle w:val="38"/>
        <w:spacing w:line="360" w:lineRule="auto"/>
        <w:ind w:firstLine="420" w:firstLineChars="200"/>
        <w:rPr>
          <w:rFonts w:hint="eastAsia" w:ascii="宋体" w:hAnsi="宋体"/>
          <w:bCs/>
          <w:color w:val="auto"/>
          <w:highlight w:val="none"/>
        </w:rPr>
      </w:pPr>
      <w:r>
        <w:rPr>
          <w:rFonts w:hint="eastAsia" w:ascii="宋体" w:hAnsi="宋体"/>
          <w:bCs/>
          <w:color w:val="auto"/>
          <w:highlight w:val="none"/>
        </w:rPr>
        <w:t>（</w:t>
      </w:r>
      <w:r>
        <w:rPr>
          <w:rFonts w:ascii="宋体" w:hAnsi="宋体"/>
          <w:bCs/>
          <w:color w:val="auto"/>
          <w:highlight w:val="none"/>
        </w:rPr>
        <w:t>4</w:t>
      </w:r>
      <w:r>
        <w:rPr>
          <w:rFonts w:hint="eastAsia" w:ascii="宋体" w:hAnsi="宋体"/>
          <w:bCs/>
          <w:color w:val="auto"/>
          <w:highlight w:val="none"/>
        </w:rPr>
        <w:t>）联合体各方不得再以自己名义单独或参加其他联合体在同一标段中提出资格预审申请。</w:t>
      </w:r>
    </w:p>
    <w:p w14:paraId="64C1F2E0">
      <w:pPr>
        <w:pStyle w:val="38"/>
        <w:spacing w:line="360" w:lineRule="auto"/>
        <w:ind w:firstLine="420" w:firstLineChars="200"/>
        <w:rPr>
          <w:rFonts w:hint="eastAsia" w:ascii="宋体" w:hAnsi="宋体"/>
          <w:bCs/>
          <w:color w:val="auto"/>
          <w:highlight w:val="none"/>
        </w:rPr>
      </w:pPr>
      <w:r>
        <w:rPr>
          <w:rFonts w:hint="eastAsia" w:ascii="宋体" w:hAnsi="宋体"/>
          <w:bCs/>
          <w:color w:val="auto"/>
          <w:highlight w:val="none"/>
        </w:rPr>
        <w:t>1.4.3 申请人不得存在下列情形之一：</w:t>
      </w:r>
    </w:p>
    <w:p w14:paraId="09704C13">
      <w:pPr>
        <w:pStyle w:val="38"/>
        <w:spacing w:line="360" w:lineRule="auto"/>
        <w:ind w:firstLine="420" w:firstLineChars="200"/>
        <w:rPr>
          <w:bCs/>
          <w:color w:val="auto"/>
          <w:highlight w:val="none"/>
        </w:rPr>
      </w:pPr>
      <w:bookmarkStart w:id="50" w:name="_Toc295196503"/>
      <w:bookmarkStart w:id="51" w:name="_Toc184704568"/>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14:paraId="3E7C5142">
      <w:pPr>
        <w:pStyle w:val="38"/>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14:paraId="2A3FBCF8">
      <w:pPr>
        <w:pStyle w:val="38"/>
        <w:spacing w:line="360" w:lineRule="auto"/>
        <w:ind w:firstLine="420" w:firstLineChars="200"/>
        <w:rPr>
          <w:bCs/>
          <w:color w:val="auto"/>
          <w:highlight w:val="none"/>
        </w:rPr>
      </w:pPr>
      <w:r>
        <w:rPr>
          <w:bCs/>
          <w:color w:val="auto"/>
          <w:highlight w:val="none"/>
        </w:rPr>
        <w:t>（3）为本招标项目的监理人；</w:t>
      </w:r>
    </w:p>
    <w:p w14:paraId="6D2FA73A">
      <w:pPr>
        <w:pStyle w:val="38"/>
        <w:spacing w:line="360" w:lineRule="auto"/>
        <w:ind w:firstLine="420" w:firstLineChars="200"/>
        <w:rPr>
          <w:bCs/>
          <w:color w:val="auto"/>
          <w:highlight w:val="none"/>
        </w:rPr>
      </w:pPr>
      <w:r>
        <w:rPr>
          <w:bCs/>
          <w:color w:val="auto"/>
          <w:highlight w:val="none"/>
        </w:rPr>
        <w:t>（4）为本招标项目的代建人；</w:t>
      </w:r>
    </w:p>
    <w:p w14:paraId="57DD1D2A">
      <w:pPr>
        <w:pStyle w:val="38"/>
        <w:spacing w:line="360" w:lineRule="auto"/>
        <w:ind w:firstLine="420" w:firstLineChars="200"/>
        <w:rPr>
          <w:bCs/>
          <w:color w:val="auto"/>
          <w:highlight w:val="none"/>
        </w:rPr>
      </w:pPr>
      <w:r>
        <w:rPr>
          <w:bCs/>
          <w:color w:val="auto"/>
          <w:highlight w:val="none"/>
        </w:rPr>
        <w:t>（5）为本招标项目的招标代理机构；</w:t>
      </w:r>
    </w:p>
    <w:p w14:paraId="4B2E859E">
      <w:pPr>
        <w:pStyle w:val="38"/>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14:paraId="2AA1E2B7">
      <w:pPr>
        <w:pStyle w:val="38"/>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14:paraId="212042B0">
      <w:pPr>
        <w:pStyle w:val="38"/>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14:paraId="44BEDF8A">
      <w:pPr>
        <w:pStyle w:val="38"/>
        <w:spacing w:line="360" w:lineRule="auto"/>
        <w:ind w:firstLine="420" w:firstLineChars="200"/>
        <w:rPr>
          <w:bCs/>
          <w:color w:val="auto"/>
          <w:highlight w:val="none"/>
        </w:rPr>
      </w:pPr>
      <w:r>
        <w:rPr>
          <w:bCs/>
          <w:color w:val="auto"/>
          <w:highlight w:val="none"/>
        </w:rPr>
        <w:t>（9）被责令停业的；</w:t>
      </w:r>
    </w:p>
    <w:p w14:paraId="6D62197E">
      <w:pPr>
        <w:pStyle w:val="38"/>
        <w:spacing w:line="360" w:lineRule="auto"/>
        <w:ind w:firstLine="420" w:firstLineChars="200"/>
        <w:rPr>
          <w:bCs/>
          <w:color w:val="auto"/>
          <w:highlight w:val="none"/>
        </w:rPr>
      </w:pPr>
      <w:r>
        <w:rPr>
          <w:bCs/>
          <w:color w:val="auto"/>
          <w:highlight w:val="none"/>
        </w:rPr>
        <w:t>（10）被住房城乡建设主管部门取消参加本地区依法必须招标项目投标资格</w:t>
      </w:r>
      <w:r>
        <w:rPr>
          <w:rFonts w:hint="eastAsia"/>
          <w:bCs/>
          <w:color w:val="auto"/>
          <w:highlight w:val="none"/>
        </w:rPr>
        <w:t>的</w:t>
      </w:r>
      <w:r>
        <w:rPr>
          <w:bCs/>
          <w:color w:val="auto"/>
          <w:highlight w:val="none"/>
        </w:rPr>
        <w:t>；</w:t>
      </w:r>
    </w:p>
    <w:p w14:paraId="234927D9">
      <w:pPr>
        <w:spacing w:line="360" w:lineRule="auto"/>
        <w:ind w:firstLine="420" w:firstLineChars="200"/>
        <w:rPr>
          <w:bCs/>
          <w:color w:val="auto"/>
          <w:highlight w:val="none"/>
        </w:rPr>
      </w:pPr>
      <w:r>
        <w:rPr>
          <w:rFonts w:hint="eastAsia"/>
          <w:bCs/>
          <w:color w:val="auto"/>
          <w:highlight w:val="none"/>
        </w:rPr>
        <w:t>（1</w:t>
      </w:r>
      <w:r>
        <w:rPr>
          <w:bCs/>
          <w:color w:val="auto"/>
          <w:highlight w:val="none"/>
        </w:rPr>
        <w:t>1</w:t>
      </w:r>
      <w:r>
        <w:rPr>
          <w:rFonts w:hint="eastAsia"/>
          <w:bCs/>
          <w:color w:val="auto"/>
          <w:highlight w:val="none"/>
        </w:rPr>
        <w:t>）与招标人存在利害关系可能影响招标公正性的法人、其他组织或者个人；</w:t>
      </w:r>
    </w:p>
    <w:p w14:paraId="05D2E19B">
      <w:pPr>
        <w:spacing w:line="360" w:lineRule="auto"/>
        <w:ind w:firstLine="420" w:firstLineChars="200"/>
        <w:rPr>
          <w:bCs/>
          <w:color w:val="auto"/>
          <w:highlight w:val="none"/>
        </w:rPr>
      </w:pPr>
      <w:r>
        <w:rPr>
          <w:rFonts w:hint="eastAsia"/>
          <w:bCs/>
          <w:color w:val="auto"/>
          <w:highlight w:val="none"/>
        </w:rPr>
        <w:t>（1</w:t>
      </w:r>
      <w:r>
        <w:rPr>
          <w:bCs/>
          <w:color w:val="auto"/>
          <w:highlight w:val="none"/>
        </w:rPr>
        <w:t>2</w:t>
      </w:r>
      <w:r>
        <w:rPr>
          <w:rFonts w:hint="eastAsia"/>
          <w:bCs/>
          <w:color w:val="auto"/>
          <w:highlight w:val="none"/>
        </w:rPr>
        <w:t>）单位负责人为同一人或者存在控股、管理关系的不同单位参加同一标段或者未划分标段的同一招标项目投标的；</w:t>
      </w:r>
    </w:p>
    <w:p w14:paraId="145EA651">
      <w:pPr>
        <w:spacing w:line="360" w:lineRule="auto"/>
        <w:ind w:firstLine="420" w:firstLineChars="200"/>
        <w:rPr>
          <w:bCs/>
          <w:color w:val="auto"/>
          <w:highlight w:val="none"/>
        </w:rPr>
      </w:pPr>
      <w:r>
        <w:rPr>
          <w:rFonts w:hint="eastAsia"/>
          <w:bCs/>
          <w:color w:val="auto"/>
          <w:highlight w:val="none"/>
        </w:rPr>
        <w:t>（13）采用经评审的最低投标价法的，不接受在国家企业信用信息公示系统中被列入严重违法失信企业名单、在“信用中国”网站中被列入失信被执行人名单以及省级行政监督部门根据有关信用管理规定不接受其参与投标的投标；</w:t>
      </w:r>
    </w:p>
    <w:p w14:paraId="19B30E5E">
      <w:pPr>
        <w:spacing w:line="360" w:lineRule="auto"/>
        <w:ind w:firstLine="420" w:firstLineChars="200"/>
        <w:rPr>
          <w:bCs/>
          <w:color w:val="auto"/>
          <w:highlight w:val="none"/>
        </w:rPr>
      </w:pPr>
      <w:r>
        <w:rPr>
          <w:rFonts w:hint="eastAsia"/>
          <w:bCs/>
          <w:color w:val="auto"/>
          <w:highlight w:val="none"/>
        </w:rPr>
        <w:t>（14）企业资质不符合相应建筑业企业资质标准要求条件，被县级以上地方人民政府住房城乡建设主管部门、其他有关部门责令其限期改正处于企业整改期间的</w:t>
      </w:r>
      <w:r>
        <w:rPr>
          <w:rFonts w:hint="eastAsia"/>
          <w:bCs/>
          <w:color w:val="auto"/>
          <w:highlight w:val="none"/>
          <w:lang w:eastAsia="zh-CN"/>
        </w:rPr>
        <w:t>；</w:t>
      </w:r>
      <w:r>
        <w:rPr>
          <w:rFonts w:hint="eastAsia"/>
          <w:bCs/>
          <w:color w:val="auto"/>
          <w:highlight w:val="none"/>
          <w:lang w:val="en-US" w:eastAsia="zh-CN"/>
        </w:rPr>
        <w:t>或者</w:t>
      </w:r>
      <w:r>
        <w:rPr>
          <w:rFonts w:hint="eastAsia"/>
          <w:bCs/>
          <w:color w:val="auto"/>
          <w:highlight w:val="none"/>
        </w:rPr>
        <w:t>逾期仍未达到建筑业企业资质标准要求条件，被资质许可机关撤回其建筑业企业资质证书的；</w:t>
      </w:r>
    </w:p>
    <w:p w14:paraId="6A460463">
      <w:pPr>
        <w:spacing w:line="360" w:lineRule="auto"/>
        <w:ind w:firstLine="420" w:firstLineChars="200"/>
        <w:rPr>
          <w:bCs/>
          <w:color w:val="auto"/>
          <w:highlight w:val="none"/>
        </w:rPr>
      </w:pPr>
      <w:r>
        <w:rPr>
          <w:bCs/>
          <w:color w:val="auto"/>
          <w:szCs w:val="21"/>
          <w:highlight w:val="none"/>
        </w:rPr>
        <w:t>（1</w:t>
      </w:r>
      <w:r>
        <w:rPr>
          <w:rFonts w:hint="eastAsia"/>
          <w:bCs/>
          <w:color w:val="auto"/>
          <w:szCs w:val="21"/>
          <w:highlight w:val="none"/>
        </w:rPr>
        <w:t>5</w:t>
      </w:r>
      <w:r>
        <w:rPr>
          <w:bCs/>
          <w:color w:val="auto"/>
          <w:szCs w:val="21"/>
          <w:highlight w:val="none"/>
        </w:rPr>
        <w:t>）</w:t>
      </w:r>
      <w:r>
        <w:rPr>
          <w:bCs/>
          <w:color w:val="auto"/>
          <w:highlight w:val="none"/>
        </w:rPr>
        <w:t>法律、法规规定的其他情形。</w:t>
      </w:r>
    </w:p>
    <w:p w14:paraId="78AFAAC5">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1.5 语言文字</w:t>
      </w:r>
      <w:bookmarkEnd w:id="50"/>
      <w:bookmarkEnd w:id="51"/>
    </w:p>
    <w:p w14:paraId="55D929C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除专用术语外，来往文件均使用中文。必要时专用术语应附有中文注释。</w:t>
      </w:r>
    </w:p>
    <w:p w14:paraId="3DCCC993">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52" w:name="_Toc295196504"/>
      <w:bookmarkStart w:id="53" w:name="_Toc184704569"/>
      <w:r>
        <w:rPr>
          <w:rFonts w:hint="eastAsia" w:ascii="黑体" w:hAnsi="宋体" w:eastAsia="黑体"/>
          <w:bCs/>
          <w:color w:val="auto"/>
          <w:kern w:val="2"/>
          <w:sz w:val="24"/>
          <w:szCs w:val="21"/>
          <w:highlight w:val="none"/>
        </w:rPr>
        <w:t>1.6 费用承担</w:t>
      </w:r>
      <w:bookmarkEnd w:id="52"/>
      <w:bookmarkEnd w:id="53"/>
    </w:p>
    <w:p w14:paraId="4B71E83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申请人准备和参加资格预审发生的费用自理。</w:t>
      </w:r>
    </w:p>
    <w:p w14:paraId="3CBE8B16">
      <w:pPr>
        <w:pStyle w:val="4"/>
        <w:ind w:firstLine="0" w:firstLineChars="0"/>
        <w:jc w:val="left"/>
        <w:rPr>
          <w:rFonts w:hint="eastAsia" w:ascii="黑体" w:hAnsi="宋体" w:eastAsia="黑体"/>
          <w:b w:val="0"/>
          <w:bCs w:val="0"/>
          <w:color w:val="auto"/>
          <w:sz w:val="28"/>
          <w:szCs w:val="28"/>
          <w:highlight w:val="none"/>
        </w:rPr>
      </w:pPr>
      <w:bookmarkStart w:id="54" w:name="_Toc2962"/>
      <w:bookmarkStart w:id="55" w:name="_Toc295196505"/>
      <w:bookmarkStart w:id="56" w:name="_Toc184704676"/>
      <w:bookmarkStart w:id="57" w:name="_Toc184704570"/>
      <w:r>
        <w:rPr>
          <w:rFonts w:hint="eastAsia" w:ascii="黑体" w:hAnsi="宋体" w:eastAsia="黑体"/>
          <w:b w:val="0"/>
          <w:bCs w:val="0"/>
          <w:color w:val="auto"/>
          <w:sz w:val="28"/>
          <w:szCs w:val="28"/>
          <w:highlight w:val="none"/>
        </w:rPr>
        <w:t>2.资格预审文件</w:t>
      </w:r>
      <w:bookmarkEnd w:id="54"/>
      <w:bookmarkEnd w:id="55"/>
      <w:bookmarkEnd w:id="56"/>
      <w:bookmarkEnd w:id="57"/>
    </w:p>
    <w:p w14:paraId="00BC255A">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58" w:name="_Toc184704571"/>
      <w:bookmarkStart w:id="59" w:name="_Toc295196506"/>
      <w:r>
        <w:rPr>
          <w:rFonts w:hint="eastAsia" w:ascii="黑体" w:hAnsi="宋体" w:eastAsia="黑体"/>
          <w:bCs/>
          <w:color w:val="auto"/>
          <w:kern w:val="2"/>
          <w:sz w:val="24"/>
          <w:szCs w:val="21"/>
          <w:highlight w:val="none"/>
        </w:rPr>
        <w:t>2.1 资格预审文件的组成</w:t>
      </w:r>
      <w:bookmarkEnd w:id="58"/>
      <w:bookmarkEnd w:id="59"/>
    </w:p>
    <w:p w14:paraId="3177263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2.1.1  本次资格预审文件包括资格预审公告、申请人须知、资格审查办法、资格预审申请文件格式，以及根据本章第2.2 款对资格预审文件的澄清和第2.3 款对资格预审文件的修改。</w:t>
      </w:r>
    </w:p>
    <w:p w14:paraId="6F804E2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2.1.2  当资格预审文件、资格预审文件的澄清或修改等在同一内容的表述上不一致时，以最后在申请人须知前附表规定的方式发出的澄清或修改内容为准。</w:t>
      </w:r>
    </w:p>
    <w:p w14:paraId="1749C5D5">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60" w:name="_Toc184704572"/>
      <w:bookmarkStart w:id="61" w:name="_Toc295196507"/>
      <w:r>
        <w:rPr>
          <w:rFonts w:hint="eastAsia" w:ascii="黑体" w:hAnsi="宋体" w:eastAsia="黑体"/>
          <w:bCs/>
          <w:color w:val="auto"/>
          <w:kern w:val="2"/>
          <w:sz w:val="24"/>
          <w:szCs w:val="21"/>
          <w:highlight w:val="none"/>
        </w:rPr>
        <w:t>2.2 资格预审文件的澄清</w:t>
      </w:r>
      <w:bookmarkEnd w:id="60"/>
      <w:bookmarkEnd w:id="61"/>
    </w:p>
    <w:p w14:paraId="0F71C32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申请人应仔细阅读和检查资格预审文件的全部内容。如有疑问，应在申请人须知前附表规定的时间前和规定的方式，要求招标人对资格预审文件予以澄清。</w:t>
      </w:r>
    </w:p>
    <w:p w14:paraId="6D64AD0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2.2.2  资格预审文件澄清的内容可能影响资格预审申请文件编制的，招标人应在申请人须知前附表规定的申请截止时间至少3日前，按申请人须知前附表规定的方式发布澄清文件，但不指明澄清问题的来源；不足3日，相应顺延申请截止时间。</w:t>
      </w:r>
    </w:p>
    <w:p w14:paraId="4F195DF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.2.3  </w:t>
      </w:r>
      <w:r>
        <w:rPr>
          <w:rFonts w:hint="eastAsia" w:ascii="宋体" w:hAnsi="宋体"/>
          <w:color w:val="auto"/>
          <w:szCs w:val="21"/>
          <w:highlight w:val="none"/>
        </w:rPr>
        <w:t>资格预审文件澄清的内容由申请人在申请人须知前附表规定的发布媒介上自行查阅。</w:t>
      </w:r>
    </w:p>
    <w:p w14:paraId="6543DB74">
      <w:pPr>
        <w:pStyle w:val="5"/>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62" w:name="_Toc295196508"/>
      <w:bookmarkStart w:id="63" w:name="_Toc184704573"/>
      <w:r>
        <w:rPr>
          <w:rFonts w:hint="eastAsia" w:ascii="黑体" w:hAnsi="宋体" w:eastAsia="黑体"/>
          <w:bCs/>
          <w:color w:val="auto"/>
          <w:kern w:val="2"/>
          <w:sz w:val="24"/>
          <w:szCs w:val="21"/>
          <w:highlight w:val="none"/>
        </w:rPr>
        <w:t>2.3 资格预审文件的修改</w:t>
      </w:r>
      <w:bookmarkEnd w:id="62"/>
      <w:bookmarkEnd w:id="63"/>
    </w:p>
    <w:p w14:paraId="446A280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2.3.1  招标人修改资格预审文件的，修改的内容可能影响资格预审申请文件编制的，招标人应在申请人须知前附表规定的申请截止时间至少3日前，按申请人须知前附表规定的方式发布修改文件；不足3日，相应顺延申请截止时间。</w:t>
      </w:r>
    </w:p>
    <w:p w14:paraId="1CA0DD9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.3.2  </w:t>
      </w:r>
      <w:r>
        <w:rPr>
          <w:rFonts w:hint="eastAsia" w:ascii="宋体" w:hAnsi="宋体"/>
          <w:color w:val="auto"/>
          <w:szCs w:val="21"/>
          <w:highlight w:val="none"/>
        </w:rPr>
        <w:t>资格预审文件修改的内容由申请人在申请人须知前附表规定的发布媒介上自行查阅。</w:t>
      </w:r>
    </w:p>
    <w:p w14:paraId="66C9E083">
      <w:pPr>
        <w:pStyle w:val="4"/>
        <w:keepNext w:val="0"/>
        <w:keepLines w:val="0"/>
        <w:ind w:firstLine="0" w:firstLineChars="0"/>
        <w:jc w:val="left"/>
        <w:rPr>
          <w:rFonts w:hint="eastAsia" w:ascii="黑体" w:hAnsi="宋体" w:eastAsia="黑体"/>
          <w:b w:val="0"/>
          <w:bCs w:val="0"/>
          <w:color w:val="auto"/>
          <w:sz w:val="28"/>
          <w:szCs w:val="28"/>
          <w:highlight w:val="none"/>
        </w:rPr>
      </w:pPr>
      <w:bookmarkStart w:id="64" w:name="_Toc184704677"/>
      <w:bookmarkStart w:id="65" w:name="_Toc184704574"/>
      <w:bookmarkStart w:id="66" w:name="_Toc295196510"/>
      <w:bookmarkStart w:id="67" w:name="_Toc17533"/>
      <w:r>
        <w:rPr>
          <w:rFonts w:hint="eastAsia" w:ascii="黑体" w:hAnsi="宋体" w:eastAsia="黑体"/>
          <w:b w:val="0"/>
          <w:bCs w:val="0"/>
          <w:color w:val="auto"/>
          <w:sz w:val="28"/>
          <w:szCs w:val="28"/>
          <w:highlight w:val="none"/>
        </w:rPr>
        <w:t>3.资格预审申请文件的编制</w:t>
      </w:r>
      <w:bookmarkEnd w:id="64"/>
      <w:bookmarkEnd w:id="65"/>
      <w:bookmarkEnd w:id="66"/>
      <w:bookmarkEnd w:id="67"/>
    </w:p>
    <w:p w14:paraId="3FCC22A9">
      <w:pPr>
        <w:pStyle w:val="5"/>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68" w:name="_Toc184704575"/>
      <w:bookmarkStart w:id="69" w:name="_Toc295196511"/>
      <w:r>
        <w:rPr>
          <w:rFonts w:hint="eastAsia" w:ascii="黑体" w:hAnsi="宋体" w:eastAsia="黑体"/>
          <w:bCs/>
          <w:color w:val="auto"/>
          <w:kern w:val="2"/>
          <w:sz w:val="24"/>
          <w:szCs w:val="21"/>
          <w:highlight w:val="none"/>
        </w:rPr>
        <w:t>3.1 资格预审申请文件的组成</w:t>
      </w:r>
      <w:bookmarkEnd w:id="68"/>
      <w:bookmarkEnd w:id="69"/>
    </w:p>
    <w:p w14:paraId="5801E01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 xml:space="preserve">.1.1  </w:t>
      </w:r>
      <w:r>
        <w:rPr>
          <w:rFonts w:hint="eastAsia"/>
          <w:color w:val="auto"/>
          <w:highlight w:val="none"/>
        </w:rPr>
        <w:t>资格预审申请文件应包括的内容：</w:t>
      </w:r>
      <w:r>
        <w:rPr>
          <w:rFonts w:hint="eastAsia" w:ascii="宋体" w:hAnsi="宋体"/>
          <w:color w:val="auto"/>
          <w:szCs w:val="21"/>
          <w:highlight w:val="none"/>
        </w:rPr>
        <w:t>见第四章资格预审申请文件格式。</w:t>
      </w:r>
    </w:p>
    <w:p w14:paraId="27156A9F">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3.1.2  </w:t>
      </w:r>
      <w:r>
        <w:rPr>
          <w:rFonts w:hint="eastAsia" w:ascii="宋体" w:hAnsi="宋体"/>
          <w:color w:val="auto"/>
          <w:szCs w:val="21"/>
          <w:highlight w:val="none"/>
        </w:rPr>
        <w:t>申请人</w:t>
      </w:r>
      <w:r>
        <w:rPr>
          <w:rFonts w:hint="eastAsia"/>
          <w:color w:val="auto"/>
          <w:highlight w:val="none"/>
        </w:rPr>
        <w:t>须知前附表规定不接受联合体资格预审申请的或申请人没有组成联合体的，资格预审申请文件不包括联合体协议书。</w:t>
      </w:r>
    </w:p>
    <w:p w14:paraId="13CA142E">
      <w:pPr>
        <w:pStyle w:val="5"/>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70" w:name="_Toc295196512"/>
      <w:bookmarkStart w:id="71" w:name="_Toc184704576"/>
      <w:r>
        <w:rPr>
          <w:rFonts w:hint="eastAsia" w:ascii="黑体" w:hAnsi="宋体" w:eastAsia="黑体"/>
          <w:bCs/>
          <w:color w:val="auto"/>
          <w:kern w:val="2"/>
          <w:sz w:val="24"/>
          <w:szCs w:val="21"/>
          <w:highlight w:val="none"/>
        </w:rPr>
        <w:t>3.2 资格预审申请文件的编制要求</w:t>
      </w:r>
      <w:bookmarkEnd w:id="70"/>
      <w:bookmarkEnd w:id="71"/>
    </w:p>
    <w:p w14:paraId="24688B2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3.2.1  资格预审申请文件应按第四章“资格预审申请文件格式”进行编写，如有必要，可以增加附页，并作为资格预审申请文件的组成部分。 </w:t>
      </w:r>
    </w:p>
    <w:p w14:paraId="62AA3946">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72" w:name="_Toc184704577"/>
      <w:bookmarkStart w:id="73" w:name="_Toc295196513"/>
      <w:r>
        <w:rPr>
          <w:rFonts w:hint="eastAsia" w:ascii="黑体" w:hAnsi="宋体" w:eastAsia="黑体"/>
          <w:bCs/>
          <w:color w:val="auto"/>
          <w:kern w:val="2"/>
          <w:sz w:val="24"/>
          <w:szCs w:val="21"/>
          <w:highlight w:val="none"/>
        </w:rPr>
        <w:t>3.3 资格预审申请文件的</w:t>
      </w:r>
      <w:bookmarkEnd w:id="72"/>
      <w:bookmarkEnd w:id="73"/>
      <w:r>
        <w:rPr>
          <w:rFonts w:hint="eastAsia" w:ascii="黑体" w:hAnsi="宋体" w:eastAsia="黑体"/>
          <w:bCs/>
          <w:color w:val="auto"/>
          <w:kern w:val="2"/>
          <w:sz w:val="24"/>
          <w:szCs w:val="21"/>
          <w:highlight w:val="none"/>
        </w:rPr>
        <w:t>签署</w:t>
      </w:r>
    </w:p>
    <w:p w14:paraId="0B70F40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  资格预审申请</w:t>
      </w:r>
      <w:r>
        <w:rPr>
          <w:rFonts w:hint="eastAsia"/>
          <w:color w:val="auto"/>
          <w:highlight w:val="none"/>
        </w:rPr>
        <w:t>文件应使用</w:t>
      </w:r>
      <w:r>
        <w:rPr>
          <w:color w:val="auto"/>
          <w:highlight w:val="none"/>
        </w:rPr>
        <w:t>CA</w:t>
      </w:r>
      <w:r>
        <w:rPr>
          <w:rFonts w:hint="eastAsia"/>
          <w:color w:val="auto"/>
          <w:highlight w:val="none"/>
        </w:rPr>
        <w:t>数字证书加盖申请人的单位电子公章、法定代表人</w:t>
      </w:r>
      <w:r>
        <w:rPr>
          <w:rFonts w:hint="eastAsia"/>
          <w:color w:val="auto"/>
          <w:szCs w:val="21"/>
          <w:highlight w:val="none"/>
        </w:rPr>
        <w:t>签字或盖章</w:t>
      </w:r>
      <w:r>
        <w:rPr>
          <w:rFonts w:hint="eastAsia"/>
          <w:color w:val="auto"/>
          <w:highlight w:val="none"/>
        </w:rPr>
        <w:t>、委托代理人（如委托）</w:t>
      </w:r>
      <w:r>
        <w:rPr>
          <w:rFonts w:hint="eastAsia"/>
          <w:color w:val="auto"/>
          <w:szCs w:val="21"/>
          <w:highlight w:val="none"/>
        </w:rPr>
        <w:t>签字或盖章</w:t>
      </w:r>
      <w:r>
        <w:rPr>
          <w:rFonts w:hint="eastAsia"/>
          <w:color w:val="auto"/>
          <w:highlight w:val="none"/>
        </w:rPr>
        <w:t>。</w:t>
      </w:r>
      <w:r>
        <w:rPr>
          <w:rFonts w:ascii="宋体" w:hAnsi="宋体"/>
          <w:color w:val="auto"/>
          <w:szCs w:val="21"/>
          <w:highlight w:val="none"/>
        </w:rPr>
        <w:t>签字或盖章的具体要求见申请人须知前附表。</w:t>
      </w:r>
    </w:p>
    <w:p w14:paraId="78888E17">
      <w:pPr>
        <w:pStyle w:val="4"/>
        <w:ind w:firstLine="0" w:firstLineChars="0"/>
        <w:jc w:val="left"/>
        <w:rPr>
          <w:rFonts w:hint="eastAsia" w:ascii="黑体" w:hAnsi="宋体" w:eastAsia="黑体"/>
          <w:b w:val="0"/>
          <w:bCs w:val="0"/>
          <w:color w:val="auto"/>
          <w:sz w:val="28"/>
          <w:szCs w:val="28"/>
          <w:highlight w:val="none"/>
        </w:rPr>
      </w:pPr>
      <w:bookmarkStart w:id="74" w:name="_Toc2078"/>
      <w:bookmarkStart w:id="75" w:name="_Toc184704678"/>
      <w:bookmarkStart w:id="76" w:name="_Toc184704578"/>
      <w:bookmarkStart w:id="77" w:name="_Toc295196514"/>
      <w:r>
        <w:rPr>
          <w:rFonts w:hint="eastAsia" w:ascii="黑体" w:hAnsi="宋体" w:eastAsia="黑体"/>
          <w:b w:val="0"/>
          <w:bCs w:val="0"/>
          <w:color w:val="auto"/>
          <w:sz w:val="28"/>
          <w:szCs w:val="28"/>
          <w:highlight w:val="none"/>
        </w:rPr>
        <w:t>4.资格预审申请文件的递交</w:t>
      </w:r>
      <w:bookmarkEnd w:id="74"/>
      <w:bookmarkEnd w:id="75"/>
      <w:bookmarkEnd w:id="76"/>
      <w:bookmarkEnd w:id="77"/>
    </w:p>
    <w:p w14:paraId="04D628C3">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78" w:name="_Toc184704579"/>
      <w:bookmarkStart w:id="79" w:name="_Toc295196515"/>
      <w:r>
        <w:rPr>
          <w:rFonts w:hint="eastAsia" w:ascii="黑体" w:hAnsi="宋体" w:eastAsia="黑体"/>
          <w:bCs/>
          <w:color w:val="auto"/>
          <w:kern w:val="2"/>
          <w:sz w:val="24"/>
          <w:szCs w:val="21"/>
          <w:highlight w:val="none"/>
        </w:rPr>
        <w:t>4.1 资格预审申请文件的密封和</w:t>
      </w:r>
      <w:bookmarkEnd w:id="78"/>
      <w:bookmarkEnd w:id="79"/>
      <w:r>
        <w:rPr>
          <w:rFonts w:hint="eastAsia" w:ascii="黑体" w:hAnsi="宋体" w:eastAsia="黑体"/>
          <w:bCs/>
          <w:color w:val="auto"/>
          <w:kern w:val="2"/>
          <w:sz w:val="24"/>
          <w:szCs w:val="21"/>
          <w:highlight w:val="none"/>
        </w:rPr>
        <w:t>标记</w:t>
      </w:r>
    </w:p>
    <w:p w14:paraId="3502736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4.1.1 </w:t>
      </w:r>
      <w:r>
        <w:rPr>
          <w:rFonts w:ascii="宋体" w:hAnsi="宋体"/>
          <w:color w:val="auto"/>
          <w:szCs w:val="21"/>
          <w:highlight w:val="none"/>
        </w:rPr>
        <w:t>申请人应当按照申请人须知前附表的规定加密</w:t>
      </w:r>
      <w:r>
        <w:rPr>
          <w:rFonts w:hint="eastAsia" w:ascii="宋体" w:hAnsi="宋体"/>
          <w:color w:val="auto"/>
          <w:szCs w:val="21"/>
          <w:highlight w:val="none"/>
        </w:rPr>
        <w:t>资格预审申请</w:t>
      </w:r>
      <w:r>
        <w:rPr>
          <w:rFonts w:ascii="宋体" w:hAnsi="宋体"/>
          <w:color w:val="auto"/>
          <w:szCs w:val="21"/>
          <w:highlight w:val="none"/>
        </w:rPr>
        <w:t>文件。</w:t>
      </w:r>
    </w:p>
    <w:p w14:paraId="0F8A325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4.1.2 </w:t>
      </w:r>
      <w:r>
        <w:rPr>
          <w:rFonts w:ascii="宋体" w:hAnsi="宋体"/>
          <w:color w:val="auto"/>
          <w:szCs w:val="21"/>
          <w:highlight w:val="none"/>
        </w:rPr>
        <w:t>未按本</w:t>
      </w:r>
      <w:r>
        <w:rPr>
          <w:rFonts w:hint="eastAsia" w:ascii="宋体" w:hAnsi="宋体"/>
          <w:color w:val="auto"/>
          <w:szCs w:val="21"/>
          <w:highlight w:val="none"/>
        </w:rPr>
        <w:t>须知</w:t>
      </w:r>
      <w:r>
        <w:rPr>
          <w:rFonts w:ascii="宋体" w:hAnsi="宋体"/>
          <w:color w:val="auto"/>
          <w:szCs w:val="21"/>
          <w:highlight w:val="none"/>
        </w:rPr>
        <w:t>第4.1.1 项要求</w:t>
      </w:r>
      <w:r>
        <w:rPr>
          <w:rFonts w:hint="eastAsia" w:ascii="宋体" w:hAnsi="宋体"/>
          <w:color w:val="auto"/>
          <w:szCs w:val="21"/>
          <w:highlight w:val="none"/>
        </w:rPr>
        <w:t>加密</w:t>
      </w:r>
      <w:r>
        <w:rPr>
          <w:rFonts w:ascii="宋体" w:hAnsi="宋体"/>
          <w:color w:val="auto"/>
          <w:szCs w:val="21"/>
          <w:highlight w:val="none"/>
        </w:rPr>
        <w:t>的</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电子招标投标交易平台</w:t>
      </w:r>
      <w:r>
        <w:rPr>
          <w:rFonts w:ascii="宋体" w:hAnsi="宋体"/>
          <w:color w:val="auto"/>
          <w:szCs w:val="21"/>
          <w:highlight w:val="none"/>
        </w:rPr>
        <w:t>予以拒收。</w:t>
      </w:r>
    </w:p>
    <w:p w14:paraId="3F6973F2">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80" w:name="_Toc295196516"/>
      <w:bookmarkStart w:id="81" w:name="_Toc184704580"/>
      <w:r>
        <w:rPr>
          <w:rFonts w:hint="eastAsia" w:ascii="黑体" w:hAnsi="宋体" w:eastAsia="黑体"/>
          <w:bCs/>
          <w:color w:val="auto"/>
          <w:kern w:val="2"/>
          <w:sz w:val="24"/>
          <w:szCs w:val="21"/>
          <w:highlight w:val="none"/>
        </w:rPr>
        <w:t>4.2 资格预审申请文件的递交</w:t>
      </w:r>
      <w:bookmarkEnd w:id="80"/>
      <w:bookmarkEnd w:id="81"/>
    </w:p>
    <w:p w14:paraId="79794BB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4.2.1</w:t>
      </w:r>
      <w:r>
        <w:rPr>
          <w:rFonts w:ascii="宋体" w:hAnsi="宋体"/>
          <w:color w:val="auto"/>
          <w:szCs w:val="21"/>
          <w:highlight w:val="none"/>
        </w:rPr>
        <w:t xml:space="preserve"> 申请人应当在申请人须知前附表规定的</w:t>
      </w:r>
      <w:r>
        <w:rPr>
          <w:rFonts w:hint="eastAsia" w:ascii="宋体" w:hAnsi="宋体"/>
          <w:color w:val="auto"/>
          <w:szCs w:val="21"/>
          <w:highlight w:val="none"/>
        </w:rPr>
        <w:t>申请截止</w:t>
      </w:r>
      <w:r>
        <w:rPr>
          <w:rFonts w:ascii="宋体" w:hAnsi="宋体"/>
          <w:color w:val="auto"/>
          <w:szCs w:val="21"/>
          <w:highlight w:val="none"/>
        </w:rPr>
        <w:t>时间前递交</w:t>
      </w:r>
      <w:r>
        <w:rPr>
          <w:rFonts w:hint="eastAsia" w:ascii="宋体" w:hAnsi="宋体"/>
          <w:color w:val="auto"/>
          <w:szCs w:val="21"/>
          <w:highlight w:val="none"/>
        </w:rPr>
        <w:t>资格预审申请</w:t>
      </w:r>
      <w:r>
        <w:rPr>
          <w:rFonts w:ascii="宋体" w:hAnsi="宋体"/>
          <w:color w:val="auto"/>
          <w:szCs w:val="21"/>
          <w:highlight w:val="none"/>
        </w:rPr>
        <w:t>文件。</w:t>
      </w:r>
    </w:p>
    <w:p w14:paraId="147A8B27">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4.2.2申请人通过</w:t>
      </w:r>
      <w:r>
        <w:rPr>
          <w:rFonts w:hint="eastAsia" w:ascii="宋体" w:hAnsi="宋体"/>
          <w:color w:val="auto"/>
          <w:szCs w:val="21"/>
          <w:highlight w:val="none"/>
        </w:rPr>
        <w:t>电子招标投标交易平台</w:t>
      </w:r>
      <w:r>
        <w:rPr>
          <w:rFonts w:ascii="宋体" w:hAnsi="宋体"/>
          <w:color w:val="auto"/>
          <w:szCs w:val="21"/>
          <w:highlight w:val="none"/>
        </w:rPr>
        <w:t>递交电子</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，具体要求见申请人须知前附表</w:t>
      </w:r>
      <w:r>
        <w:rPr>
          <w:rFonts w:ascii="宋体" w:hAnsi="宋体"/>
          <w:color w:val="auto"/>
          <w:szCs w:val="21"/>
          <w:highlight w:val="none"/>
        </w:rPr>
        <w:t>。</w:t>
      </w:r>
    </w:p>
    <w:p w14:paraId="645670AC">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4.2.3除申请人须知前附表另有规定外，申请人所递交的</w:t>
      </w:r>
      <w:r>
        <w:rPr>
          <w:rFonts w:hint="eastAsia" w:ascii="宋体" w:hAnsi="宋体"/>
          <w:color w:val="auto"/>
          <w:szCs w:val="21"/>
          <w:highlight w:val="none"/>
        </w:rPr>
        <w:t>资格预审申请</w:t>
      </w:r>
      <w:r>
        <w:rPr>
          <w:rFonts w:ascii="宋体" w:hAnsi="宋体"/>
          <w:color w:val="auto"/>
          <w:szCs w:val="21"/>
          <w:highlight w:val="none"/>
        </w:rPr>
        <w:t>文件不予退还。</w:t>
      </w:r>
    </w:p>
    <w:p w14:paraId="2762757B">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4.2.4逾期</w:t>
      </w:r>
      <w:r>
        <w:rPr>
          <w:rFonts w:hint="eastAsia" w:ascii="宋体" w:hAnsi="宋体"/>
          <w:color w:val="auto"/>
          <w:szCs w:val="21"/>
          <w:highlight w:val="none"/>
        </w:rPr>
        <w:t>递交</w:t>
      </w:r>
      <w:r>
        <w:rPr>
          <w:rFonts w:ascii="宋体" w:hAnsi="宋体"/>
          <w:color w:val="auto"/>
          <w:szCs w:val="21"/>
          <w:highlight w:val="none"/>
        </w:rPr>
        <w:t>的</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电子招标投标交易平台</w:t>
      </w:r>
      <w:r>
        <w:rPr>
          <w:rFonts w:ascii="宋体" w:hAnsi="宋体"/>
          <w:color w:val="auto"/>
          <w:szCs w:val="21"/>
          <w:highlight w:val="none"/>
        </w:rPr>
        <w:t>将</w:t>
      </w:r>
      <w:r>
        <w:rPr>
          <w:rFonts w:hint="eastAsia" w:ascii="宋体" w:hAnsi="宋体"/>
          <w:color w:val="auto"/>
          <w:szCs w:val="21"/>
          <w:highlight w:val="none"/>
        </w:rPr>
        <w:t>予以拒收</w:t>
      </w:r>
      <w:r>
        <w:rPr>
          <w:rFonts w:ascii="宋体" w:hAnsi="宋体"/>
          <w:color w:val="auto"/>
          <w:szCs w:val="21"/>
          <w:highlight w:val="none"/>
        </w:rPr>
        <w:t>。</w:t>
      </w:r>
    </w:p>
    <w:p w14:paraId="6CD247BF">
      <w:pPr>
        <w:pStyle w:val="4"/>
        <w:ind w:firstLine="0" w:firstLineChars="0"/>
        <w:jc w:val="left"/>
        <w:rPr>
          <w:rFonts w:hint="eastAsia" w:ascii="黑体" w:hAnsi="宋体" w:eastAsia="黑体"/>
          <w:b w:val="0"/>
          <w:bCs w:val="0"/>
          <w:color w:val="auto"/>
          <w:sz w:val="28"/>
          <w:szCs w:val="28"/>
          <w:highlight w:val="none"/>
        </w:rPr>
      </w:pPr>
      <w:bookmarkStart w:id="82" w:name="_Toc295196517"/>
      <w:bookmarkStart w:id="83" w:name="_Toc11201"/>
      <w:bookmarkStart w:id="84" w:name="_Toc184704581"/>
      <w:bookmarkStart w:id="85" w:name="_Toc184704679"/>
      <w:r>
        <w:rPr>
          <w:rFonts w:hint="eastAsia" w:ascii="黑体" w:hAnsi="宋体" w:eastAsia="黑体"/>
          <w:b w:val="0"/>
          <w:bCs w:val="0"/>
          <w:color w:val="auto"/>
          <w:sz w:val="28"/>
          <w:szCs w:val="28"/>
          <w:highlight w:val="none"/>
        </w:rPr>
        <w:t>5.资格预审申请文件的审查</w:t>
      </w:r>
      <w:bookmarkEnd w:id="82"/>
      <w:bookmarkEnd w:id="83"/>
      <w:bookmarkEnd w:id="84"/>
      <w:bookmarkEnd w:id="85"/>
    </w:p>
    <w:p w14:paraId="1FEB7402">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86" w:name="_Toc295196518"/>
      <w:bookmarkStart w:id="87" w:name="_Toc184704582"/>
      <w:r>
        <w:rPr>
          <w:rFonts w:hint="eastAsia" w:ascii="黑体" w:hAnsi="宋体" w:eastAsia="黑体"/>
          <w:bCs/>
          <w:color w:val="auto"/>
          <w:kern w:val="2"/>
          <w:sz w:val="24"/>
          <w:szCs w:val="21"/>
          <w:highlight w:val="none"/>
        </w:rPr>
        <w:t xml:space="preserve">5.1 </w:t>
      </w:r>
      <w:bookmarkEnd w:id="86"/>
      <w:bookmarkEnd w:id="87"/>
      <w:r>
        <w:rPr>
          <w:rFonts w:hint="eastAsia" w:ascii="黑体" w:hAnsi="宋体" w:eastAsia="黑体"/>
          <w:bCs/>
          <w:color w:val="auto"/>
          <w:kern w:val="2"/>
          <w:sz w:val="24"/>
          <w:szCs w:val="21"/>
          <w:highlight w:val="none"/>
        </w:rPr>
        <w:t>资格审查委员会</w:t>
      </w:r>
    </w:p>
    <w:p w14:paraId="03D3C7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5.1.1  资格预审申请文件由招标人组建的资格审查委员会负责审查。</w:t>
      </w:r>
    </w:p>
    <w:p w14:paraId="3566E566">
      <w:pPr>
        <w:snapToGrid w:val="0"/>
        <w:spacing w:line="360" w:lineRule="auto"/>
        <w:ind w:firstLine="420" w:firstLineChars="200"/>
        <w:rPr>
          <w:rFonts w:hint="eastAsia" w:ascii="宋体" w:hAnsi="宋体"/>
          <w:color w:val="auto"/>
          <w:highlight w:val="none"/>
        </w:rPr>
      </w:pPr>
      <w:r>
        <w:rPr>
          <w:rFonts w:hint="eastAsia" w:ascii="宋体" w:hAnsi="宋体"/>
          <w:color w:val="auto"/>
          <w:szCs w:val="21"/>
          <w:highlight w:val="none"/>
        </w:rPr>
        <w:t>5.1.2  资格审查委员会人数：见申请人须知前附表。</w:t>
      </w:r>
    </w:p>
    <w:p w14:paraId="62DE84DC">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88" w:name="_Toc295196519"/>
      <w:bookmarkStart w:id="89" w:name="_Toc184704583"/>
      <w:r>
        <w:rPr>
          <w:rFonts w:hint="eastAsia" w:ascii="黑体" w:hAnsi="宋体" w:eastAsia="黑体"/>
          <w:bCs/>
          <w:color w:val="auto"/>
          <w:kern w:val="2"/>
          <w:sz w:val="24"/>
          <w:szCs w:val="21"/>
          <w:highlight w:val="none"/>
        </w:rPr>
        <w:t>5.2 资格审查</w:t>
      </w:r>
      <w:bookmarkEnd w:id="88"/>
      <w:bookmarkEnd w:id="89"/>
    </w:p>
    <w:p w14:paraId="6212810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资格审查委员会根据申请人须知前附表规定的办法和第三章“资格审查办法”中规定的审查标准，对所有已受理的资格预审申请文件进行审查。没有规定的方法和标准不得作为审查依据。</w:t>
      </w:r>
    </w:p>
    <w:p w14:paraId="494D1C4C">
      <w:pPr>
        <w:pStyle w:val="4"/>
        <w:ind w:firstLine="0" w:firstLineChars="0"/>
        <w:jc w:val="left"/>
        <w:rPr>
          <w:rFonts w:hint="eastAsia" w:ascii="黑体" w:hAnsi="宋体" w:eastAsia="黑体"/>
          <w:b w:val="0"/>
          <w:bCs w:val="0"/>
          <w:color w:val="auto"/>
          <w:sz w:val="28"/>
          <w:szCs w:val="28"/>
          <w:highlight w:val="none"/>
        </w:rPr>
      </w:pPr>
      <w:bookmarkStart w:id="90" w:name="_Toc184704680"/>
      <w:bookmarkStart w:id="91" w:name="_Toc295196520"/>
      <w:bookmarkStart w:id="92" w:name="_Toc184704584"/>
      <w:bookmarkStart w:id="93" w:name="_Toc2096"/>
      <w:r>
        <w:rPr>
          <w:rFonts w:hint="eastAsia" w:ascii="黑体" w:hAnsi="宋体" w:eastAsia="黑体"/>
          <w:b w:val="0"/>
          <w:bCs w:val="0"/>
          <w:color w:val="auto"/>
          <w:sz w:val="28"/>
          <w:szCs w:val="28"/>
          <w:highlight w:val="none"/>
        </w:rPr>
        <w:t>6.通知和确认</w:t>
      </w:r>
      <w:bookmarkEnd w:id="90"/>
      <w:bookmarkEnd w:id="91"/>
      <w:bookmarkEnd w:id="92"/>
      <w:bookmarkEnd w:id="93"/>
    </w:p>
    <w:p w14:paraId="719C8412">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94" w:name="_Toc295196521"/>
      <w:bookmarkStart w:id="95" w:name="_Toc184704585"/>
      <w:r>
        <w:rPr>
          <w:rFonts w:hint="eastAsia" w:ascii="黑体" w:hAnsi="宋体" w:eastAsia="黑体"/>
          <w:bCs/>
          <w:color w:val="auto"/>
          <w:kern w:val="2"/>
          <w:sz w:val="24"/>
          <w:szCs w:val="21"/>
          <w:highlight w:val="none"/>
        </w:rPr>
        <w:t>6.1 通知</w:t>
      </w:r>
      <w:bookmarkEnd w:id="94"/>
      <w:bookmarkEnd w:id="95"/>
    </w:p>
    <w:p w14:paraId="0C9098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招标人按申请人须知前附表规定的方式将资格预审结果通知申请人。</w:t>
      </w:r>
    </w:p>
    <w:p w14:paraId="2EFF0C1E">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96" w:name="_Toc184704586"/>
      <w:bookmarkStart w:id="97" w:name="_Toc295196522"/>
      <w:r>
        <w:rPr>
          <w:rFonts w:hint="eastAsia" w:ascii="黑体" w:hAnsi="宋体" w:eastAsia="黑体"/>
          <w:bCs/>
          <w:color w:val="auto"/>
          <w:kern w:val="2"/>
          <w:sz w:val="24"/>
          <w:szCs w:val="21"/>
          <w:highlight w:val="none"/>
        </w:rPr>
        <w:t>6.2 解释</w:t>
      </w:r>
      <w:bookmarkEnd w:id="96"/>
      <w:bookmarkEnd w:id="97"/>
    </w:p>
    <w:p w14:paraId="7CE51BA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应申请人书面要求，招标人应对资格预审结果作出解释，但不保证申请人对解释内容满意。</w:t>
      </w:r>
    </w:p>
    <w:p w14:paraId="425B237B">
      <w:pPr>
        <w:pStyle w:val="4"/>
        <w:ind w:firstLine="0" w:firstLineChars="0"/>
        <w:jc w:val="left"/>
        <w:rPr>
          <w:rFonts w:hint="eastAsia" w:ascii="黑体" w:hAnsi="宋体" w:eastAsia="黑体"/>
          <w:b w:val="0"/>
          <w:bCs w:val="0"/>
          <w:color w:val="auto"/>
          <w:sz w:val="28"/>
          <w:szCs w:val="28"/>
          <w:highlight w:val="none"/>
        </w:rPr>
      </w:pPr>
      <w:bookmarkStart w:id="98" w:name="_Toc184704681"/>
      <w:bookmarkStart w:id="99" w:name="_Toc295196524"/>
      <w:bookmarkStart w:id="100" w:name="_Toc184704588"/>
      <w:bookmarkStart w:id="101" w:name="_Toc9227"/>
      <w:r>
        <w:rPr>
          <w:rFonts w:hint="eastAsia" w:ascii="黑体" w:hAnsi="宋体" w:eastAsia="黑体"/>
          <w:b w:val="0"/>
          <w:bCs w:val="0"/>
          <w:color w:val="auto"/>
          <w:sz w:val="28"/>
          <w:szCs w:val="28"/>
          <w:highlight w:val="none"/>
        </w:rPr>
        <w:t>7.申请人的资格改变</w:t>
      </w:r>
      <w:bookmarkEnd w:id="98"/>
      <w:bookmarkEnd w:id="99"/>
      <w:bookmarkEnd w:id="100"/>
      <w:bookmarkEnd w:id="101"/>
    </w:p>
    <w:p w14:paraId="65258E6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通过资格预审的申请人组织机构、信誉情况等资格条件发生变化，使其不再实质上满足第三章“资格审查办法”规定标准的，其投标不被接受。</w:t>
      </w:r>
    </w:p>
    <w:p w14:paraId="7FEC8658">
      <w:pPr>
        <w:pStyle w:val="4"/>
        <w:ind w:firstLine="0" w:firstLineChars="0"/>
        <w:jc w:val="left"/>
        <w:rPr>
          <w:rFonts w:hint="eastAsia" w:ascii="黑体" w:hAnsi="宋体" w:eastAsia="黑体"/>
          <w:b w:val="0"/>
          <w:bCs w:val="0"/>
          <w:color w:val="auto"/>
          <w:sz w:val="28"/>
          <w:szCs w:val="28"/>
          <w:highlight w:val="none"/>
        </w:rPr>
      </w:pPr>
      <w:bookmarkStart w:id="102" w:name="_Toc184704589"/>
      <w:bookmarkStart w:id="103" w:name="_Toc295196525"/>
      <w:bookmarkStart w:id="104" w:name="_Toc184704682"/>
      <w:bookmarkStart w:id="105" w:name="_Toc26483"/>
      <w:r>
        <w:rPr>
          <w:rFonts w:hint="eastAsia" w:ascii="黑体" w:hAnsi="宋体" w:eastAsia="黑体"/>
          <w:b w:val="0"/>
          <w:bCs w:val="0"/>
          <w:color w:val="auto"/>
          <w:sz w:val="28"/>
          <w:szCs w:val="28"/>
          <w:highlight w:val="none"/>
        </w:rPr>
        <w:t>8.纪律与监督</w:t>
      </w:r>
      <w:bookmarkEnd w:id="102"/>
      <w:bookmarkEnd w:id="103"/>
      <w:bookmarkEnd w:id="104"/>
      <w:bookmarkEnd w:id="105"/>
    </w:p>
    <w:p w14:paraId="06847C16">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106" w:name="_Toc295196526"/>
      <w:bookmarkStart w:id="107" w:name="_Toc184704590"/>
      <w:r>
        <w:rPr>
          <w:rFonts w:hint="eastAsia" w:ascii="黑体" w:hAnsi="宋体" w:eastAsia="黑体"/>
          <w:bCs/>
          <w:color w:val="auto"/>
          <w:kern w:val="2"/>
          <w:sz w:val="24"/>
          <w:szCs w:val="21"/>
          <w:highlight w:val="none"/>
        </w:rPr>
        <w:t>8.1 严禁贿赂</w:t>
      </w:r>
      <w:bookmarkEnd w:id="106"/>
      <w:bookmarkEnd w:id="107"/>
    </w:p>
    <w:p w14:paraId="57B1D5C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严禁申请人向招标人和与审查活动有关的其他工作人员行贿。在资格预审期间，不得邀请招标人以及与审查活动有关的其他工作人员到申请人单位参观考察，或出席申请人主办、赞助的任何活动。</w:t>
      </w:r>
    </w:p>
    <w:p w14:paraId="273B4E85">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108" w:name="_Toc295196527"/>
      <w:bookmarkStart w:id="109" w:name="_Toc184704591"/>
      <w:r>
        <w:rPr>
          <w:rFonts w:hint="eastAsia" w:ascii="黑体" w:hAnsi="宋体" w:eastAsia="黑体"/>
          <w:bCs/>
          <w:color w:val="auto"/>
          <w:kern w:val="2"/>
          <w:sz w:val="24"/>
          <w:szCs w:val="21"/>
          <w:highlight w:val="none"/>
        </w:rPr>
        <w:t>8.2 不得干扰资格审查工作</w:t>
      </w:r>
      <w:bookmarkEnd w:id="108"/>
      <w:bookmarkEnd w:id="109"/>
    </w:p>
    <w:p w14:paraId="593CE1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申请人不得以任何方式干扰、影响资格预审的审查工作，否则将导致其不能通过资格预审。</w:t>
      </w:r>
    </w:p>
    <w:p w14:paraId="630C9954">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110" w:name="_Toc295196528"/>
      <w:bookmarkStart w:id="111" w:name="_Toc184704592"/>
      <w:r>
        <w:rPr>
          <w:rFonts w:hint="eastAsia" w:ascii="黑体" w:hAnsi="宋体" w:eastAsia="黑体"/>
          <w:bCs/>
          <w:color w:val="auto"/>
          <w:kern w:val="2"/>
          <w:sz w:val="24"/>
          <w:szCs w:val="21"/>
          <w:highlight w:val="none"/>
        </w:rPr>
        <w:t>8.3 保密</w:t>
      </w:r>
      <w:bookmarkEnd w:id="110"/>
      <w:bookmarkEnd w:id="111"/>
    </w:p>
    <w:p w14:paraId="44C985A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招标人、资格审查委员会成员，以及与审查活动有关的其他工作人员应对资格预审申请文件的审查、比较进行保密，不得向他人透露可能影响公平竞争的有关情况。</w:t>
      </w:r>
    </w:p>
    <w:p w14:paraId="1860E850">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bookmarkStart w:id="112" w:name="_Toc184704593"/>
      <w:bookmarkStart w:id="113" w:name="_Toc295196529"/>
      <w:r>
        <w:rPr>
          <w:rFonts w:hint="eastAsia" w:ascii="黑体" w:hAnsi="宋体" w:eastAsia="黑体"/>
          <w:bCs/>
          <w:color w:val="auto"/>
          <w:kern w:val="2"/>
          <w:sz w:val="24"/>
          <w:szCs w:val="21"/>
          <w:highlight w:val="none"/>
        </w:rPr>
        <w:t>8.4 异议与投诉</w:t>
      </w:r>
      <w:bookmarkEnd w:id="112"/>
      <w:bookmarkEnd w:id="113"/>
    </w:p>
    <w:p w14:paraId="1336D19C">
      <w:pPr>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 xml:space="preserve">8.4.1 </w:t>
      </w:r>
      <w:r>
        <w:rPr>
          <w:rFonts w:hint="eastAsia" w:ascii="宋体" w:hAnsi="宋体"/>
          <w:bCs/>
          <w:color w:val="auto"/>
          <w:szCs w:val="21"/>
          <w:highlight w:val="none"/>
        </w:rPr>
        <w:t>申请人或者其他利害关系人认为资格预审文件不符合相关法律法规规范性文件规定，应当按照相关规定在提交资格预审申请文件截止时间2日前向招标人提出异议；</w:t>
      </w:r>
    </w:p>
    <w:p w14:paraId="3A6E5107">
      <w:pPr>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申请人或利害关系人不满意招标人的答复或者认为招标人处理不当的，可以向本项目的招标投标行政监督部门投诉。</w:t>
      </w:r>
    </w:p>
    <w:p w14:paraId="25FA9C74">
      <w:pPr>
        <w:snapToGrid w:val="0"/>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8</w:t>
      </w:r>
      <w:r>
        <w:rPr>
          <w:rFonts w:hint="eastAsia" w:ascii="宋体" w:hAnsi="宋体"/>
          <w:bCs/>
          <w:color w:val="auto"/>
          <w:szCs w:val="21"/>
          <w:highlight w:val="none"/>
        </w:rPr>
        <w:t>.4.2申请人或者其他利害关系人认为本次招标活动违反法律法规规范性文件规定的，可以在知道或者应当知道之日起10日内向本项目的招标投标行政监督部门投诉。</w:t>
      </w:r>
    </w:p>
    <w:p w14:paraId="4BD48775">
      <w:pPr>
        <w:pStyle w:val="4"/>
        <w:ind w:firstLine="0" w:firstLineChars="0"/>
        <w:jc w:val="left"/>
        <w:rPr>
          <w:rFonts w:hint="eastAsia" w:ascii="黑体" w:hAnsi="宋体" w:eastAsia="黑体"/>
          <w:b w:val="0"/>
          <w:bCs w:val="0"/>
          <w:color w:val="auto"/>
          <w:sz w:val="28"/>
          <w:szCs w:val="28"/>
          <w:highlight w:val="none"/>
        </w:rPr>
      </w:pPr>
      <w:bookmarkStart w:id="114" w:name="_Toc184704594"/>
      <w:bookmarkStart w:id="115" w:name="_Toc6401"/>
      <w:bookmarkStart w:id="116" w:name="_Toc295196531"/>
      <w:bookmarkStart w:id="117" w:name="_Toc184704683"/>
      <w:r>
        <w:rPr>
          <w:rFonts w:hint="eastAsia" w:ascii="黑体" w:hAnsi="宋体" w:eastAsia="黑体"/>
          <w:b w:val="0"/>
          <w:bCs w:val="0"/>
          <w:color w:val="auto"/>
          <w:sz w:val="28"/>
          <w:szCs w:val="28"/>
          <w:highlight w:val="none"/>
        </w:rPr>
        <w:t>9.需要补充的其他内容</w:t>
      </w:r>
      <w:bookmarkEnd w:id="114"/>
      <w:bookmarkEnd w:id="115"/>
      <w:bookmarkEnd w:id="116"/>
      <w:bookmarkEnd w:id="117"/>
    </w:p>
    <w:p w14:paraId="0CC9389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需要补充的其他内容：见申请人须知前附表。</w:t>
      </w:r>
    </w:p>
    <w:p w14:paraId="1D4A13C5">
      <w:pPr>
        <w:snapToGrid w:val="0"/>
        <w:spacing w:line="360" w:lineRule="auto"/>
        <w:ind w:firstLine="420" w:firstLineChars="200"/>
        <w:rPr>
          <w:rFonts w:hint="eastAsia" w:ascii="宋体" w:hAnsi="宋体"/>
          <w:color w:val="auto"/>
          <w:szCs w:val="21"/>
          <w:highlight w:val="none"/>
        </w:rPr>
        <w:sectPr>
          <w:footerReference r:id="rId4" w:type="first"/>
          <w:pgSz w:w="11910" w:h="16840"/>
          <w:pgMar w:top="1418" w:right="1418" w:bottom="1418" w:left="1418" w:header="1138" w:footer="1280" w:gutter="0"/>
          <w:cols w:space="720" w:num="1"/>
          <w:docGrid w:linePitch="299" w:charSpace="0"/>
        </w:sectPr>
      </w:pPr>
    </w:p>
    <w:p w14:paraId="1074EB55">
      <w:pPr>
        <w:pStyle w:val="5"/>
        <w:ind w:left="0" w:firstLine="480"/>
        <w:rPr>
          <w:rFonts w:ascii="Times New Roman" w:eastAsia="黑体"/>
          <w:color w:val="auto"/>
          <w:sz w:val="24"/>
          <w:highlight w:val="none"/>
        </w:rPr>
      </w:pPr>
      <w:r>
        <w:rPr>
          <w:rFonts w:ascii="Times New Roman" w:eastAsia="黑体"/>
          <w:color w:val="auto"/>
          <w:sz w:val="24"/>
          <w:highlight w:val="none"/>
        </w:rPr>
        <w:t>附件2-</w:t>
      </w:r>
      <w:r>
        <w:rPr>
          <w:rFonts w:hint="eastAsia" w:ascii="Times New Roman" w:eastAsia="黑体"/>
          <w:color w:val="auto"/>
          <w:sz w:val="24"/>
          <w:highlight w:val="none"/>
        </w:rPr>
        <w:t>1</w:t>
      </w:r>
      <w:r>
        <w:rPr>
          <w:rFonts w:ascii="Times New Roman" w:eastAsia="黑体"/>
          <w:color w:val="auto"/>
          <w:sz w:val="24"/>
          <w:highlight w:val="none"/>
        </w:rPr>
        <w:t>：</w:t>
      </w:r>
      <w:r>
        <w:rPr>
          <w:rFonts w:hint="eastAsia" w:ascii="Times New Roman" w:eastAsia="黑体"/>
          <w:color w:val="auto"/>
          <w:sz w:val="24"/>
          <w:highlight w:val="none"/>
        </w:rPr>
        <w:t>不能通过资格预审的</w:t>
      </w:r>
      <w:r>
        <w:rPr>
          <w:rFonts w:ascii="Times New Roman" w:eastAsia="黑体"/>
          <w:color w:val="auto"/>
          <w:sz w:val="24"/>
          <w:highlight w:val="none"/>
        </w:rPr>
        <w:t>情形</w:t>
      </w:r>
    </w:p>
    <w:p w14:paraId="40D74784">
      <w:pPr>
        <w:pStyle w:val="5"/>
        <w:ind w:left="0" w:firstLine="560"/>
        <w:rPr>
          <w:rFonts w:ascii="Times New Roman" w:eastAsia="黑体"/>
          <w:bCs/>
          <w:color w:val="auto"/>
          <w:sz w:val="28"/>
          <w:highlight w:val="none"/>
        </w:rPr>
      </w:pPr>
    </w:p>
    <w:p w14:paraId="7FFEA181">
      <w:pPr>
        <w:pStyle w:val="5"/>
        <w:ind w:left="0" w:firstLine="560"/>
        <w:jc w:val="center"/>
        <w:rPr>
          <w:rFonts w:ascii="Times New Roman" w:eastAsia="黑体"/>
          <w:bCs/>
          <w:color w:val="auto"/>
          <w:sz w:val="24"/>
          <w:highlight w:val="none"/>
        </w:rPr>
      </w:pPr>
      <w:r>
        <w:rPr>
          <w:rFonts w:hint="eastAsia" w:ascii="Times New Roman" w:eastAsia="黑体"/>
          <w:bCs/>
          <w:color w:val="auto"/>
          <w:sz w:val="28"/>
          <w:highlight w:val="none"/>
        </w:rPr>
        <w:t>不能通过资格预审的</w:t>
      </w:r>
      <w:r>
        <w:rPr>
          <w:rFonts w:ascii="Times New Roman" w:eastAsia="黑体"/>
          <w:bCs/>
          <w:color w:val="auto"/>
          <w:sz w:val="28"/>
          <w:highlight w:val="none"/>
        </w:rPr>
        <w:t>情形</w:t>
      </w:r>
    </w:p>
    <w:p w14:paraId="397D4BBC">
      <w:pPr>
        <w:adjustRightInd w:val="0"/>
        <w:snapToGrid w:val="0"/>
        <w:spacing w:line="360" w:lineRule="auto"/>
        <w:ind w:firstLine="420" w:firstLineChars="200"/>
        <w:rPr>
          <w:rFonts w:hint="eastAsia" w:ascii="宋体" w:hAnsi="宋体"/>
          <w:color w:val="auto"/>
          <w:szCs w:val="21"/>
          <w:highlight w:val="none"/>
        </w:rPr>
      </w:pPr>
    </w:p>
    <w:p w14:paraId="19E6922C">
      <w:pPr>
        <w:adjustRightInd w:val="0"/>
        <w:snapToGrid w:val="0"/>
        <w:spacing w:line="360" w:lineRule="auto"/>
        <w:ind w:firstLine="560"/>
        <w:rPr>
          <w:rFonts w:hint="eastAsia" w:ascii="宋体" w:hAnsi="宋体"/>
          <w:color w:val="auto"/>
          <w:szCs w:val="21"/>
          <w:highlight w:val="none"/>
        </w:rPr>
      </w:pPr>
      <w:r>
        <w:rPr>
          <w:rFonts w:ascii="宋体" w:hAnsi="宋体"/>
          <w:color w:val="auto"/>
          <w:szCs w:val="21"/>
          <w:highlight w:val="none"/>
        </w:rPr>
        <w:t>本附件所集中列示的</w:t>
      </w:r>
      <w:r>
        <w:rPr>
          <w:rFonts w:hint="eastAsia" w:ascii="宋体" w:hAnsi="宋体"/>
          <w:color w:val="auto"/>
          <w:szCs w:val="21"/>
          <w:highlight w:val="none"/>
        </w:rPr>
        <w:t>不能通过资格预审的</w:t>
      </w:r>
      <w:r>
        <w:rPr>
          <w:rFonts w:ascii="宋体" w:hAnsi="宋体"/>
          <w:color w:val="auto"/>
          <w:szCs w:val="21"/>
          <w:highlight w:val="none"/>
        </w:rPr>
        <w:t>情形，是“</w:t>
      </w:r>
      <w:r>
        <w:rPr>
          <w:rFonts w:hint="eastAsia" w:ascii="宋体" w:hAnsi="宋体"/>
          <w:color w:val="auto"/>
          <w:szCs w:val="21"/>
          <w:highlight w:val="none"/>
        </w:rPr>
        <w:t>资格审查办法</w:t>
      </w:r>
      <w:r>
        <w:rPr>
          <w:rFonts w:ascii="宋体" w:hAnsi="宋体"/>
          <w:color w:val="auto"/>
          <w:szCs w:val="21"/>
          <w:highlight w:val="none"/>
        </w:rPr>
        <w:t>”的组成部分，是对“申请人须知”和“</w:t>
      </w:r>
      <w:r>
        <w:rPr>
          <w:rFonts w:hint="eastAsia" w:ascii="宋体" w:hAnsi="宋体"/>
          <w:color w:val="auto"/>
          <w:szCs w:val="21"/>
          <w:highlight w:val="none"/>
        </w:rPr>
        <w:t>资格审查办法</w:t>
      </w:r>
      <w:r>
        <w:rPr>
          <w:rFonts w:ascii="宋体" w:hAnsi="宋体"/>
          <w:color w:val="auto"/>
          <w:szCs w:val="21"/>
          <w:highlight w:val="none"/>
        </w:rPr>
        <w:t>”规定的</w:t>
      </w:r>
      <w:r>
        <w:rPr>
          <w:rFonts w:hint="eastAsia" w:ascii="宋体" w:hAnsi="宋体"/>
          <w:color w:val="auto"/>
          <w:szCs w:val="21"/>
          <w:highlight w:val="none"/>
        </w:rPr>
        <w:t>不能通过资格预审</w:t>
      </w:r>
      <w:r>
        <w:rPr>
          <w:rFonts w:ascii="宋体" w:hAnsi="宋体"/>
          <w:color w:val="auto"/>
          <w:szCs w:val="21"/>
          <w:highlight w:val="none"/>
        </w:rPr>
        <w:t>情形的总结和补充，如果出现相互矛盾的情况，以</w:t>
      </w:r>
      <w:r>
        <w:rPr>
          <w:rFonts w:hint="eastAsia" w:ascii="宋体" w:hAnsi="宋体"/>
          <w:color w:val="auto"/>
          <w:szCs w:val="21"/>
          <w:highlight w:val="none"/>
        </w:rPr>
        <w:t>本附件所集中列示</w:t>
      </w:r>
      <w:r>
        <w:rPr>
          <w:rFonts w:ascii="宋体" w:hAnsi="宋体"/>
          <w:color w:val="auto"/>
          <w:szCs w:val="21"/>
          <w:highlight w:val="none"/>
        </w:rPr>
        <w:t>的为准。</w:t>
      </w:r>
      <w:r>
        <w:rPr>
          <w:rFonts w:hint="eastAsia" w:ascii="宋体" w:hAnsi="宋体"/>
          <w:color w:val="auto"/>
          <w:szCs w:val="21"/>
          <w:highlight w:val="none"/>
        </w:rPr>
        <w:t>未列入本附件所列情形的，不得作为不能通过资格预审的依据。</w:t>
      </w:r>
    </w:p>
    <w:p w14:paraId="4DB6CD5D">
      <w:pPr>
        <w:pStyle w:val="48"/>
        <w:adjustRightInd w:val="0"/>
        <w:snapToGrid w:val="0"/>
        <w:spacing w:line="360" w:lineRule="auto"/>
        <w:ind w:firstLine="0" w:firstLineChars="0"/>
        <w:rPr>
          <w:rFonts w:hint="eastAsia" w:ascii="宋体" w:hAnsi="宋体"/>
          <w:color w:val="auto"/>
          <w:szCs w:val="21"/>
          <w:highlight w:val="none"/>
        </w:rPr>
      </w:pPr>
      <w:r>
        <w:rPr>
          <w:rFonts w:ascii="宋体" w:hAnsi="宋体"/>
          <w:color w:val="auto"/>
          <w:szCs w:val="21"/>
          <w:highlight w:val="none"/>
        </w:rPr>
        <w:t>申请人或其</w:t>
      </w:r>
      <w:r>
        <w:rPr>
          <w:rFonts w:hint="eastAsia" w:ascii="宋体" w:hAnsi="宋体"/>
          <w:color w:val="auto"/>
          <w:szCs w:val="21"/>
          <w:highlight w:val="none"/>
        </w:rPr>
        <w:t>资格预审申请</w:t>
      </w:r>
      <w:r>
        <w:rPr>
          <w:rFonts w:ascii="宋体" w:hAnsi="宋体"/>
          <w:color w:val="auto"/>
          <w:szCs w:val="21"/>
          <w:highlight w:val="none"/>
        </w:rPr>
        <w:t>文件有下列情形之一的，其</w:t>
      </w:r>
      <w:r>
        <w:rPr>
          <w:rFonts w:hint="eastAsia" w:ascii="宋体" w:hAnsi="宋体"/>
          <w:color w:val="auto"/>
          <w:szCs w:val="21"/>
          <w:highlight w:val="none"/>
        </w:rPr>
        <w:t>资格预审不能通过</w:t>
      </w:r>
      <w:r>
        <w:rPr>
          <w:rFonts w:ascii="宋体" w:hAnsi="宋体"/>
          <w:color w:val="auto"/>
          <w:szCs w:val="21"/>
          <w:highlight w:val="none"/>
        </w:rPr>
        <w:t>：</w:t>
      </w:r>
    </w:p>
    <w:p w14:paraId="6916E97D">
      <w:pPr>
        <w:adjustRightInd w:val="0"/>
        <w:snapToGrid w:val="0"/>
        <w:spacing w:line="360" w:lineRule="auto"/>
        <w:ind w:firstLine="560"/>
        <w:rPr>
          <w:rFonts w:hint="eastAsia" w:ascii="宋体" w:hAnsi="宋体"/>
          <w:color w:val="auto"/>
          <w:szCs w:val="21"/>
          <w:highlight w:val="none"/>
        </w:rPr>
      </w:pPr>
      <w:r>
        <w:rPr>
          <w:rFonts w:ascii="宋体" w:hAnsi="宋体"/>
          <w:color w:val="auto"/>
          <w:highlight w:val="none"/>
        </w:rPr>
        <w:t>1.1 有本章“申请人须知”第1.4.3项规定的任何一种情形的；</w:t>
      </w:r>
    </w:p>
    <w:p w14:paraId="396C1DB1">
      <w:pPr>
        <w:adjustRightInd w:val="0"/>
        <w:snapToGrid w:val="0"/>
        <w:spacing w:line="360" w:lineRule="auto"/>
        <w:ind w:firstLine="560"/>
        <w:rPr>
          <w:rFonts w:hint="eastAsia" w:ascii="宋体" w:hAnsi="宋体"/>
          <w:color w:val="auto"/>
          <w:highlight w:val="none"/>
        </w:rPr>
      </w:pPr>
      <w:r>
        <w:rPr>
          <w:rFonts w:ascii="宋体" w:hAnsi="宋体"/>
          <w:color w:val="auto"/>
          <w:highlight w:val="none"/>
        </w:rPr>
        <w:t>1.2 申请人以他人名义投标、串通投标、以行贿手段谋取中标的；</w:t>
      </w:r>
    </w:p>
    <w:p w14:paraId="218F8253">
      <w:pPr>
        <w:adjustRightInd w:val="0"/>
        <w:snapToGrid w:val="0"/>
        <w:spacing w:line="360" w:lineRule="auto"/>
        <w:ind w:firstLine="560"/>
        <w:rPr>
          <w:rFonts w:hint="eastAsia" w:ascii="宋体" w:hAnsi="宋体"/>
          <w:color w:val="auto"/>
          <w:szCs w:val="21"/>
          <w:highlight w:val="none"/>
        </w:rPr>
      </w:pPr>
      <w:r>
        <w:rPr>
          <w:rFonts w:ascii="宋体" w:hAnsi="宋体"/>
          <w:color w:val="auto"/>
          <w:highlight w:val="none"/>
        </w:rPr>
        <w:t xml:space="preserve">1.3 </w:t>
      </w:r>
      <w:r>
        <w:rPr>
          <w:rFonts w:hint="eastAsia" w:ascii="宋体" w:hAnsi="宋体"/>
          <w:color w:val="auto"/>
          <w:highlight w:val="none"/>
        </w:rPr>
        <w:t>申请人资格条件不符合国家有关规定或者资格预审文件要求的，或者拒不按照要求对资格预审申请文件</w:t>
      </w:r>
      <w:r>
        <w:rPr>
          <w:rFonts w:ascii="宋体" w:hAnsi="宋体"/>
          <w:color w:val="auto"/>
          <w:highlight w:val="none"/>
        </w:rPr>
        <w:t>进行澄清、说明或补正，或者其说明补正无法证明其为合格申请人的；</w:t>
      </w:r>
    </w:p>
    <w:p w14:paraId="377ADD5A">
      <w:pPr>
        <w:adjustRightInd w:val="0"/>
        <w:snapToGrid w:val="0"/>
        <w:spacing w:line="360" w:lineRule="auto"/>
        <w:ind w:firstLine="560"/>
        <w:rPr>
          <w:rFonts w:hint="eastAsia" w:ascii="宋体" w:hAnsi="宋体"/>
          <w:color w:val="auto"/>
          <w:szCs w:val="21"/>
          <w:highlight w:val="none"/>
        </w:rPr>
      </w:pPr>
      <w:r>
        <w:rPr>
          <w:rFonts w:ascii="宋体" w:hAnsi="宋体"/>
          <w:color w:val="auto"/>
          <w:highlight w:val="none"/>
        </w:rPr>
        <w:t>1.4 在</w:t>
      </w:r>
      <w:r>
        <w:rPr>
          <w:rFonts w:hint="eastAsia" w:ascii="宋体" w:hAnsi="宋体"/>
          <w:color w:val="auto"/>
          <w:highlight w:val="none"/>
        </w:rPr>
        <w:t>初步审查</w:t>
      </w:r>
      <w:r>
        <w:rPr>
          <w:rFonts w:ascii="宋体" w:hAnsi="宋体"/>
          <w:color w:val="auto"/>
          <w:highlight w:val="none"/>
        </w:rPr>
        <w:t>、</w:t>
      </w:r>
      <w:r>
        <w:rPr>
          <w:rFonts w:hint="eastAsia" w:ascii="宋体" w:hAnsi="宋体"/>
          <w:color w:val="auto"/>
          <w:highlight w:val="none"/>
        </w:rPr>
        <w:t>详细审查</w:t>
      </w:r>
      <w:r>
        <w:rPr>
          <w:rFonts w:ascii="宋体" w:hAnsi="宋体"/>
          <w:color w:val="auto"/>
          <w:highlight w:val="none"/>
        </w:rPr>
        <w:t>中，</w:t>
      </w:r>
      <w:r>
        <w:rPr>
          <w:rFonts w:hint="eastAsia" w:ascii="宋体" w:hAnsi="宋体"/>
          <w:color w:val="auto"/>
          <w:highlight w:val="none"/>
        </w:rPr>
        <w:t>资格审查委员会</w:t>
      </w:r>
      <w:r>
        <w:rPr>
          <w:rFonts w:ascii="宋体" w:hAnsi="宋体"/>
          <w:color w:val="auto"/>
          <w:highlight w:val="none"/>
        </w:rPr>
        <w:t>认定</w:t>
      </w:r>
      <w:r>
        <w:rPr>
          <w:rFonts w:hint="eastAsia" w:ascii="宋体" w:hAnsi="宋体"/>
          <w:color w:val="auto"/>
          <w:highlight w:val="none"/>
        </w:rPr>
        <w:t>资格预审申请</w:t>
      </w:r>
      <w:r>
        <w:rPr>
          <w:rFonts w:ascii="宋体" w:hAnsi="宋体"/>
          <w:color w:val="auto"/>
          <w:highlight w:val="none"/>
        </w:rPr>
        <w:t>文件不符合</w:t>
      </w:r>
      <w:r>
        <w:rPr>
          <w:rFonts w:hint="eastAsia" w:ascii="宋体" w:hAnsi="宋体"/>
          <w:color w:val="auto"/>
          <w:highlight w:val="none"/>
        </w:rPr>
        <w:t>资格审查办法</w:t>
      </w:r>
      <w:r>
        <w:rPr>
          <w:rFonts w:ascii="宋体" w:hAnsi="宋体"/>
          <w:color w:val="auto"/>
          <w:highlight w:val="none"/>
        </w:rPr>
        <w:t>前附表规定</w:t>
      </w:r>
      <w:r>
        <w:rPr>
          <w:rFonts w:hint="eastAsia" w:ascii="宋体" w:hAnsi="宋体"/>
          <w:color w:val="auto"/>
          <w:highlight w:val="none"/>
        </w:rPr>
        <w:t>的任何一项</w:t>
      </w:r>
      <w:r>
        <w:rPr>
          <w:rFonts w:ascii="宋体" w:hAnsi="宋体"/>
          <w:color w:val="auto"/>
          <w:highlight w:val="none"/>
        </w:rPr>
        <w:t>评审标准的；</w:t>
      </w:r>
    </w:p>
    <w:p w14:paraId="2A7B4817">
      <w:pPr>
        <w:adjustRightInd w:val="0"/>
        <w:snapToGrid w:val="0"/>
        <w:spacing w:line="360" w:lineRule="auto"/>
        <w:ind w:firstLine="560"/>
        <w:rPr>
          <w:rFonts w:hint="eastAsia" w:ascii="宋体" w:hAnsi="宋体"/>
          <w:color w:val="auto"/>
          <w:highlight w:val="none"/>
        </w:rPr>
      </w:pPr>
      <w:r>
        <w:rPr>
          <w:rFonts w:ascii="宋体" w:hAnsi="宋体"/>
          <w:color w:val="auto"/>
          <w:highlight w:val="none"/>
        </w:rPr>
        <w:t xml:space="preserve">1.5 </w:t>
      </w:r>
      <w:r>
        <w:rPr>
          <w:rFonts w:hint="eastAsia" w:ascii="宋体" w:hAnsi="宋体"/>
          <w:color w:val="auto"/>
          <w:highlight w:val="none"/>
        </w:rPr>
        <w:t>资格预审申请</w:t>
      </w:r>
      <w:r>
        <w:rPr>
          <w:rFonts w:hint="eastAsia" w:ascii="宋体" w:hAnsi="宋体"/>
          <w:bCs/>
          <w:color w:val="auto"/>
          <w:highlight w:val="none"/>
        </w:rPr>
        <w:t>文件存在弄虚作假或者隐瞒事实，或者未按照资格预审文件要求如实提供有关情况和文件以及证明资</w:t>
      </w:r>
      <w:r>
        <w:rPr>
          <w:rFonts w:hint="eastAsia" w:ascii="宋体" w:hAnsi="宋体"/>
          <w:color w:val="auto"/>
          <w:highlight w:val="none"/>
        </w:rPr>
        <w:t>料且对申请人有利的；</w:t>
      </w:r>
    </w:p>
    <w:p w14:paraId="120F23B2">
      <w:pPr>
        <w:adjustRightInd w:val="0"/>
        <w:snapToGrid w:val="0"/>
        <w:spacing w:line="360" w:lineRule="auto"/>
        <w:ind w:firstLine="560"/>
        <w:rPr>
          <w:rFonts w:eastAsia="仿宋_GB2312"/>
          <w:color w:val="auto"/>
          <w:szCs w:val="21"/>
          <w:highlight w:val="none"/>
        </w:rPr>
      </w:pPr>
      <w:r>
        <w:rPr>
          <w:rFonts w:hint="eastAsia" w:ascii="宋体" w:hAnsi="宋体"/>
          <w:color w:val="auto"/>
          <w:highlight w:val="none"/>
        </w:rPr>
        <w:t>1.6  其他：</w:t>
      </w:r>
      <w:r>
        <w:rPr>
          <w:rFonts w:hint="eastAsia" w:ascii="宋体" w:hAnsi="宋体"/>
          <w:color w:val="auto"/>
          <w:highlight w:val="none"/>
          <w:u w:val="single"/>
        </w:rPr>
        <w:t xml:space="preserve">             </w:t>
      </w:r>
      <w:r>
        <w:rPr>
          <w:rFonts w:hint="eastAsia" w:ascii="宋体" w:hAnsi="宋体"/>
          <w:color w:val="auto"/>
          <w:highlight w:val="none"/>
        </w:rPr>
        <w:t>（由招标人根据项目情况依法依规在资格预审文件中明确</w:t>
      </w:r>
      <w:r>
        <w:rPr>
          <w:rFonts w:hint="eastAsia" w:ascii="宋体" w:hAnsi="宋体"/>
          <w:color w:val="auto"/>
          <w:highlight w:val="none"/>
          <w:lang w:eastAsia="zh-CN"/>
        </w:rPr>
        <w:t>。</w:t>
      </w:r>
      <w:r>
        <w:rPr>
          <w:rFonts w:hint="eastAsia" w:ascii="宋体" w:hAnsi="宋体"/>
          <w:color w:val="auto"/>
          <w:highlight w:val="none"/>
        </w:rPr>
        <w:t>）</w:t>
      </w:r>
    </w:p>
    <w:p w14:paraId="74A41023">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bookmarkStart w:id="118" w:name="_Hlk43797016"/>
      <w:r>
        <w:rPr>
          <w:rFonts w:ascii="黑体" w:hAnsi="宋体" w:eastAsia="黑体" w:cs="黑体"/>
          <w:b w:val="0"/>
          <w:color w:val="auto"/>
          <w:sz w:val="32"/>
          <w:highlight w:val="none"/>
        </w:rPr>
        <w:br w:type="page"/>
      </w:r>
    </w:p>
    <w:bookmarkEnd w:id="118"/>
    <w:p w14:paraId="6D7A0A8D">
      <w:pPr>
        <w:pStyle w:val="3"/>
        <w:overflowPunct w:val="0"/>
        <w:topLinePunct/>
        <w:adjustRightInd w:val="0"/>
        <w:snapToGrid w:val="0"/>
        <w:spacing w:line="240" w:lineRule="auto"/>
        <w:ind w:firstLine="643"/>
        <w:jc w:val="center"/>
        <w:rPr>
          <w:rFonts w:hint="eastAsia" w:ascii="宋体" w:hAnsi="宋体"/>
          <w:color w:val="auto"/>
          <w:sz w:val="32"/>
          <w:highlight w:val="none"/>
        </w:rPr>
      </w:pPr>
    </w:p>
    <w:p w14:paraId="4F5B01AA">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bookmarkStart w:id="119" w:name="_Toc3828"/>
      <w:r>
        <w:rPr>
          <w:rFonts w:hint="eastAsia" w:ascii="黑体" w:hAnsi="宋体" w:eastAsia="黑体" w:cs="黑体"/>
          <w:b w:val="0"/>
          <w:color w:val="auto"/>
          <w:sz w:val="32"/>
          <w:highlight w:val="none"/>
        </w:rPr>
        <w:t>第三章  资格审查办法（合格制）</w:t>
      </w:r>
      <w:bookmarkEnd w:id="119"/>
    </w:p>
    <w:p w14:paraId="2E19D0DF">
      <w:pPr>
        <w:pStyle w:val="3"/>
        <w:overflowPunct w:val="0"/>
        <w:topLinePunct/>
        <w:adjustRightInd w:val="0"/>
        <w:snapToGrid w:val="0"/>
        <w:spacing w:line="240" w:lineRule="auto"/>
        <w:ind w:firstLine="482"/>
        <w:jc w:val="center"/>
        <w:rPr>
          <w:rFonts w:hint="eastAsia" w:ascii="宋体" w:hAnsi="宋体"/>
          <w:color w:val="auto"/>
          <w:highlight w:val="none"/>
        </w:rPr>
      </w:pPr>
    </w:p>
    <w:p w14:paraId="4A4F9B66">
      <w:pPr>
        <w:snapToGrid w:val="0"/>
        <w:ind w:firstLine="600"/>
        <w:jc w:val="center"/>
        <w:rPr>
          <w:rFonts w:hint="eastAsia" w:ascii="黑体" w:hAnsi="宋体" w:eastAsia="黑体"/>
          <w:color w:val="auto"/>
          <w:sz w:val="30"/>
          <w:szCs w:val="30"/>
          <w:highlight w:val="none"/>
        </w:rPr>
      </w:pPr>
      <w:r>
        <w:rPr>
          <w:rFonts w:hint="eastAsia" w:ascii="黑体" w:hAnsi="宋体" w:eastAsia="黑体"/>
          <w:color w:val="auto"/>
          <w:sz w:val="30"/>
          <w:szCs w:val="30"/>
          <w:highlight w:val="none"/>
        </w:rPr>
        <w:t>资格审查办法前附表</w:t>
      </w:r>
    </w:p>
    <w:tbl>
      <w:tblPr>
        <w:tblStyle w:val="20"/>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1"/>
        <w:gridCol w:w="676"/>
        <w:gridCol w:w="3209"/>
        <w:gridCol w:w="4662"/>
      </w:tblGrid>
      <w:tr w14:paraId="6B20B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597" w:type="dxa"/>
            <w:gridSpan w:val="2"/>
            <w:vAlign w:val="center"/>
          </w:tcPr>
          <w:p w14:paraId="400118A9">
            <w:pPr>
              <w:snapToGrid w:val="0"/>
              <w:ind w:firstLine="562"/>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3209" w:type="dxa"/>
            <w:tcBorders>
              <w:right w:val="single" w:color="auto" w:sz="2" w:space="0"/>
            </w:tcBorders>
            <w:vAlign w:val="center"/>
          </w:tcPr>
          <w:p w14:paraId="7FBE2802">
            <w:pPr>
              <w:snapToGrid w:val="0"/>
              <w:ind w:firstLine="562"/>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4662" w:type="dxa"/>
            <w:tcBorders>
              <w:left w:val="single" w:color="auto" w:sz="2" w:space="0"/>
            </w:tcBorders>
            <w:vAlign w:val="center"/>
          </w:tcPr>
          <w:p w14:paraId="47A822F1">
            <w:pPr>
              <w:snapToGrid w:val="0"/>
              <w:ind w:firstLine="562"/>
              <w:jc w:val="center"/>
              <w:rPr>
                <w:rFonts w:hint="eastAsia" w:ascii="宋体" w:hAnsi="宋体"/>
                <w:b/>
                <w:color w:val="auto"/>
                <w:szCs w:val="21"/>
                <w:highlight w:val="none"/>
              </w:rPr>
            </w:pPr>
            <w:r>
              <w:rPr>
                <w:rFonts w:hint="eastAsia" w:ascii="宋体" w:hAnsi="宋体"/>
                <w:b/>
                <w:color w:val="auto"/>
                <w:szCs w:val="21"/>
                <w:highlight w:val="none"/>
              </w:rPr>
              <w:t>编列内容</w:t>
            </w:r>
          </w:p>
        </w:tc>
      </w:tr>
      <w:tr w14:paraId="012A6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97" w:type="dxa"/>
            <w:gridSpan w:val="2"/>
            <w:vAlign w:val="center"/>
          </w:tcPr>
          <w:p w14:paraId="5544CA92">
            <w:pPr>
              <w:tabs>
                <w:tab w:val="left" w:pos="0"/>
              </w:tabs>
              <w:snapToGrid w:val="0"/>
              <w:ind w:right="540" w:rightChars="257"/>
              <w:jc w:val="right"/>
              <w:rPr>
                <w:rFonts w:hint="eastAsia" w:ascii="宋体" w:hAnsi="宋体"/>
                <w:color w:val="auto"/>
                <w:szCs w:val="21"/>
                <w:highlight w:val="none"/>
              </w:rPr>
            </w:pPr>
            <w:r>
              <w:rPr>
                <w:rFonts w:hint="eastAsia" w:ascii="宋体" w:hAnsi="宋体"/>
                <w:color w:val="auto"/>
                <w:szCs w:val="21"/>
                <w:highlight w:val="none"/>
              </w:rPr>
              <w:t>1</w:t>
            </w:r>
          </w:p>
        </w:tc>
        <w:tc>
          <w:tcPr>
            <w:tcW w:w="3209" w:type="dxa"/>
            <w:tcBorders>
              <w:right w:val="single" w:color="auto" w:sz="2" w:space="0"/>
            </w:tcBorders>
            <w:vAlign w:val="center"/>
          </w:tcPr>
          <w:p w14:paraId="4F5ED50F">
            <w:pPr>
              <w:snapToGrid w:val="0"/>
              <w:jc w:val="left"/>
              <w:rPr>
                <w:rFonts w:hint="eastAsia" w:ascii="宋体" w:hAnsi="宋体"/>
                <w:color w:val="auto"/>
                <w:szCs w:val="21"/>
                <w:highlight w:val="none"/>
              </w:rPr>
            </w:pPr>
            <w:r>
              <w:rPr>
                <w:rFonts w:hint="eastAsia" w:ascii="宋体" w:hAnsi="宋体"/>
                <w:bCs/>
                <w:color w:val="auto"/>
                <w:szCs w:val="21"/>
                <w:highlight w:val="none"/>
              </w:rPr>
              <w:t>资格审查方法、通过资格预审的人数</w:t>
            </w:r>
          </w:p>
        </w:tc>
        <w:tc>
          <w:tcPr>
            <w:tcW w:w="4662" w:type="dxa"/>
            <w:tcBorders>
              <w:left w:val="single" w:color="auto" w:sz="2" w:space="0"/>
            </w:tcBorders>
            <w:vAlign w:val="center"/>
          </w:tcPr>
          <w:p w14:paraId="026314A9">
            <w:pPr>
              <w:snapToGrid w:val="0"/>
              <w:jc w:val="left"/>
              <w:rPr>
                <w:rFonts w:hint="eastAsia" w:ascii="宋体" w:hAnsi="宋体"/>
                <w:color w:val="auto"/>
                <w:szCs w:val="21"/>
                <w:highlight w:val="none"/>
              </w:rPr>
            </w:pPr>
            <w:bookmarkStart w:id="120" w:name="_Hlk194590237"/>
            <w:r>
              <w:rPr>
                <w:rFonts w:hint="eastAsia" w:ascii="宋体" w:hAnsi="宋体"/>
                <w:color w:val="auto"/>
                <w:szCs w:val="21"/>
                <w:highlight w:val="none"/>
              </w:rPr>
              <w:t>详见资格预审公告</w:t>
            </w:r>
            <w:bookmarkEnd w:id="120"/>
          </w:p>
        </w:tc>
      </w:tr>
      <w:tr w14:paraId="7F33B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97" w:type="dxa"/>
            <w:gridSpan w:val="2"/>
            <w:vAlign w:val="center"/>
          </w:tcPr>
          <w:p w14:paraId="3B3B946E">
            <w:pPr>
              <w:snapToGrid w:val="0"/>
              <w:ind w:left="1" w:leftChars="-95" w:hanging="200" w:hangingChars="95"/>
              <w:jc w:val="center"/>
              <w:rPr>
                <w:rFonts w:hint="eastAsia" w:ascii="宋体" w:hAnsi="宋体"/>
                <w:color w:val="auto"/>
                <w:szCs w:val="21"/>
                <w:highlight w:val="none"/>
              </w:rPr>
            </w:pPr>
            <w:r>
              <w:rPr>
                <w:rFonts w:hint="eastAsia" w:ascii="宋体" w:hAnsi="宋体"/>
                <w:b/>
                <w:color w:val="auto"/>
                <w:szCs w:val="21"/>
                <w:highlight w:val="none"/>
              </w:rPr>
              <w:t>条款号</w:t>
            </w:r>
          </w:p>
        </w:tc>
        <w:tc>
          <w:tcPr>
            <w:tcW w:w="3209" w:type="dxa"/>
            <w:tcBorders>
              <w:right w:val="single" w:color="auto" w:sz="2" w:space="0"/>
            </w:tcBorders>
            <w:vAlign w:val="center"/>
          </w:tcPr>
          <w:p w14:paraId="19CC590A">
            <w:pPr>
              <w:snapToGrid w:val="0"/>
              <w:jc w:val="center"/>
              <w:rPr>
                <w:rFonts w:hint="eastAsia" w:ascii="宋体" w:hAnsi="宋体"/>
                <w:color w:val="auto"/>
                <w:szCs w:val="21"/>
                <w:highlight w:val="none"/>
              </w:rPr>
            </w:pPr>
            <w:r>
              <w:rPr>
                <w:rFonts w:hint="eastAsia" w:ascii="宋体" w:hAnsi="宋体"/>
                <w:b/>
                <w:color w:val="auto"/>
                <w:szCs w:val="21"/>
                <w:highlight w:val="none"/>
              </w:rPr>
              <w:t>审查因素</w:t>
            </w:r>
          </w:p>
        </w:tc>
        <w:tc>
          <w:tcPr>
            <w:tcW w:w="4662" w:type="dxa"/>
            <w:tcBorders>
              <w:left w:val="single" w:color="auto" w:sz="2" w:space="0"/>
            </w:tcBorders>
            <w:vAlign w:val="center"/>
          </w:tcPr>
          <w:p w14:paraId="2940FA1A">
            <w:pPr>
              <w:snapToGrid w:val="0"/>
              <w:jc w:val="center"/>
              <w:rPr>
                <w:rFonts w:hint="eastAsia" w:ascii="宋体" w:hAnsi="宋体"/>
                <w:color w:val="auto"/>
                <w:szCs w:val="21"/>
                <w:highlight w:val="none"/>
              </w:rPr>
            </w:pPr>
            <w:r>
              <w:rPr>
                <w:rFonts w:hint="eastAsia" w:ascii="宋体" w:hAnsi="宋体"/>
                <w:b/>
                <w:color w:val="auto"/>
                <w:szCs w:val="21"/>
                <w:highlight w:val="none"/>
              </w:rPr>
              <w:t>审查标准</w:t>
            </w:r>
          </w:p>
        </w:tc>
      </w:tr>
      <w:tr w14:paraId="383EF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restart"/>
            <w:vAlign w:val="center"/>
          </w:tcPr>
          <w:p w14:paraId="2080261C">
            <w:pPr>
              <w:tabs>
                <w:tab w:val="left" w:pos="630"/>
              </w:tabs>
              <w:snapToGrid w:val="0"/>
              <w:ind w:leftChars="-95" w:hanging="199" w:hangingChars="95"/>
              <w:jc w:val="center"/>
              <w:rPr>
                <w:rFonts w:hint="eastAsia" w:ascii="宋体" w:hAnsi="宋体"/>
                <w:color w:val="auto"/>
                <w:szCs w:val="21"/>
                <w:highlight w:val="none"/>
              </w:rPr>
            </w:pPr>
            <w:r>
              <w:rPr>
                <w:rFonts w:hint="eastAsia" w:ascii="宋体" w:hAnsi="宋体"/>
                <w:color w:val="auto"/>
                <w:szCs w:val="21"/>
                <w:highlight w:val="none"/>
              </w:rPr>
              <w:t>2.1</w:t>
            </w:r>
          </w:p>
        </w:tc>
        <w:tc>
          <w:tcPr>
            <w:tcW w:w="676" w:type="dxa"/>
            <w:vMerge w:val="restart"/>
            <w:vAlign w:val="center"/>
          </w:tcPr>
          <w:p w14:paraId="546448A1">
            <w:pPr>
              <w:tabs>
                <w:tab w:val="left" w:pos="420"/>
              </w:tabs>
              <w:snapToGrid w:val="0"/>
              <w:ind w:leftChars="-95" w:hanging="199" w:hangingChars="95"/>
              <w:jc w:val="center"/>
              <w:rPr>
                <w:rFonts w:hint="eastAsia" w:ascii="宋体" w:hAnsi="宋体"/>
                <w:color w:val="auto"/>
                <w:szCs w:val="21"/>
                <w:highlight w:val="none"/>
              </w:rPr>
            </w:pPr>
            <w:r>
              <w:rPr>
                <w:rFonts w:hint="eastAsia" w:ascii="宋体" w:hAnsi="宋体"/>
                <w:color w:val="auto"/>
                <w:szCs w:val="21"/>
                <w:highlight w:val="none"/>
              </w:rPr>
              <w:t xml:space="preserve"> 初步</w:t>
            </w:r>
          </w:p>
          <w:p w14:paraId="7F86586E">
            <w:pPr>
              <w:tabs>
                <w:tab w:val="left" w:pos="420"/>
              </w:tabs>
              <w:snapToGrid w:val="0"/>
              <w:ind w:leftChars="-95" w:hanging="199" w:hangingChars="95"/>
              <w:jc w:val="center"/>
              <w:rPr>
                <w:rFonts w:hint="eastAsia" w:ascii="宋体" w:hAnsi="宋体"/>
                <w:color w:val="auto"/>
                <w:szCs w:val="21"/>
                <w:highlight w:val="none"/>
              </w:rPr>
            </w:pPr>
            <w:r>
              <w:rPr>
                <w:rFonts w:hint="eastAsia" w:ascii="宋体" w:hAnsi="宋体"/>
                <w:color w:val="auto"/>
                <w:szCs w:val="21"/>
                <w:highlight w:val="none"/>
              </w:rPr>
              <w:t xml:space="preserve"> 审查</w:t>
            </w:r>
          </w:p>
          <w:p w14:paraId="59049DC7">
            <w:pPr>
              <w:tabs>
                <w:tab w:val="left" w:pos="420"/>
              </w:tabs>
              <w:snapToGrid w:val="0"/>
              <w:ind w:leftChars="-95" w:hanging="199" w:hangingChars="95"/>
              <w:jc w:val="center"/>
              <w:rPr>
                <w:rFonts w:hint="eastAsia" w:ascii="宋体" w:hAnsi="宋体"/>
                <w:color w:val="auto"/>
                <w:szCs w:val="21"/>
                <w:highlight w:val="none"/>
              </w:rPr>
            </w:pPr>
            <w:r>
              <w:rPr>
                <w:rFonts w:hint="eastAsia" w:ascii="宋体" w:hAnsi="宋体"/>
                <w:color w:val="auto"/>
                <w:szCs w:val="21"/>
                <w:highlight w:val="none"/>
              </w:rPr>
              <w:t xml:space="preserve"> 标准</w:t>
            </w:r>
          </w:p>
        </w:tc>
        <w:tc>
          <w:tcPr>
            <w:tcW w:w="3209" w:type="dxa"/>
            <w:tcBorders>
              <w:right w:val="single" w:color="auto" w:sz="2" w:space="0"/>
            </w:tcBorders>
            <w:vAlign w:val="center"/>
          </w:tcPr>
          <w:p w14:paraId="3A1E56BD">
            <w:pPr>
              <w:snapToGrid w:val="0"/>
              <w:jc w:val="left"/>
              <w:rPr>
                <w:rFonts w:hint="eastAsia" w:ascii="宋体" w:hAnsi="宋体"/>
                <w:color w:val="auto"/>
                <w:szCs w:val="21"/>
                <w:highlight w:val="none"/>
              </w:rPr>
            </w:pPr>
            <w:r>
              <w:rPr>
                <w:rFonts w:hint="eastAsia" w:ascii="宋体" w:hAnsi="宋体"/>
                <w:color w:val="auto"/>
                <w:szCs w:val="21"/>
                <w:highlight w:val="none"/>
              </w:rPr>
              <w:t>申请人名称</w:t>
            </w:r>
          </w:p>
        </w:tc>
        <w:tc>
          <w:tcPr>
            <w:tcW w:w="4662" w:type="dxa"/>
            <w:tcBorders>
              <w:left w:val="single" w:color="auto" w:sz="2" w:space="0"/>
            </w:tcBorders>
            <w:vAlign w:val="center"/>
          </w:tcPr>
          <w:p w14:paraId="6FB3D91F">
            <w:pPr>
              <w:snapToGrid w:val="0"/>
              <w:jc w:val="left"/>
              <w:rPr>
                <w:rFonts w:hint="eastAsia" w:ascii="宋体" w:hAnsi="宋体"/>
                <w:color w:val="auto"/>
                <w:szCs w:val="21"/>
                <w:highlight w:val="none"/>
              </w:rPr>
            </w:pPr>
            <w:r>
              <w:rPr>
                <w:rFonts w:hint="eastAsia" w:ascii="宋体" w:hAnsi="宋体"/>
                <w:color w:val="auto"/>
                <w:szCs w:val="21"/>
                <w:highlight w:val="none"/>
              </w:rPr>
              <w:t>与营业执照、资质证书、安全生产许可证上的名称一致；省外企业名称与在“湖南省建筑市场监管公共服务平台”</w:t>
            </w:r>
            <w:r>
              <w:rPr>
                <w:rFonts w:hint="eastAsia" w:ascii="宋体" w:hAnsi="宋体"/>
                <w:color w:val="auto"/>
                <w:szCs w:val="21"/>
                <w:highlight w:val="none"/>
                <w:lang w:val="en-US" w:eastAsia="zh-CN"/>
              </w:rPr>
              <w:t>报送信息</w:t>
            </w:r>
            <w:r>
              <w:rPr>
                <w:rFonts w:hint="eastAsia" w:ascii="宋体" w:hAnsi="宋体"/>
                <w:color w:val="auto"/>
                <w:szCs w:val="21"/>
                <w:highlight w:val="none"/>
              </w:rPr>
              <w:t>的一致，（单位名称或证书正在变更过程中的应提供相应证明材料）。</w:t>
            </w:r>
          </w:p>
        </w:tc>
      </w:tr>
      <w:tr w14:paraId="0F148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01B1A176">
            <w:pPr>
              <w:snapToGrid w:val="0"/>
              <w:ind w:firstLine="560"/>
              <w:jc w:val="center"/>
              <w:rPr>
                <w:rFonts w:hint="eastAsia" w:ascii="宋体" w:hAnsi="宋体"/>
                <w:color w:val="auto"/>
                <w:szCs w:val="21"/>
                <w:highlight w:val="none"/>
              </w:rPr>
            </w:pPr>
          </w:p>
        </w:tc>
        <w:tc>
          <w:tcPr>
            <w:tcW w:w="676" w:type="dxa"/>
            <w:vMerge w:val="continue"/>
            <w:vAlign w:val="center"/>
          </w:tcPr>
          <w:p w14:paraId="6AE258B8">
            <w:pPr>
              <w:snapToGrid w:val="0"/>
              <w:ind w:firstLine="560"/>
              <w:rPr>
                <w:rFonts w:hint="eastAsia" w:ascii="宋体" w:hAnsi="宋体"/>
                <w:color w:val="auto"/>
                <w:szCs w:val="21"/>
                <w:highlight w:val="none"/>
              </w:rPr>
            </w:pPr>
          </w:p>
        </w:tc>
        <w:tc>
          <w:tcPr>
            <w:tcW w:w="3209" w:type="dxa"/>
            <w:tcBorders>
              <w:right w:val="single" w:color="auto" w:sz="2" w:space="0"/>
            </w:tcBorders>
            <w:vAlign w:val="center"/>
          </w:tcPr>
          <w:p w14:paraId="132252D4">
            <w:pPr>
              <w:snapToGrid w:val="0"/>
              <w:jc w:val="left"/>
              <w:rPr>
                <w:rFonts w:hint="eastAsia" w:ascii="宋体" w:hAnsi="宋体"/>
                <w:color w:val="auto"/>
                <w:szCs w:val="21"/>
                <w:highlight w:val="none"/>
              </w:rPr>
            </w:pPr>
            <w:r>
              <w:rPr>
                <w:rFonts w:hint="eastAsia" w:ascii="宋体" w:hAnsi="宋体"/>
                <w:color w:val="auto"/>
                <w:szCs w:val="21"/>
                <w:highlight w:val="none"/>
              </w:rPr>
              <w:t>法定代表人身份证明</w:t>
            </w:r>
          </w:p>
        </w:tc>
        <w:tc>
          <w:tcPr>
            <w:tcW w:w="4662" w:type="dxa"/>
            <w:tcBorders>
              <w:left w:val="single" w:color="auto" w:sz="2" w:space="0"/>
            </w:tcBorders>
            <w:vAlign w:val="center"/>
          </w:tcPr>
          <w:p w14:paraId="1B0E1B63">
            <w:pPr>
              <w:snapToGrid w:val="0"/>
              <w:jc w:val="left"/>
              <w:rPr>
                <w:rFonts w:hint="eastAsia" w:ascii="宋体" w:hAnsi="宋体"/>
                <w:color w:val="auto"/>
                <w:szCs w:val="21"/>
                <w:highlight w:val="none"/>
              </w:rPr>
            </w:pPr>
            <w:r>
              <w:rPr>
                <w:rFonts w:hint="eastAsia" w:ascii="宋体" w:hAnsi="宋体"/>
                <w:color w:val="auto"/>
                <w:szCs w:val="21"/>
                <w:highlight w:val="none"/>
              </w:rPr>
              <w:t>提交法定代表人身份证明</w:t>
            </w:r>
          </w:p>
        </w:tc>
      </w:tr>
      <w:tr w14:paraId="33D62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5DBB7FB4">
            <w:pPr>
              <w:snapToGrid w:val="0"/>
              <w:ind w:firstLine="560"/>
              <w:jc w:val="center"/>
              <w:rPr>
                <w:rFonts w:hint="eastAsia" w:ascii="宋体" w:hAnsi="宋体"/>
                <w:color w:val="auto"/>
                <w:szCs w:val="21"/>
                <w:highlight w:val="none"/>
              </w:rPr>
            </w:pPr>
          </w:p>
        </w:tc>
        <w:tc>
          <w:tcPr>
            <w:tcW w:w="676" w:type="dxa"/>
            <w:vMerge w:val="continue"/>
            <w:vAlign w:val="center"/>
          </w:tcPr>
          <w:p w14:paraId="4636E438">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77491749">
            <w:pPr>
              <w:snapToGrid w:val="0"/>
              <w:jc w:val="left"/>
              <w:rPr>
                <w:rFonts w:hint="eastAsia" w:ascii="宋体" w:hAnsi="宋体"/>
                <w:color w:val="auto"/>
                <w:szCs w:val="21"/>
                <w:highlight w:val="none"/>
              </w:rPr>
            </w:pPr>
            <w:r>
              <w:rPr>
                <w:rFonts w:hint="eastAsia" w:ascii="宋体" w:hAnsi="宋体"/>
                <w:color w:val="auto"/>
                <w:szCs w:val="21"/>
                <w:highlight w:val="none"/>
              </w:rPr>
              <w:t>授权委托书（如委托）</w:t>
            </w:r>
          </w:p>
        </w:tc>
        <w:tc>
          <w:tcPr>
            <w:tcW w:w="4662" w:type="dxa"/>
            <w:tcBorders>
              <w:left w:val="single" w:color="auto" w:sz="2" w:space="0"/>
            </w:tcBorders>
            <w:vAlign w:val="center"/>
          </w:tcPr>
          <w:p w14:paraId="4147EA4F">
            <w:pPr>
              <w:snapToGrid w:val="0"/>
              <w:jc w:val="left"/>
              <w:rPr>
                <w:rFonts w:hint="eastAsia" w:ascii="宋体" w:hAnsi="宋体"/>
                <w:color w:val="auto"/>
                <w:szCs w:val="21"/>
                <w:highlight w:val="none"/>
              </w:rPr>
            </w:pPr>
            <w:r>
              <w:rPr>
                <w:rFonts w:hint="eastAsia" w:ascii="宋体" w:hAnsi="宋体"/>
                <w:color w:val="auto"/>
                <w:szCs w:val="21"/>
                <w:highlight w:val="none"/>
              </w:rPr>
              <w:t>提交授权委托书</w:t>
            </w:r>
          </w:p>
        </w:tc>
      </w:tr>
      <w:tr w14:paraId="6A912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2C77D3EC">
            <w:pPr>
              <w:snapToGrid w:val="0"/>
              <w:ind w:firstLine="560"/>
              <w:jc w:val="center"/>
              <w:rPr>
                <w:rFonts w:hint="eastAsia" w:ascii="宋体" w:hAnsi="宋体"/>
                <w:color w:val="auto"/>
                <w:szCs w:val="21"/>
                <w:highlight w:val="none"/>
              </w:rPr>
            </w:pPr>
          </w:p>
        </w:tc>
        <w:tc>
          <w:tcPr>
            <w:tcW w:w="676" w:type="dxa"/>
            <w:vMerge w:val="continue"/>
            <w:vAlign w:val="center"/>
          </w:tcPr>
          <w:p w14:paraId="65F45E95">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29DD26D7">
            <w:pPr>
              <w:snapToGrid w:val="0"/>
              <w:jc w:val="left"/>
              <w:rPr>
                <w:rFonts w:hint="eastAsia" w:ascii="宋体" w:hAnsi="宋体"/>
                <w:color w:val="auto"/>
                <w:szCs w:val="21"/>
                <w:highlight w:val="none"/>
              </w:rPr>
            </w:pPr>
            <w:r>
              <w:rPr>
                <w:rFonts w:hint="eastAsia" w:ascii="宋体" w:hAnsi="宋体"/>
                <w:color w:val="auto"/>
                <w:szCs w:val="21"/>
                <w:highlight w:val="none"/>
              </w:rPr>
              <w:t>联合体协议书（如有）</w:t>
            </w:r>
          </w:p>
        </w:tc>
        <w:tc>
          <w:tcPr>
            <w:tcW w:w="4662" w:type="dxa"/>
            <w:tcBorders>
              <w:left w:val="single" w:color="auto" w:sz="2" w:space="0"/>
            </w:tcBorders>
            <w:vAlign w:val="center"/>
          </w:tcPr>
          <w:p w14:paraId="5D0E49AB">
            <w:pPr>
              <w:snapToGrid w:val="0"/>
              <w:jc w:val="left"/>
              <w:rPr>
                <w:rFonts w:hint="eastAsia" w:ascii="宋体" w:hAnsi="宋体"/>
                <w:color w:val="auto"/>
                <w:szCs w:val="21"/>
                <w:highlight w:val="none"/>
              </w:rPr>
            </w:pPr>
            <w:r>
              <w:rPr>
                <w:rFonts w:hint="eastAsia" w:ascii="宋体" w:hAnsi="宋体"/>
                <w:bCs/>
                <w:color w:val="auto"/>
                <w:szCs w:val="21"/>
                <w:highlight w:val="none"/>
              </w:rPr>
              <w:t>联合体申请人提交联合体协议书，并明确联合体牵头人</w:t>
            </w:r>
          </w:p>
        </w:tc>
      </w:tr>
      <w:tr w14:paraId="1DB15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5BCD7FFB">
            <w:pPr>
              <w:snapToGrid w:val="0"/>
              <w:ind w:firstLine="560"/>
              <w:jc w:val="center"/>
              <w:rPr>
                <w:rFonts w:hint="eastAsia" w:ascii="宋体" w:hAnsi="宋体"/>
                <w:color w:val="auto"/>
                <w:szCs w:val="21"/>
                <w:highlight w:val="none"/>
              </w:rPr>
            </w:pPr>
          </w:p>
        </w:tc>
        <w:tc>
          <w:tcPr>
            <w:tcW w:w="676" w:type="dxa"/>
            <w:vMerge w:val="continue"/>
            <w:vAlign w:val="center"/>
          </w:tcPr>
          <w:p w14:paraId="6E30171E">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3B99F42C">
            <w:pPr>
              <w:snapToGrid w:val="0"/>
              <w:jc w:val="left"/>
              <w:rPr>
                <w:rFonts w:hint="eastAsia" w:ascii="宋体" w:hAnsi="宋体"/>
                <w:color w:val="auto"/>
                <w:szCs w:val="21"/>
                <w:highlight w:val="none"/>
              </w:rPr>
            </w:pPr>
            <w:r>
              <w:rPr>
                <w:rFonts w:hint="eastAsia" w:ascii="宋体" w:hAnsi="宋体"/>
                <w:color w:val="auto"/>
                <w:szCs w:val="21"/>
                <w:highlight w:val="none"/>
              </w:rPr>
              <w:t>资格预审申请文件签字盖章</w:t>
            </w:r>
          </w:p>
        </w:tc>
        <w:tc>
          <w:tcPr>
            <w:tcW w:w="4662" w:type="dxa"/>
            <w:tcBorders>
              <w:left w:val="single" w:color="auto" w:sz="2" w:space="0"/>
            </w:tcBorders>
            <w:vAlign w:val="center"/>
          </w:tcPr>
          <w:p w14:paraId="49868368">
            <w:pPr>
              <w:snapToGrid w:val="0"/>
              <w:jc w:val="left"/>
              <w:rPr>
                <w:rFonts w:hint="eastAsia" w:ascii="宋体" w:hAnsi="宋体"/>
                <w:color w:val="auto"/>
                <w:szCs w:val="21"/>
                <w:highlight w:val="none"/>
              </w:rPr>
            </w:pPr>
            <w:r>
              <w:rPr>
                <w:rFonts w:hint="eastAsia" w:asciiTheme="minorEastAsia" w:hAnsiTheme="minorEastAsia" w:eastAsiaTheme="minorEastAsia" w:cstheme="minorEastAsia"/>
                <w:bCs/>
                <w:color w:val="auto"/>
                <w:szCs w:val="21"/>
                <w:highlight w:val="none"/>
              </w:rPr>
              <w:t>符合第二章“申请人须知”第3.3.1项规定</w:t>
            </w:r>
          </w:p>
        </w:tc>
      </w:tr>
      <w:tr w14:paraId="756FC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restart"/>
            <w:vAlign w:val="center"/>
          </w:tcPr>
          <w:p w14:paraId="4EEF856B">
            <w:pPr>
              <w:snapToGrid w:val="0"/>
              <w:jc w:val="center"/>
              <w:rPr>
                <w:rFonts w:hint="eastAsia" w:ascii="宋体" w:hAnsi="宋体"/>
                <w:color w:val="auto"/>
                <w:szCs w:val="21"/>
                <w:highlight w:val="none"/>
              </w:rPr>
            </w:pPr>
            <w:r>
              <w:rPr>
                <w:rFonts w:hint="eastAsia" w:ascii="宋体" w:hAnsi="宋体"/>
                <w:color w:val="auto"/>
                <w:szCs w:val="21"/>
                <w:highlight w:val="none"/>
              </w:rPr>
              <w:t>2.2</w:t>
            </w:r>
          </w:p>
        </w:tc>
        <w:tc>
          <w:tcPr>
            <w:tcW w:w="676" w:type="dxa"/>
            <w:vMerge w:val="restart"/>
            <w:vAlign w:val="center"/>
          </w:tcPr>
          <w:p w14:paraId="518F6FE8">
            <w:pPr>
              <w:snapToGrid w:val="0"/>
              <w:rPr>
                <w:rFonts w:hint="eastAsia" w:ascii="宋体" w:hAnsi="宋体"/>
                <w:color w:val="auto"/>
                <w:szCs w:val="21"/>
                <w:highlight w:val="none"/>
              </w:rPr>
            </w:pPr>
            <w:r>
              <w:rPr>
                <w:rFonts w:hint="eastAsia" w:ascii="宋体" w:hAnsi="宋体"/>
                <w:color w:val="auto"/>
                <w:szCs w:val="21"/>
                <w:highlight w:val="none"/>
              </w:rPr>
              <w:t>详细审查标准</w:t>
            </w:r>
          </w:p>
        </w:tc>
        <w:tc>
          <w:tcPr>
            <w:tcW w:w="3209" w:type="dxa"/>
            <w:tcBorders>
              <w:right w:val="single" w:color="auto" w:sz="2" w:space="0"/>
            </w:tcBorders>
            <w:vAlign w:val="center"/>
          </w:tcPr>
          <w:p w14:paraId="241282C4">
            <w:pPr>
              <w:snapToGrid w:val="0"/>
              <w:jc w:val="left"/>
              <w:rPr>
                <w:rFonts w:hint="eastAsia" w:ascii="宋体" w:hAnsi="宋体"/>
                <w:color w:val="auto"/>
                <w:szCs w:val="21"/>
                <w:highlight w:val="none"/>
              </w:rPr>
            </w:pPr>
            <w:r>
              <w:rPr>
                <w:rFonts w:hint="eastAsia" w:ascii="宋体" w:hAnsi="宋体"/>
                <w:color w:val="auto"/>
                <w:szCs w:val="21"/>
                <w:highlight w:val="none"/>
              </w:rPr>
              <w:t>营业执照</w:t>
            </w:r>
          </w:p>
        </w:tc>
        <w:tc>
          <w:tcPr>
            <w:tcW w:w="4662" w:type="dxa"/>
            <w:tcBorders>
              <w:left w:val="single" w:color="auto" w:sz="2" w:space="0"/>
            </w:tcBorders>
            <w:vAlign w:val="center"/>
          </w:tcPr>
          <w:p w14:paraId="391375C3">
            <w:pPr>
              <w:snapToGrid w:val="0"/>
              <w:jc w:val="left"/>
              <w:rPr>
                <w:rFonts w:hint="eastAsia" w:ascii="宋体" w:hAnsi="宋体"/>
                <w:color w:val="auto"/>
                <w:szCs w:val="21"/>
                <w:highlight w:val="none"/>
              </w:rPr>
            </w:pPr>
            <w:r>
              <w:rPr>
                <w:rFonts w:hint="eastAsia" w:ascii="宋体" w:hAnsi="宋体"/>
                <w:color w:val="auto"/>
                <w:szCs w:val="21"/>
                <w:highlight w:val="none"/>
              </w:rPr>
              <w:t>具备有效的营业执照</w:t>
            </w:r>
          </w:p>
        </w:tc>
      </w:tr>
      <w:tr w14:paraId="396F6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273E0546">
            <w:pPr>
              <w:snapToGrid w:val="0"/>
              <w:ind w:firstLine="560"/>
              <w:jc w:val="center"/>
              <w:rPr>
                <w:rFonts w:hint="eastAsia" w:ascii="宋体" w:hAnsi="宋体"/>
                <w:color w:val="auto"/>
                <w:szCs w:val="21"/>
                <w:highlight w:val="none"/>
              </w:rPr>
            </w:pPr>
          </w:p>
        </w:tc>
        <w:tc>
          <w:tcPr>
            <w:tcW w:w="676" w:type="dxa"/>
            <w:vMerge w:val="continue"/>
            <w:vAlign w:val="center"/>
          </w:tcPr>
          <w:p w14:paraId="1F86003D">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2465D148">
            <w:pPr>
              <w:snapToGrid w:val="0"/>
              <w:jc w:val="left"/>
              <w:rPr>
                <w:rFonts w:hint="eastAsia" w:ascii="宋体" w:hAnsi="宋体"/>
                <w:color w:val="auto"/>
                <w:szCs w:val="21"/>
                <w:highlight w:val="none"/>
              </w:rPr>
            </w:pPr>
            <w:r>
              <w:rPr>
                <w:rFonts w:hint="eastAsia" w:ascii="宋体" w:hAnsi="宋体"/>
                <w:color w:val="auto"/>
                <w:szCs w:val="21"/>
                <w:highlight w:val="none"/>
              </w:rPr>
              <w:t>资质要求</w:t>
            </w:r>
          </w:p>
        </w:tc>
        <w:tc>
          <w:tcPr>
            <w:tcW w:w="4662" w:type="dxa"/>
            <w:tcBorders>
              <w:left w:val="single" w:color="auto" w:sz="2" w:space="0"/>
            </w:tcBorders>
            <w:vAlign w:val="center"/>
          </w:tcPr>
          <w:p w14:paraId="20DA5B7E">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26961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04522049">
            <w:pPr>
              <w:snapToGrid w:val="0"/>
              <w:ind w:firstLine="560"/>
              <w:jc w:val="center"/>
              <w:rPr>
                <w:rFonts w:hint="eastAsia" w:ascii="宋体" w:hAnsi="宋体"/>
                <w:color w:val="auto"/>
                <w:szCs w:val="21"/>
                <w:highlight w:val="none"/>
              </w:rPr>
            </w:pPr>
          </w:p>
        </w:tc>
        <w:tc>
          <w:tcPr>
            <w:tcW w:w="676" w:type="dxa"/>
            <w:vMerge w:val="continue"/>
            <w:vAlign w:val="center"/>
          </w:tcPr>
          <w:p w14:paraId="674B18AE">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11498E4C">
            <w:pPr>
              <w:snapToGrid w:val="0"/>
              <w:jc w:val="left"/>
              <w:rPr>
                <w:rFonts w:hint="eastAsia" w:ascii="宋体" w:hAnsi="宋体"/>
                <w:color w:val="auto"/>
                <w:szCs w:val="21"/>
                <w:highlight w:val="none"/>
              </w:rPr>
            </w:pPr>
            <w:r>
              <w:rPr>
                <w:rFonts w:hint="eastAsia" w:ascii="宋体" w:hAnsi="宋体"/>
                <w:color w:val="auto"/>
                <w:szCs w:val="21"/>
                <w:highlight w:val="none"/>
              </w:rPr>
              <w:t>安全生产许可证</w:t>
            </w:r>
          </w:p>
        </w:tc>
        <w:tc>
          <w:tcPr>
            <w:tcW w:w="4662" w:type="dxa"/>
            <w:tcBorders>
              <w:left w:val="single" w:color="auto" w:sz="2" w:space="0"/>
            </w:tcBorders>
            <w:vAlign w:val="center"/>
          </w:tcPr>
          <w:p w14:paraId="64CCE4F9">
            <w:pPr>
              <w:snapToGrid w:val="0"/>
              <w:jc w:val="left"/>
              <w:rPr>
                <w:rFonts w:hint="eastAsia" w:ascii="宋体" w:hAnsi="宋体"/>
                <w:color w:val="auto"/>
                <w:szCs w:val="21"/>
                <w:highlight w:val="none"/>
              </w:rPr>
            </w:pPr>
            <w:r>
              <w:rPr>
                <w:rFonts w:hint="eastAsia" w:ascii="宋体" w:hAnsi="宋体"/>
                <w:color w:val="auto"/>
                <w:szCs w:val="21"/>
                <w:highlight w:val="none"/>
              </w:rPr>
              <w:t>具备有效的安全生产许可证</w:t>
            </w:r>
          </w:p>
        </w:tc>
      </w:tr>
      <w:tr w14:paraId="7E81D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70BB3A80">
            <w:pPr>
              <w:snapToGrid w:val="0"/>
              <w:ind w:firstLine="560"/>
              <w:jc w:val="center"/>
              <w:rPr>
                <w:rFonts w:hint="eastAsia" w:ascii="宋体" w:hAnsi="宋体"/>
                <w:color w:val="auto"/>
                <w:szCs w:val="21"/>
                <w:highlight w:val="none"/>
              </w:rPr>
            </w:pPr>
          </w:p>
        </w:tc>
        <w:tc>
          <w:tcPr>
            <w:tcW w:w="676" w:type="dxa"/>
            <w:vMerge w:val="continue"/>
            <w:vAlign w:val="center"/>
          </w:tcPr>
          <w:p w14:paraId="1371EBDB">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73AE9FED">
            <w:pPr>
              <w:snapToGrid w:val="0"/>
              <w:jc w:val="left"/>
              <w:rPr>
                <w:rFonts w:hint="eastAsia" w:ascii="宋体" w:hAnsi="宋体"/>
                <w:color w:val="auto"/>
                <w:szCs w:val="21"/>
                <w:highlight w:val="none"/>
              </w:rPr>
            </w:pPr>
            <w:r>
              <w:rPr>
                <w:rFonts w:hint="eastAsia" w:ascii="宋体" w:hAnsi="宋体"/>
                <w:color w:val="auto"/>
                <w:szCs w:val="21"/>
                <w:highlight w:val="none"/>
              </w:rPr>
              <w:t>类似工程业绩（如有）</w:t>
            </w:r>
          </w:p>
        </w:tc>
        <w:tc>
          <w:tcPr>
            <w:tcW w:w="4662" w:type="dxa"/>
            <w:tcBorders>
              <w:left w:val="single" w:color="auto" w:sz="2" w:space="0"/>
            </w:tcBorders>
            <w:vAlign w:val="center"/>
          </w:tcPr>
          <w:p w14:paraId="48EA3070">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7C93E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517E5743">
            <w:pPr>
              <w:snapToGrid w:val="0"/>
              <w:ind w:firstLine="560"/>
              <w:jc w:val="center"/>
              <w:rPr>
                <w:rFonts w:hint="eastAsia" w:ascii="宋体" w:hAnsi="宋体"/>
                <w:color w:val="auto"/>
                <w:szCs w:val="21"/>
                <w:highlight w:val="none"/>
              </w:rPr>
            </w:pPr>
          </w:p>
        </w:tc>
        <w:tc>
          <w:tcPr>
            <w:tcW w:w="676" w:type="dxa"/>
            <w:vMerge w:val="continue"/>
            <w:vAlign w:val="center"/>
          </w:tcPr>
          <w:p w14:paraId="22F5F000">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6FE9C509">
            <w:pPr>
              <w:snapToGrid w:val="0"/>
              <w:jc w:val="left"/>
              <w:rPr>
                <w:rFonts w:hint="eastAsia" w:ascii="宋体" w:hAnsi="宋体"/>
                <w:color w:val="auto"/>
                <w:szCs w:val="21"/>
                <w:highlight w:val="none"/>
              </w:rPr>
            </w:pPr>
            <w:r>
              <w:rPr>
                <w:rFonts w:hint="eastAsia" w:ascii="宋体" w:hAnsi="宋体"/>
                <w:color w:val="auto"/>
                <w:szCs w:val="21"/>
                <w:highlight w:val="none"/>
              </w:rPr>
              <w:t>拟任项目经理资格</w:t>
            </w:r>
          </w:p>
        </w:tc>
        <w:tc>
          <w:tcPr>
            <w:tcW w:w="4662" w:type="dxa"/>
            <w:tcBorders>
              <w:left w:val="single" w:color="auto" w:sz="2" w:space="0"/>
            </w:tcBorders>
            <w:vAlign w:val="center"/>
          </w:tcPr>
          <w:p w14:paraId="38CFA900">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53164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254F7532">
            <w:pPr>
              <w:snapToGrid w:val="0"/>
              <w:ind w:firstLine="560"/>
              <w:jc w:val="center"/>
              <w:rPr>
                <w:rFonts w:hint="eastAsia" w:ascii="宋体" w:hAnsi="宋体"/>
                <w:color w:val="auto"/>
                <w:szCs w:val="21"/>
                <w:highlight w:val="none"/>
              </w:rPr>
            </w:pPr>
          </w:p>
        </w:tc>
        <w:tc>
          <w:tcPr>
            <w:tcW w:w="676" w:type="dxa"/>
            <w:vMerge w:val="continue"/>
            <w:vAlign w:val="center"/>
          </w:tcPr>
          <w:p w14:paraId="7929882F">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48916CD8">
            <w:pPr>
              <w:snapToGrid w:val="0"/>
              <w:jc w:val="left"/>
              <w:rPr>
                <w:rFonts w:hint="eastAsia" w:ascii="宋体" w:hAnsi="宋体"/>
                <w:color w:val="auto"/>
                <w:szCs w:val="21"/>
                <w:highlight w:val="none"/>
              </w:rPr>
            </w:pPr>
            <w:r>
              <w:rPr>
                <w:rFonts w:hint="eastAsia" w:ascii="宋体" w:hAnsi="宋体"/>
                <w:bCs/>
                <w:color w:val="auto"/>
                <w:szCs w:val="21"/>
                <w:highlight w:val="none"/>
              </w:rPr>
              <w:t>联合体投标人（如有）</w:t>
            </w:r>
          </w:p>
        </w:tc>
        <w:tc>
          <w:tcPr>
            <w:tcW w:w="4662" w:type="dxa"/>
            <w:tcBorders>
              <w:left w:val="single" w:color="auto" w:sz="2" w:space="0"/>
            </w:tcBorders>
            <w:vAlign w:val="center"/>
          </w:tcPr>
          <w:p w14:paraId="63F5E1D4">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15007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18390737">
            <w:pPr>
              <w:snapToGrid w:val="0"/>
              <w:ind w:firstLine="560"/>
              <w:jc w:val="center"/>
              <w:rPr>
                <w:rFonts w:hint="eastAsia" w:ascii="宋体" w:hAnsi="宋体"/>
                <w:color w:val="auto"/>
                <w:szCs w:val="21"/>
                <w:highlight w:val="none"/>
              </w:rPr>
            </w:pPr>
          </w:p>
        </w:tc>
        <w:tc>
          <w:tcPr>
            <w:tcW w:w="676" w:type="dxa"/>
            <w:vMerge w:val="continue"/>
            <w:vAlign w:val="center"/>
          </w:tcPr>
          <w:p w14:paraId="1843A7D4">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1C891127">
            <w:pPr>
              <w:snapToGrid w:val="0"/>
              <w:jc w:val="left"/>
              <w:rPr>
                <w:rFonts w:hint="eastAsia" w:ascii="宋体" w:hAnsi="宋体"/>
                <w:bCs/>
                <w:color w:val="auto"/>
                <w:szCs w:val="21"/>
                <w:highlight w:val="none"/>
              </w:rPr>
            </w:pPr>
            <w:r>
              <w:rPr>
                <w:rFonts w:hint="eastAsia" w:ascii="宋体" w:hAnsi="宋体"/>
                <w:bCs/>
                <w:color w:val="auto"/>
                <w:szCs w:val="21"/>
                <w:highlight w:val="none"/>
              </w:rPr>
              <w:t>拟任项目经理在建情况</w:t>
            </w:r>
          </w:p>
        </w:tc>
        <w:tc>
          <w:tcPr>
            <w:tcW w:w="4662" w:type="dxa"/>
            <w:tcBorders>
              <w:left w:val="single" w:color="auto" w:sz="2" w:space="0"/>
            </w:tcBorders>
            <w:vAlign w:val="center"/>
          </w:tcPr>
          <w:p w14:paraId="40170C05">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4A148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679DE8E2">
            <w:pPr>
              <w:snapToGrid w:val="0"/>
              <w:ind w:firstLine="560"/>
              <w:jc w:val="center"/>
              <w:rPr>
                <w:rFonts w:hint="eastAsia" w:ascii="宋体" w:hAnsi="宋体"/>
                <w:color w:val="auto"/>
                <w:szCs w:val="21"/>
                <w:highlight w:val="none"/>
              </w:rPr>
            </w:pPr>
          </w:p>
        </w:tc>
        <w:tc>
          <w:tcPr>
            <w:tcW w:w="676" w:type="dxa"/>
            <w:vMerge w:val="continue"/>
            <w:vAlign w:val="center"/>
          </w:tcPr>
          <w:p w14:paraId="0DCE76E6">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495A21EE">
            <w:pPr>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省外入湘企业基本信息</w:t>
            </w:r>
            <w:r>
              <w:rPr>
                <w:rFonts w:hint="eastAsia" w:ascii="宋体" w:hAnsi="宋体"/>
                <w:color w:val="auto"/>
                <w:szCs w:val="21"/>
                <w:highlight w:val="none"/>
                <w:lang w:val="en-US" w:eastAsia="zh-CN"/>
              </w:rPr>
              <w:t>报送</w:t>
            </w:r>
          </w:p>
        </w:tc>
        <w:tc>
          <w:tcPr>
            <w:tcW w:w="4662" w:type="dxa"/>
            <w:tcBorders>
              <w:left w:val="single" w:color="auto" w:sz="2" w:space="0"/>
            </w:tcBorders>
            <w:vAlign w:val="center"/>
          </w:tcPr>
          <w:p w14:paraId="41B17250">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0541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shd w:val="clear" w:color="auto" w:fill="auto"/>
            <w:vAlign w:val="center"/>
          </w:tcPr>
          <w:p w14:paraId="3180677E">
            <w:pPr>
              <w:snapToGrid w:val="0"/>
              <w:ind w:left="1" w:leftChars="-95" w:hanging="200"/>
              <w:jc w:val="center"/>
              <w:rPr>
                <w:rFonts w:hint="eastAsia" w:ascii="宋体" w:hAnsi="宋体"/>
                <w:color w:val="auto"/>
                <w:szCs w:val="21"/>
                <w:highlight w:val="none"/>
              </w:rPr>
            </w:pPr>
            <w:r>
              <w:rPr>
                <w:rFonts w:hint="eastAsia" w:ascii="宋体" w:hAnsi="宋体"/>
                <w:color w:val="auto"/>
                <w:szCs w:val="21"/>
                <w:highlight w:val="none"/>
              </w:rPr>
              <w:t>3</w:t>
            </w:r>
          </w:p>
        </w:tc>
        <w:tc>
          <w:tcPr>
            <w:tcW w:w="3885" w:type="dxa"/>
            <w:gridSpan w:val="2"/>
            <w:tcBorders>
              <w:right w:val="single" w:color="auto" w:sz="2" w:space="0"/>
            </w:tcBorders>
            <w:shd w:val="clear" w:color="auto" w:fill="auto"/>
            <w:vAlign w:val="center"/>
          </w:tcPr>
          <w:p w14:paraId="0109E398">
            <w:pPr>
              <w:tabs>
                <w:tab w:val="left" w:pos="420"/>
              </w:tabs>
              <w:snapToGrid w:val="0"/>
              <w:ind w:firstLine="560"/>
              <w:jc w:val="center"/>
              <w:rPr>
                <w:rFonts w:hint="eastAsia" w:ascii="宋体" w:hAnsi="宋体"/>
                <w:color w:val="auto"/>
                <w:szCs w:val="21"/>
                <w:highlight w:val="none"/>
              </w:rPr>
            </w:pPr>
            <w:r>
              <w:rPr>
                <w:rFonts w:hint="eastAsia" w:ascii="宋体" w:hAnsi="宋体"/>
                <w:color w:val="auto"/>
                <w:szCs w:val="21"/>
                <w:highlight w:val="none"/>
              </w:rPr>
              <w:t>审查程序</w:t>
            </w:r>
          </w:p>
        </w:tc>
        <w:tc>
          <w:tcPr>
            <w:tcW w:w="4662" w:type="dxa"/>
            <w:tcBorders>
              <w:left w:val="single" w:color="auto" w:sz="2" w:space="0"/>
            </w:tcBorders>
            <w:shd w:val="clear" w:color="auto" w:fill="auto"/>
            <w:vAlign w:val="center"/>
          </w:tcPr>
          <w:p w14:paraId="54507351">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详见本章正文</w:t>
            </w:r>
          </w:p>
        </w:tc>
      </w:tr>
    </w:tbl>
    <w:p w14:paraId="584DFCD9">
      <w:pPr>
        <w:snapToGrid w:val="0"/>
        <w:ind w:firstLine="560"/>
        <w:jc w:val="center"/>
        <w:rPr>
          <w:rFonts w:hint="eastAsia" w:ascii="宋体" w:hAnsi="宋体"/>
          <w:color w:val="auto"/>
          <w:highlight w:val="none"/>
        </w:rPr>
      </w:pPr>
      <w:r>
        <w:rPr>
          <w:rFonts w:ascii="宋体" w:hAnsi="宋体"/>
          <w:color w:val="auto"/>
          <w:highlight w:val="none"/>
        </w:rPr>
        <w:br w:type="page"/>
      </w:r>
    </w:p>
    <w:p w14:paraId="5E40D702">
      <w:pPr>
        <w:pStyle w:val="4"/>
        <w:ind w:firstLine="0" w:firstLineChars="0"/>
        <w:jc w:val="left"/>
        <w:rPr>
          <w:rFonts w:hint="eastAsia" w:ascii="黑体" w:hAnsi="宋体" w:eastAsia="黑体"/>
          <w:b w:val="0"/>
          <w:bCs w:val="0"/>
          <w:color w:val="auto"/>
          <w:sz w:val="28"/>
          <w:szCs w:val="28"/>
          <w:highlight w:val="none"/>
        </w:rPr>
      </w:pPr>
      <w:bookmarkStart w:id="121" w:name="_Toc21367"/>
      <w:r>
        <w:rPr>
          <w:rFonts w:hint="eastAsia" w:ascii="黑体" w:hAnsi="宋体" w:eastAsia="黑体"/>
          <w:b w:val="0"/>
          <w:bCs w:val="0"/>
          <w:color w:val="auto"/>
          <w:sz w:val="28"/>
          <w:szCs w:val="28"/>
          <w:highlight w:val="none"/>
        </w:rPr>
        <w:t>1.审查方法</w:t>
      </w:r>
      <w:bookmarkEnd w:id="121"/>
    </w:p>
    <w:p w14:paraId="73670256">
      <w:pPr>
        <w:spacing w:line="360" w:lineRule="auto"/>
        <w:ind w:firstLine="560"/>
        <w:rPr>
          <w:rFonts w:hint="eastAsia" w:ascii="宋体" w:hAnsi="宋体"/>
          <w:color w:val="auto"/>
          <w:highlight w:val="none"/>
        </w:rPr>
      </w:pPr>
      <w:r>
        <w:rPr>
          <w:rFonts w:hint="eastAsia" w:ascii="宋体" w:hAnsi="宋体"/>
          <w:color w:val="auto"/>
          <w:highlight w:val="none"/>
        </w:rPr>
        <w:t>本次资格预审采用的资格审查方法详见本章资格审查办法前附表规定。资格审查委员会依据本章规定的审查标准和程序，按资格审查办法前附表规定的方式和数量对申请人进行资格审查，并确定通过资格预审的申请人。</w:t>
      </w:r>
    </w:p>
    <w:p w14:paraId="3C903D45">
      <w:pPr>
        <w:pStyle w:val="4"/>
        <w:ind w:firstLine="0" w:firstLineChars="0"/>
        <w:jc w:val="left"/>
        <w:rPr>
          <w:rFonts w:hint="eastAsia" w:ascii="黑体" w:hAnsi="宋体" w:eastAsia="黑体"/>
          <w:b w:val="0"/>
          <w:bCs w:val="0"/>
          <w:color w:val="auto"/>
          <w:sz w:val="28"/>
          <w:szCs w:val="28"/>
          <w:highlight w:val="none"/>
        </w:rPr>
      </w:pPr>
      <w:bookmarkStart w:id="122" w:name="_Toc73"/>
      <w:r>
        <w:rPr>
          <w:rFonts w:ascii="黑体" w:hAnsi="宋体" w:eastAsia="黑体"/>
          <w:b w:val="0"/>
          <w:bCs w:val="0"/>
          <w:color w:val="auto"/>
          <w:sz w:val="28"/>
          <w:szCs w:val="28"/>
          <w:highlight w:val="none"/>
        </w:rPr>
        <w:t>2</w:t>
      </w:r>
      <w:r>
        <w:rPr>
          <w:rFonts w:hint="eastAsia" w:ascii="黑体" w:hAnsi="宋体" w:eastAsia="黑体"/>
          <w:b w:val="0"/>
          <w:bCs w:val="0"/>
          <w:color w:val="auto"/>
          <w:sz w:val="28"/>
          <w:szCs w:val="28"/>
          <w:highlight w:val="none"/>
        </w:rPr>
        <w:t>.审查标准</w:t>
      </w:r>
      <w:bookmarkEnd w:id="122"/>
    </w:p>
    <w:p w14:paraId="47A5CE38">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ascii="黑体" w:hAnsi="宋体" w:eastAsia="黑体"/>
          <w:bCs/>
          <w:color w:val="auto"/>
          <w:kern w:val="2"/>
          <w:sz w:val="24"/>
          <w:szCs w:val="21"/>
          <w:highlight w:val="none"/>
        </w:rPr>
        <w:t xml:space="preserve">2.1 </w:t>
      </w:r>
      <w:r>
        <w:rPr>
          <w:rFonts w:hint="eastAsia" w:ascii="黑体" w:hAnsi="宋体" w:eastAsia="黑体"/>
          <w:bCs/>
          <w:color w:val="auto"/>
          <w:kern w:val="2"/>
          <w:sz w:val="24"/>
          <w:szCs w:val="21"/>
          <w:highlight w:val="none"/>
        </w:rPr>
        <w:t>初步审查</w:t>
      </w:r>
    </w:p>
    <w:p w14:paraId="2FBC6A91">
      <w:pPr>
        <w:spacing w:line="360" w:lineRule="auto"/>
        <w:ind w:firstLine="560"/>
        <w:rPr>
          <w:rFonts w:hint="eastAsia" w:ascii="宋体" w:hAnsi="宋体"/>
          <w:color w:val="auto"/>
          <w:highlight w:val="none"/>
        </w:rPr>
      </w:pPr>
      <w:r>
        <w:rPr>
          <w:rFonts w:hint="eastAsia" w:ascii="宋体" w:hAnsi="宋体"/>
          <w:color w:val="auto"/>
          <w:highlight w:val="none"/>
        </w:rPr>
        <w:t>初步审查标准：见资格审查办法前附表。</w:t>
      </w:r>
    </w:p>
    <w:p w14:paraId="6A173836">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ascii="黑体" w:hAnsi="宋体" w:eastAsia="黑体"/>
          <w:bCs/>
          <w:color w:val="auto"/>
          <w:kern w:val="2"/>
          <w:sz w:val="24"/>
          <w:szCs w:val="21"/>
          <w:highlight w:val="none"/>
        </w:rPr>
        <w:t xml:space="preserve">2.2 </w:t>
      </w:r>
      <w:r>
        <w:rPr>
          <w:rFonts w:hint="eastAsia" w:ascii="黑体" w:hAnsi="宋体" w:eastAsia="黑体"/>
          <w:bCs/>
          <w:color w:val="auto"/>
          <w:kern w:val="2"/>
          <w:sz w:val="24"/>
          <w:szCs w:val="21"/>
          <w:highlight w:val="none"/>
        </w:rPr>
        <w:t>详细审查</w:t>
      </w:r>
    </w:p>
    <w:p w14:paraId="1B4E4508">
      <w:pPr>
        <w:spacing w:line="360" w:lineRule="auto"/>
        <w:ind w:firstLine="560"/>
        <w:rPr>
          <w:rFonts w:hint="eastAsia" w:ascii="宋体" w:hAnsi="宋体"/>
          <w:color w:val="auto"/>
          <w:highlight w:val="none"/>
        </w:rPr>
      </w:pPr>
      <w:r>
        <w:rPr>
          <w:rFonts w:hint="eastAsia" w:ascii="宋体" w:hAnsi="宋体"/>
          <w:color w:val="auto"/>
          <w:highlight w:val="none"/>
        </w:rPr>
        <w:t>详细审查标准：见资格审查办法前附表。</w:t>
      </w:r>
    </w:p>
    <w:p w14:paraId="4FDCB284">
      <w:pPr>
        <w:pStyle w:val="4"/>
        <w:ind w:firstLine="0" w:firstLineChars="0"/>
        <w:jc w:val="left"/>
        <w:rPr>
          <w:rFonts w:hint="eastAsia" w:ascii="黑体" w:hAnsi="宋体" w:eastAsia="黑体"/>
          <w:b w:val="0"/>
          <w:bCs w:val="0"/>
          <w:color w:val="auto"/>
          <w:sz w:val="28"/>
          <w:szCs w:val="28"/>
          <w:highlight w:val="none"/>
        </w:rPr>
      </w:pPr>
      <w:bookmarkStart w:id="123" w:name="_Toc627"/>
      <w:r>
        <w:rPr>
          <w:rFonts w:ascii="黑体" w:hAnsi="宋体" w:eastAsia="黑体"/>
          <w:b w:val="0"/>
          <w:bCs w:val="0"/>
          <w:color w:val="auto"/>
          <w:sz w:val="28"/>
          <w:szCs w:val="28"/>
          <w:highlight w:val="none"/>
        </w:rPr>
        <w:t>3</w:t>
      </w:r>
      <w:r>
        <w:rPr>
          <w:rFonts w:hint="eastAsia" w:ascii="黑体" w:hAnsi="宋体" w:eastAsia="黑体"/>
          <w:b w:val="0"/>
          <w:bCs w:val="0"/>
          <w:color w:val="auto"/>
          <w:sz w:val="28"/>
          <w:szCs w:val="28"/>
          <w:highlight w:val="none"/>
        </w:rPr>
        <w:t>.审查程序</w:t>
      </w:r>
      <w:bookmarkEnd w:id="123"/>
    </w:p>
    <w:p w14:paraId="0633E627">
      <w:pPr>
        <w:pStyle w:val="49"/>
        <w:spacing w:line="360" w:lineRule="auto"/>
        <w:ind w:firstLine="420" w:firstLineChars="200"/>
        <w:rPr>
          <w:rFonts w:hint="eastAsia" w:ascii="宋体" w:hAnsi="宋体" w:eastAsiaTheme="minorEastAsia"/>
          <w:bCs/>
          <w:color w:val="auto"/>
          <w:szCs w:val="21"/>
          <w:highlight w:val="none"/>
        </w:rPr>
      </w:pPr>
      <w:r>
        <w:rPr>
          <w:rFonts w:ascii="宋体" w:hAnsi="宋体" w:eastAsiaTheme="minorEastAsia"/>
          <w:bCs/>
          <w:color w:val="auto"/>
          <w:szCs w:val="21"/>
          <w:highlight w:val="none"/>
        </w:rPr>
        <w:t xml:space="preserve">3.1 </w:t>
      </w:r>
      <w:r>
        <w:rPr>
          <w:rFonts w:hint="eastAsia" w:ascii="宋体" w:hAnsi="宋体" w:eastAsiaTheme="minorEastAsia"/>
          <w:bCs/>
          <w:color w:val="auto"/>
          <w:szCs w:val="21"/>
          <w:highlight w:val="none"/>
        </w:rPr>
        <w:t>初步审查；</w:t>
      </w:r>
    </w:p>
    <w:p w14:paraId="739128CE">
      <w:pPr>
        <w:pStyle w:val="49"/>
        <w:spacing w:line="360" w:lineRule="auto"/>
        <w:ind w:firstLine="420" w:firstLineChars="200"/>
        <w:rPr>
          <w:rFonts w:hint="eastAsia" w:ascii="宋体" w:hAnsi="宋体" w:eastAsiaTheme="minorEastAsia"/>
          <w:bCs/>
          <w:color w:val="auto"/>
          <w:szCs w:val="21"/>
          <w:highlight w:val="none"/>
        </w:rPr>
      </w:pPr>
      <w:r>
        <w:rPr>
          <w:rFonts w:ascii="宋体" w:hAnsi="宋体" w:eastAsiaTheme="minorEastAsia"/>
          <w:bCs/>
          <w:color w:val="auto"/>
          <w:szCs w:val="21"/>
          <w:highlight w:val="none"/>
        </w:rPr>
        <w:t xml:space="preserve">3.2 </w:t>
      </w:r>
      <w:r>
        <w:rPr>
          <w:rFonts w:hint="eastAsia" w:ascii="宋体" w:hAnsi="宋体" w:eastAsiaTheme="minorEastAsia"/>
          <w:bCs/>
          <w:color w:val="auto"/>
          <w:szCs w:val="21"/>
          <w:highlight w:val="none"/>
        </w:rPr>
        <w:t>详细审查；</w:t>
      </w:r>
    </w:p>
    <w:p w14:paraId="0B3A8B59">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3.3 资格审查委员会复核；</w:t>
      </w:r>
    </w:p>
    <w:p w14:paraId="687BEDBE">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3.4 资格审查委员会邀请招标人、招标代理机构进行复核，并提出复核意见，资格审查委员会对复核意见进行讨论，并记录采纳和不采纳情况及不采纳理由；</w:t>
      </w:r>
    </w:p>
    <w:p w14:paraId="3DF2B546">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3.5 确定通过资格审查的投标人。</w:t>
      </w:r>
    </w:p>
    <w:p w14:paraId="0E84F33B">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4.</w:t>
      </w:r>
      <w:r>
        <w:rPr>
          <w:rFonts w:ascii="黑体" w:hAnsi="宋体" w:eastAsia="黑体"/>
          <w:bCs/>
          <w:color w:val="auto"/>
          <w:kern w:val="2"/>
          <w:sz w:val="24"/>
          <w:szCs w:val="21"/>
          <w:highlight w:val="none"/>
        </w:rPr>
        <w:t xml:space="preserve"> </w:t>
      </w:r>
      <w:r>
        <w:rPr>
          <w:rFonts w:hint="eastAsia" w:ascii="黑体" w:hAnsi="宋体" w:eastAsia="黑体"/>
          <w:bCs/>
          <w:color w:val="auto"/>
          <w:kern w:val="2"/>
          <w:sz w:val="24"/>
          <w:szCs w:val="21"/>
          <w:highlight w:val="none"/>
        </w:rPr>
        <w:t>初步审查</w:t>
      </w:r>
    </w:p>
    <w:p w14:paraId="6C344709">
      <w:pPr>
        <w:spacing w:line="360" w:lineRule="auto"/>
        <w:ind w:firstLine="420" w:firstLineChars="200"/>
        <w:rPr>
          <w:rFonts w:hint="eastAsia" w:ascii="宋体" w:hAnsi="宋体"/>
          <w:color w:val="auto"/>
          <w:highlight w:val="none"/>
        </w:rPr>
      </w:pPr>
      <w:r>
        <w:rPr>
          <w:rFonts w:hint="eastAsia" w:ascii="宋体" w:hAnsi="宋体"/>
          <w:color w:val="auto"/>
          <w:highlight w:val="none"/>
        </w:rPr>
        <w:t>交易系统依据资格审查办法的规定对资格预审申请文件进行初步审查。有一项不符合审查标准的，申请人资格预审不通过。</w:t>
      </w:r>
    </w:p>
    <w:p w14:paraId="13D61B50">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5</w:t>
      </w:r>
      <w:r>
        <w:rPr>
          <w:rFonts w:ascii="黑体" w:hAnsi="宋体" w:eastAsia="黑体"/>
          <w:bCs/>
          <w:color w:val="auto"/>
          <w:kern w:val="2"/>
          <w:sz w:val="24"/>
          <w:szCs w:val="21"/>
          <w:highlight w:val="none"/>
        </w:rPr>
        <w:t xml:space="preserve">. </w:t>
      </w:r>
      <w:r>
        <w:rPr>
          <w:rFonts w:hint="eastAsia" w:ascii="黑体" w:hAnsi="宋体" w:eastAsia="黑体"/>
          <w:bCs/>
          <w:color w:val="auto"/>
          <w:kern w:val="2"/>
          <w:sz w:val="24"/>
          <w:szCs w:val="21"/>
          <w:highlight w:val="none"/>
        </w:rPr>
        <w:t>详细审查</w:t>
      </w:r>
    </w:p>
    <w:p w14:paraId="0E4775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只有通过了初步审查的申请人可进入详细审查。</w:t>
      </w:r>
    </w:p>
    <w:p w14:paraId="78F3ECAD">
      <w:pPr>
        <w:spacing w:line="360" w:lineRule="auto"/>
        <w:ind w:firstLine="420" w:firstLineChars="200"/>
        <w:rPr>
          <w:rFonts w:hint="eastAsia" w:ascii="宋体" w:hAnsi="宋体"/>
          <w:color w:val="auto"/>
          <w:highlight w:val="none"/>
        </w:rPr>
      </w:pPr>
      <w:r>
        <w:rPr>
          <w:rFonts w:hint="eastAsia" w:ascii="宋体" w:hAnsi="宋体"/>
          <w:color w:val="auto"/>
          <w:highlight w:val="none"/>
        </w:rPr>
        <w:t>5.1交易系统依据资格审查办法的规定对资格预审申请文件进行详细审查。有一项不符合审查标准的，申请人资格预审不通过。</w:t>
      </w:r>
    </w:p>
    <w:p w14:paraId="67EAB10C">
      <w:pPr>
        <w:spacing w:line="360" w:lineRule="auto"/>
        <w:ind w:firstLine="420" w:firstLineChars="200"/>
        <w:rPr>
          <w:rFonts w:hint="eastAsia" w:ascii="宋体" w:hAnsi="宋体"/>
          <w:color w:val="auto"/>
          <w:highlight w:val="none"/>
        </w:rPr>
      </w:pPr>
      <w:r>
        <w:rPr>
          <w:rFonts w:hint="eastAsia" w:ascii="宋体" w:hAnsi="宋体"/>
          <w:color w:val="auto"/>
          <w:highlight w:val="none"/>
        </w:rPr>
        <w:t>5.2不能通过资格预审</w:t>
      </w:r>
    </w:p>
    <w:p w14:paraId="4E2EE11C">
      <w:pPr>
        <w:spacing w:line="360" w:lineRule="auto"/>
        <w:ind w:firstLine="420" w:firstLineChars="200"/>
        <w:rPr>
          <w:rFonts w:hint="eastAsia" w:ascii="宋体" w:hAnsi="宋体"/>
          <w:color w:val="auto"/>
          <w:highlight w:val="none"/>
        </w:rPr>
      </w:pPr>
      <w:r>
        <w:rPr>
          <w:rFonts w:hint="eastAsia" w:ascii="宋体" w:hAnsi="宋体"/>
          <w:color w:val="auto"/>
          <w:highlight w:val="none"/>
        </w:rPr>
        <w:t>交易系统依据第二章附件</w:t>
      </w:r>
      <w:r>
        <w:rPr>
          <w:rFonts w:ascii="宋体" w:hAnsi="宋体"/>
          <w:color w:val="auto"/>
          <w:highlight w:val="none"/>
        </w:rPr>
        <w:t>2-</w:t>
      </w:r>
      <w:r>
        <w:rPr>
          <w:rFonts w:hint="eastAsia" w:ascii="宋体" w:hAnsi="宋体"/>
          <w:color w:val="auto"/>
          <w:highlight w:val="none"/>
        </w:rPr>
        <w:t>1中规定的不能通过资格预审情形，判断是否对申请人提出的资格预审申请作出不能通过的结论。</w:t>
      </w:r>
    </w:p>
    <w:p w14:paraId="5B314472">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6. 资格审查委员会复核</w:t>
      </w:r>
    </w:p>
    <w:p w14:paraId="6F7E5FD8">
      <w:pPr>
        <w:spacing w:line="360" w:lineRule="auto"/>
        <w:ind w:firstLine="420" w:firstLineChars="200"/>
        <w:rPr>
          <w:rFonts w:hint="eastAsia" w:ascii="宋体" w:hAnsi="宋体"/>
          <w:color w:val="auto"/>
          <w:highlight w:val="none"/>
        </w:rPr>
      </w:pPr>
      <w:r>
        <w:rPr>
          <w:rFonts w:hint="eastAsia" w:ascii="宋体" w:hAnsi="宋体"/>
          <w:color w:val="auto"/>
          <w:highlight w:val="none"/>
        </w:rPr>
        <w:t>资格审查委员会主任应组织资格审查委员会成员认真研究资格预审文件，了解和熟悉招标目的、招标范围、质量标准和工期要求等，掌握审查标准和方法。未在资格预审文件中规定的标准和方法不得作为复核确认的依据。</w:t>
      </w:r>
    </w:p>
    <w:p w14:paraId="1D045BBD">
      <w:pPr>
        <w:spacing w:line="360" w:lineRule="auto"/>
        <w:ind w:firstLine="560"/>
        <w:rPr>
          <w:rFonts w:hint="eastAsia" w:ascii="宋体" w:hAnsi="宋体"/>
          <w:color w:val="auto"/>
          <w:highlight w:val="none"/>
        </w:rPr>
      </w:pPr>
      <w:r>
        <w:rPr>
          <w:rFonts w:hint="eastAsia" w:ascii="宋体" w:hAnsi="宋体"/>
          <w:color w:val="auto"/>
          <w:highlight w:val="none"/>
        </w:rPr>
        <w:t>资格审查委员会完成复核确认工作后，邀请招标人、招标代理机构进行复核，并提出复核意见，资格审查评标委员会对复核意见进行讨论，并记录采纳和不采纳情况及不采纳理由。</w:t>
      </w:r>
    </w:p>
    <w:p w14:paraId="2A38617B">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7.资格预审申请文件的澄清和补正</w:t>
      </w:r>
    </w:p>
    <w:p w14:paraId="7B7E66F5">
      <w:pPr>
        <w:spacing w:line="360" w:lineRule="auto"/>
        <w:ind w:firstLine="420" w:firstLineChars="200"/>
        <w:rPr>
          <w:rFonts w:hint="eastAsia" w:ascii="宋体" w:hAnsi="宋体"/>
          <w:color w:val="auto"/>
          <w:highlight w:val="none"/>
        </w:rPr>
      </w:pPr>
      <w:r>
        <w:rPr>
          <w:rFonts w:hint="eastAsia" w:ascii="宋体" w:hAnsi="宋体"/>
          <w:color w:val="auto"/>
          <w:highlight w:val="none"/>
        </w:rPr>
        <w:t>7</w:t>
      </w:r>
      <w:r>
        <w:rPr>
          <w:rFonts w:ascii="宋体" w:hAnsi="宋体"/>
          <w:color w:val="auto"/>
          <w:highlight w:val="none"/>
        </w:rPr>
        <w:t xml:space="preserve">.1 </w:t>
      </w:r>
      <w:r>
        <w:rPr>
          <w:rFonts w:hint="eastAsia" w:ascii="宋体" w:hAnsi="宋体"/>
          <w:color w:val="auto"/>
          <w:highlight w:val="none"/>
        </w:rPr>
        <w:t>资格审查委员会可以书面形式要求申请人对所提交的资格预审申请文件中不明确的内容进行书面澄清、说明或者补正。资格审查委员会不接受申请人主动提出的澄清、说明或补正。</w:t>
      </w:r>
    </w:p>
    <w:p w14:paraId="5D0B5097">
      <w:pPr>
        <w:spacing w:line="360" w:lineRule="auto"/>
        <w:ind w:firstLine="420" w:firstLineChars="200"/>
        <w:rPr>
          <w:rFonts w:hint="eastAsia" w:ascii="宋体" w:hAnsi="宋体"/>
          <w:color w:val="auto"/>
          <w:highlight w:val="none"/>
        </w:rPr>
      </w:pPr>
      <w:r>
        <w:rPr>
          <w:rFonts w:hint="eastAsia" w:ascii="宋体" w:hAnsi="宋体"/>
          <w:color w:val="auto"/>
          <w:highlight w:val="none"/>
        </w:rPr>
        <w:t>7</w:t>
      </w:r>
      <w:r>
        <w:rPr>
          <w:rFonts w:ascii="宋体" w:hAnsi="宋体"/>
          <w:color w:val="auto"/>
          <w:highlight w:val="none"/>
        </w:rPr>
        <w:t xml:space="preserve">.2 </w:t>
      </w:r>
      <w:r>
        <w:rPr>
          <w:rFonts w:hint="eastAsia" w:ascii="宋体" w:hAnsi="宋体"/>
          <w:color w:val="auto"/>
          <w:highlight w:val="none"/>
        </w:rPr>
        <w:t>澄清、说明和补正不得改变资格预审申请文件的实质性内容。申请人的书面澄清、说明和补正属于资格预审申请文件的组成部分。</w:t>
      </w:r>
    </w:p>
    <w:p w14:paraId="37327D58">
      <w:pPr>
        <w:spacing w:line="360" w:lineRule="auto"/>
        <w:ind w:firstLine="420" w:firstLineChars="200"/>
        <w:rPr>
          <w:rFonts w:hint="eastAsia" w:ascii="宋体" w:hAnsi="宋体"/>
          <w:color w:val="auto"/>
          <w:highlight w:val="none"/>
        </w:rPr>
      </w:pPr>
      <w:r>
        <w:rPr>
          <w:rFonts w:hint="eastAsia" w:ascii="宋体" w:hAnsi="宋体"/>
          <w:color w:val="auto"/>
          <w:highlight w:val="none"/>
        </w:rPr>
        <w:t>7</w:t>
      </w:r>
      <w:r>
        <w:rPr>
          <w:rFonts w:ascii="宋体" w:hAnsi="宋体"/>
          <w:color w:val="auto"/>
          <w:highlight w:val="none"/>
        </w:rPr>
        <w:t xml:space="preserve">.3 </w:t>
      </w:r>
      <w:r>
        <w:rPr>
          <w:rFonts w:hint="eastAsia" w:ascii="宋体" w:hAnsi="宋体"/>
          <w:color w:val="auto"/>
          <w:highlight w:val="none"/>
        </w:rPr>
        <w:t>资格审查委员会对申请人提交的澄清、说明或补正有疑问的，可以要求申请人进一步澄清、说明或补正。</w:t>
      </w:r>
    </w:p>
    <w:p w14:paraId="78FD36AD">
      <w:pPr>
        <w:spacing w:line="360" w:lineRule="auto"/>
        <w:ind w:firstLine="420" w:firstLineChars="200"/>
        <w:rPr>
          <w:rFonts w:hint="eastAsia" w:ascii="宋体" w:hAnsi="宋体"/>
          <w:color w:val="auto"/>
          <w:highlight w:val="none"/>
        </w:rPr>
      </w:pPr>
      <w:r>
        <w:rPr>
          <w:rFonts w:hint="eastAsia" w:ascii="宋体" w:hAnsi="宋体"/>
          <w:color w:val="auto"/>
          <w:highlight w:val="none"/>
        </w:rPr>
        <w:t>7.4 资格审查过程中，资格审查委员会拟作出不能通过资格预审决定的，应要求申请人进行书面澄清、说明或补正，未进行该程序的，不得作出不能通过资格预审决定，申请人未按要求进行回复的除外。</w:t>
      </w:r>
    </w:p>
    <w:p w14:paraId="0653165D">
      <w:pPr>
        <w:pStyle w:val="51"/>
        <w:spacing w:line="360" w:lineRule="auto"/>
        <w:rPr>
          <w:color w:val="auto"/>
          <w:highlight w:val="none"/>
        </w:rPr>
      </w:pPr>
      <w:bookmarkStart w:id="124" w:name="_Toc195800145"/>
      <w:bookmarkStart w:id="125" w:name="_Toc15104"/>
      <w:bookmarkStart w:id="126" w:name="_Toc295196572"/>
      <w:r>
        <w:rPr>
          <w:rFonts w:hint="eastAsia"/>
          <w:color w:val="auto"/>
          <w:highlight w:val="none"/>
        </w:rPr>
        <w:t>8</w:t>
      </w:r>
      <w:r>
        <w:rPr>
          <w:color w:val="auto"/>
          <w:highlight w:val="none"/>
        </w:rPr>
        <w:t>.</w:t>
      </w:r>
      <w:r>
        <w:rPr>
          <w:rFonts w:hint="eastAsia"/>
          <w:color w:val="auto"/>
          <w:highlight w:val="none"/>
        </w:rPr>
        <w:t>确定通过资格审查的投标人</w:t>
      </w:r>
      <w:bookmarkEnd w:id="124"/>
      <w:bookmarkEnd w:id="125"/>
      <w:bookmarkEnd w:id="126"/>
      <w:r>
        <w:rPr>
          <w:color w:val="auto"/>
          <w:highlight w:val="none"/>
        </w:rPr>
        <w:t xml:space="preserve"> </w:t>
      </w:r>
    </w:p>
    <w:p w14:paraId="5BE8F120">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 xml:space="preserve">.1 </w:t>
      </w:r>
      <w:r>
        <w:rPr>
          <w:rFonts w:hint="eastAsia" w:ascii="宋体" w:hAnsi="宋体"/>
          <w:color w:val="auto"/>
          <w:szCs w:val="21"/>
          <w:highlight w:val="none"/>
        </w:rPr>
        <w:t xml:space="preserve"> 确定通过资格审查的投标人</w:t>
      </w:r>
    </w:p>
    <w:p w14:paraId="012AE0F8">
      <w:pPr>
        <w:spacing w:line="360" w:lineRule="auto"/>
        <w:ind w:firstLine="560"/>
        <w:rPr>
          <w:color w:val="auto"/>
          <w:highlight w:val="none"/>
        </w:rPr>
      </w:pPr>
      <w:r>
        <w:rPr>
          <w:rFonts w:hint="eastAsia"/>
          <w:color w:val="auto"/>
          <w:highlight w:val="none"/>
        </w:rPr>
        <w:t>通过初步审查和详细审查的合格申请人均通过资格预审。</w:t>
      </w:r>
    </w:p>
    <w:p w14:paraId="4930AA80">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2 </w:t>
      </w:r>
      <w:r>
        <w:rPr>
          <w:rFonts w:ascii="宋体" w:hAnsi="宋体"/>
          <w:color w:val="auto"/>
          <w:szCs w:val="21"/>
          <w:highlight w:val="none"/>
        </w:rPr>
        <w:t xml:space="preserve"> </w:t>
      </w:r>
      <w:r>
        <w:rPr>
          <w:rFonts w:hint="eastAsia" w:ascii="宋体" w:hAnsi="宋体"/>
          <w:color w:val="auto"/>
          <w:szCs w:val="21"/>
          <w:highlight w:val="none"/>
        </w:rPr>
        <w:t>编制及提交审查报告</w:t>
      </w:r>
      <w:r>
        <w:rPr>
          <w:rFonts w:ascii="宋体" w:hAnsi="宋体"/>
          <w:color w:val="auto"/>
          <w:szCs w:val="21"/>
          <w:highlight w:val="none"/>
        </w:rPr>
        <w:t xml:space="preserve"> </w:t>
      </w:r>
    </w:p>
    <w:p w14:paraId="0A597E86">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资格审查委员会向招标人提交审查报告。审查报告应当由全体资格审查委员会成员签字，审查报告应当包括以下内容：</w:t>
      </w:r>
      <w:r>
        <w:rPr>
          <w:rFonts w:ascii="宋体" w:hAnsi="宋体"/>
          <w:color w:val="auto"/>
          <w:szCs w:val="21"/>
          <w:highlight w:val="none"/>
        </w:rPr>
        <w:t xml:space="preserve"> </w:t>
      </w:r>
    </w:p>
    <w:p w14:paraId="7C241700">
      <w:pPr>
        <w:spacing w:line="360" w:lineRule="auto"/>
        <w:ind w:firstLine="560"/>
        <w:rPr>
          <w:rFonts w:hint="eastAsia" w:ascii="宋体" w:hAnsi="宋体"/>
          <w:color w:val="auto"/>
          <w:szCs w:val="21"/>
          <w:highlight w:val="none"/>
        </w:rPr>
      </w:pPr>
      <w:bookmarkStart w:id="127" w:name="_Toc295196573"/>
      <w:r>
        <w:rPr>
          <w:rFonts w:hint="eastAsia" w:ascii="宋体" w:hAnsi="宋体"/>
          <w:color w:val="auto"/>
          <w:szCs w:val="21"/>
          <w:highlight w:val="none"/>
        </w:rPr>
        <w:t>（1）基本情况和数据表；</w:t>
      </w:r>
    </w:p>
    <w:p w14:paraId="2B3E6B1C">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）资格审查委员会成员名单；</w:t>
      </w:r>
    </w:p>
    <w:p w14:paraId="5D237187">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）初步审查记录表；</w:t>
      </w:r>
    </w:p>
    <w:p w14:paraId="7DC3FFD8">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）详细审查记录表；</w:t>
      </w:r>
    </w:p>
    <w:p w14:paraId="3C345CC6">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）初步、详细审查结果汇总表；</w:t>
      </w:r>
    </w:p>
    <w:p w14:paraId="5F8A20B6">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）不能通过资格预审的情况记录表；</w:t>
      </w:r>
    </w:p>
    <w:p w14:paraId="26C889D9">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（7）通过资格预审申请人名单；</w:t>
      </w:r>
    </w:p>
    <w:p w14:paraId="40BA1057">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（8）澄清、说明或补正事项纪要。</w:t>
      </w:r>
      <w:bookmarkEnd w:id="127"/>
    </w:p>
    <w:p w14:paraId="10061E44">
      <w:pPr>
        <w:spacing w:line="360" w:lineRule="auto"/>
        <w:ind w:firstLine="560"/>
        <w:rPr>
          <w:rFonts w:hint="eastAsia" w:ascii="宋体" w:hAnsi="宋体"/>
          <w:color w:val="auto"/>
          <w:szCs w:val="21"/>
          <w:highlight w:val="none"/>
        </w:rPr>
      </w:pPr>
      <w:bookmarkStart w:id="128" w:name="_Toc188845378"/>
      <w:bookmarkStart w:id="129" w:name="_Toc295196543"/>
      <w:r>
        <w:rPr>
          <w:rFonts w:hint="eastAsia" w:ascii="宋体" w:hAnsi="宋体"/>
          <w:color w:val="auto"/>
          <w:szCs w:val="21"/>
          <w:highlight w:val="none"/>
        </w:rPr>
        <w:t>8.3重新招标</w:t>
      </w:r>
      <w:bookmarkEnd w:id="128"/>
      <w:bookmarkEnd w:id="129"/>
    </w:p>
    <w:p w14:paraId="019E16C3">
      <w:pPr>
        <w:spacing w:line="360" w:lineRule="auto"/>
        <w:ind w:firstLine="560"/>
        <w:rPr>
          <w:color w:val="auto"/>
          <w:highlight w:val="none"/>
        </w:rPr>
      </w:pPr>
      <w:r>
        <w:rPr>
          <w:rFonts w:hint="eastAsia" w:ascii="宋体" w:hAnsi="宋体"/>
          <w:color w:val="auto"/>
          <w:highlight w:val="none"/>
        </w:rPr>
        <w:t>通过资格预审申请人的数量不足</w:t>
      </w:r>
      <w:r>
        <w:rPr>
          <w:rFonts w:ascii="宋体" w:hAnsi="宋体"/>
          <w:color w:val="auto"/>
          <w:highlight w:val="none"/>
        </w:rPr>
        <w:t>3</w:t>
      </w:r>
      <w:r>
        <w:rPr>
          <w:rFonts w:hint="eastAsia" w:ascii="宋体" w:hAnsi="宋体"/>
          <w:color w:val="auto"/>
          <w:highlight w:val="none"/>
        </w:rPr>
        <w:t>个的，</w:t>
      </w:r>
      <w:r>
        <w:rPr>
          <w:rFonts w:hint="eastAsia"/>
          <w:color w:val="auto"/>
          <w:highlight w:val="none"/>
        </w:rPr>
        <w:t>招标人应重新招标。</w:t>
      </w:r>
    </w:p>
    <w:p w14:paraId="4029AC10">
      <w:pPr>
        <w:spacing w:line="360" w:lineRule="auto"/>
        <w:ind w:firstLine="560"/>
        <w:rPr>
          <w:rFonts w:hint="eastAsia" w:ascii="黑体" w:hAnsi="宋体" w:eastAsia="黑体"/>
          <w:color w:val="auto"/>
          <w:sz w:val="24"/>
          <w:highlight w:val="none"/>
        </w:rPr>
      </w:pPr>
      <w:r>
        <w:rPr>
          <w:rFonts w:hint="eastAsia" w:ascii="宋体" w:hAnsi="宋体"/>
          <w:color w:val="auto"/>
          <w:szCs w:val="21"/>
          <w:highlight w:val="none"/>
        </w:rPr>
        <w:t>9</w:t>
      </w:r>
      <w:r>
        <w:rPr>
          <w:rFonts w:hint="eastAsia" w:ascii="黑体" w:hAnsi="宋体" w:eastAsia="黑体"/>
          <w:color w:val="auto"/>
          <w:sz w:val="24"/>
          <w:highlight w:val="none"/>
        </w:rPr>
        <w:t>.特殊情况的处置程序</w:t>
      </w:r>
    </w:p>
    <w:p w14:paraId="47FA7732">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9.1  关于资格预审活动暂停</w:t>
      </w:r>
    </w:p>
    <w:p w14:paraId="62314CDD">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9.1.1  资格审查委员会应当执行连续资格审查的原则，按审查办法中规定的程序、内容、方法、标准完成全部资格预审工作。除特殊情况外，资格预审活动不得暂停。</w:t>
      </w:r>
    </w:p>
    <w:p w14:paraId="56812045">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9.1.2  发生资格预审暂停情况时，资格审查委员会应当封存全部申请文件和审查记录，</w:t>
      </w:r>
      <w:r>
        <w:rPr>
          <w:rFonts w:ascii="宋体" w:hAnsi="宋体"/>
          <w:color w:val="auto"/>
          <w:szCs w:val="21"/>
          <w:highlight w:val="none"/>
        </w:rPr>
        <w:t>待特殊情况的影响结束且具备继续</w:t>
      </w:r>
      <w:r>
        <w:rPr>
          <w:rFonts w:hint="eastAsia" w:ascii="宋体" w:hAnsi="宋体"/>
          <w:color w:val="auto"/>
          <w:szCs w:val="21"/>
          <w:highlight w:val="none"/>
        </w:rPr>
        <w:t>资格预审</w:t>
      </w:r>
      <w:r>
        <w:rPr>
          <w:rFonts w:ascii="宋体" w:hAnsi="宋体"/>
          <w:color w:val="auto"/>
          <w:szCs w:val="21"/>
          <w:highlight w:val="none"/>
        </w:rPr>
        <w:t>的条件时，由原</w:t>
      </w:r>
      <w:r>
        <w:rPr>
          <w:rFonts w:hint="eastAsia" w:ascii="宋体" w:hAnsi="宋体"/>
          <w:color w:val="auto"/>
          <w:szCs w:val="21"/>
          <w:highlight w:val="none"/>
        </w:rPr>
        <w:t>资格审查委员会</w:t>
      </w:r>
      <w:r>
        <w:rPr>
          <w:rFonts w:ascii="宋体" w:hAnsi="宋体"/>
          <w:color w:val="auto"/>
          <w:szCs w:val="21"/>
          <w:highlight w:val="none"/>
        </w:rPr>
        <w:t>继续</w:t>
      </w:r>
      <w:r>
        <w:rPr>
          <w:rFonts w:hint="eastAsia" w:ascii="宋体" w:hAnsi="宋体"/>
          <w:color w:val="auto"/>
          <w:szCs w:val="21"/>
          <w:highlight w:val="none"/>
        </w:rPr>
        <w:t>资格预审</w:t>
      </w:r>
      <w:r>
        <w:rPr>
          <w:rFonts w:ascii="宋体" w:hAnsi="宋体"/>
          <w:color w:val="auto"/>
          <w:szCs w:val="21"/>
          <w:highlight w:val="none"/>
        </w:rPr>
        <w:t>。</w:t>
      </w:r>
    </w:p>
    <w:p w14:paraId="38BE0C49">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9.2  关于中途更换资格审查委员会成员</w:t>
      </w:r>
    </w:p>
    <w:p w14:paraId="1BF34234">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9.2.1  除非发生下列情况之一，</w:t>
      </w:r>
      <w:r>
        <w:rPr>
          <w:rFonts w:ascii="宋体" w:hAnsi="宋体"/>
          <w:color w:val="auto"/>
          <w:szCs w:val="21"/>
          <w:highlight w:val="none"/>
        </w:rPr>
        <w:t>不得在</w:t>
      </w:r>
      <w:r>
        <w:rPr>
          <w:rFonts w:hint="eastAsia" w:ascii="宋体" w:hAnsi="宋体"/>
          <w:color w:val="auto"/>
          <w:szCs w:val="21"/>
          <w:highlight w:val="none"/>
        </w:rPr>
        <w:t>资格预审</w:t>
      </w:r>
      <w:r>
        <w:rPr>
          <w:rFonts w:ascii="宋体" w:hAnsi="宋体"/>
          <w:color w:val="auto"/>
          <w:szCs w:val="21"/>
          <w:highlight w:val="none"/>
        </w:rPr>
        <w:t>中途更换</w:t>
      </w:r>
      <w:r>
        <w:rPr>
          <w:rFonts w:hint="eastAsia" w:ascii="宋体" w:hAnsi="宋体"/>
          <w:color w:val="auto"/>
          <w:szCs w:val="21"/>
          <w:highlight w:val="none"/>
        </w:rPr>
        <w:t>资格审查委员会</w:t>
      </w:r>
      <w:r>
        <w:rPr>
          <w:rFonts w:ascii="宋体" w:hAnsi="宋体"/>
          <w:color w:val="auto"/>
          <w:szCs w:val="21"/>
          <w:highlight w:val="none"/>
        </w:rPr>
        <w:t>成员：</w:t>
      </w:r>
    </w:p>
    <w:p w14:paraId="18C4AE15">
      <w:pPr>
        <w:spacing w:line="360" w:lineRule="auto"/>
        <w:ind w:firstLine="560"/>
        <w:rPr>
          <w:rFonts w:hint="eastAsia" w:ascii="宋体" w:hAnsi="宋体"/>
          <w:color w:val="auto"/>
          <w:szCs w:val="21"/>
          <w:highlight w:val="none"/>
        </w:rPr>
      </w:pPr>
      <w:r>
        <w:rPr>
          <w:rFonts w:ascii="宋体" w:hAnsi="宋体"/>
          <w:color w:val="auto"/>
          <w:szCs w:val="21"/>
          <w:highlight w:val="none"/>
        </w:rPr>
        <w:t>（1）因不可抗拒的原因，</w:t>
      </w:r>
      <w:r>
        <w:rPr>
          <w:rFonts w:hint="eastAsia" w:ascii="宋体" w:hAnsi="宋体"/>
          <w:color w:val="auto"/>
          <w:szCs w:val="21"/>
          <w:highlight w:val="none"/>
        </w:rPr>
        <w:t>资格审查委员会</w:t>
      </w:r>
      <w:r>
        <w:rPr>
          <w:rFonts w:ascii="宋体" w:hAnsi="宋体"/>
          <w:color w:val="auto"/>
          <w:szCs w:val="21"/>
          <w:highlight w:val="none"/>
        </w:rPr>
        <w:t>成员不能到场或需在</w:t>
      </w:r>
      <w:r>
        <w:rPr>
          <w:rFonts w:hint="eastAsia" w:ascii="宋体" w:hAnsi="宋体"/>
          <w:color w:val="auto"/>
          <w:szCs w:val="21"/>
          <w:highlight w:val="none"/>
        </w:rPr>
        <w:t>资格预审</w:t>
      </w:r>
      <w:r>
        <w:rPr>
          <w:rFonts w:ascii="宋体" w:hAnsi="宋体"/>
          <w:color w:val="auto"/>
          <w:szCs w:val="21"/>
          <w:highlight w:val="none"/>
        </w:rPr>
        <w:t>中途退出</w:t>
      </w:r>
      <w:r>
        <w:rPr>
          <w:rFonts w:hint="eastAsia" w:ascii="宋体" w:hAnsi="宋体"/>
          <w:color w:val="auto"/>
          <w:szCs w:val="21"/>
          <w:highlight w:val="none"/>
        </w:rPr>
        <w:t>资格预审</w:t>
      </w:r>
      <w:r>
        <w:rPr>
          <w:rFonts w:ascii="宋体" w:hAnsi="宋体"/>
          <w:color w:val="auto"/>
          <w:szCs w:val="21"/>
          <w:highlight w:val="none"/>
        </w:rPr>
        <w:t>活动。</w:t>
      </w:r>
    </w:p>
    <w:p w14:paraId="7DA9A2A8">
      <w:pPr>
        <w:spacing w:line="360" w:lineRule="auto"/>
        <w:ind w:firstLine="560"/>
        <w:rPr>
          <w:rFonts w:hint="eastAsia" w:ascii="宋体" w:hAnsi="宋体"/>
          <w:color w:val="auto"/>
          <w:szCs w:val="21"/>
          <w:highlight w:val="none"/>
        </w:rPr>
      </w:pPr>
      <w:r>
        <w:rPr>
          <w:rFonts w:ascii="宋体" w:hAnsi="宋体"/>
          <w:color w:val="auto"/>
          <w:szCs w:val="21"/>
          <w:highlight w:val="none"/>
        </w:rPr>
        <w:t>（2）根据法律法规规定，某个或某几个</w:t>
      </w:r>
      <w:r>
        <w:rPr>
          <w:rFonts w:hint="eastAsia" w:ascii="宋体" w:hAnsi="宋体"/>
          <w:color w:val="auto"/>
          <w:szCs w:val="21"/>
          <w:highlight w:val="none"/>
        </w:rPr>
        <w:t>资格审查委员会</w:t>
      </w:r>
      <w:r>
        <w:rPr>
          <w:rFonts w:ascii="宋体" w:hAnsi="宋体"/>
          <w:color w:val="auto"/>
          <w:szCs w:val="21"/>
          <w:highlight w:val="none"/>
        </w:rPr>
        <w:t>成员需要回避。</w:t>
      </w:r>
    </w:p>
    <w:p w14:paraId="61D48377">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9.2.2  退出资格预审的资格审查委员会成员，其已完成的资格预审行为无效。由招标人根据有关规定另行确定替代者进行资格预审。</w:t>
      </w:r>
    </w:p>
    <w:p w14:paraId="1E00B126">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9.3  记名投票</w:t>
      </w:r>
    </w:p>
    <w:p w14:paraId="7E990FEE">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在任何资格预审环节中，需资格审查委员会就某项定性的审查结论做出表决的，由资格审查委员会全体成员按照少数服从多数的原则，以记名投票方式表决。</w:t>
      </w:r>
    </w:p>
    <w:p w14:paraId="501E2300">
      <w:pPr>
        <w:snapToGrid w:val="0"/>
        <w:spacing w:line="360" w:lineRule="auto"/>
        <w:ind w:firstLine="480"/>
        <w:rPr>
          <w:rFonts w:hint="eastAsia" w:ascii="黑体" w:hAnsi="宋体" w:eastAsia="黑体"/>
          <w:color w:val="auto"/>
          <w:sz w:val="24"/>
          <w:highlight w:val="none"/>
        </w:rPr>
      </w:pPr>
      <w:r>
        <w:rPr>
          <w:rFonts w:hint="eastAsia" w:ascii="黑体" w:hAnsi="宋体" w:eastAsia="黑体"/>
          <w:color w:val="auto"/>
          <w:sz w:val="24"/>
          <w:highlight w:val="none"/>
        </w:rPr>
        <w:t>10.补充条款</w:t>
      </w:r>
    </w:p>
    <w:p w14:paraId="24907899">
      <w:pPr>
        <w:adjustRightInd w:val="0"/>
        <w:snapToGrid w:val="0"/>
        <w:spacing w:line="360" w:lineRule="auto"/>
        <w:ind w:firstLine="56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资格评审过程中，资格审查委员会成员对涉及《导则》相关内容理解不一致或者不熟悉的问题的，应当提请《导则》发文部门解释；对涉及行业法律法规及政策文件相关问题的，应当提请行政监管部门解释。对资格预审文件中存在的其他问题应当提请招标人澄清。</w:t>
      </w:r>
    </w:p>
    <w:p w14:paraId="5FDFE8F9">
      <w:pPr>
        <w:adjustRightInd w:val="0"/>
        <w:snapToGrid w:val="0"/>
        <w:spacing w:line="360" w:lineRule="auto"/>
        <w:ind w:firstLine="560"/>
        <w:rPr>
          <w:color w:val="auto"/>
          <w:szCs w:val="21"/>
          <w:highlight w:val="none"/>
        </w:rPr>
      </w:pPr>
      <w:r>
        <w:rPr>
          <w:rFonts w:hint="eastAsia"/>
          <w:color w:val="auto"/>
          <w:szCs w:val="21"/>
          <w:highlight w:val="none"/>
        </w:rPr>
        <w:t>对上述情形以外的问题，由资格审查委员会集体讨论决定。无法形成一致意见时，应当按照少数服从多数原则进行表决并予记录。</w:t>
      </w:r>
    </w:p>
    <w:p w14:paraId="5476B0DB">
      <w:pPr>
        <w:spacing w:line="360" w:lineRule="auto"/>
        <w:ind w:firstLine="420" w:firstLineChars="200"/>
        <w:rPr>
          <w:rFonts w:hint="eastAsia" w:ascii="宋体" w:hAnsi="宋体"/>
          <w:color w:val="auto"/>
          <w:szCs w:val="21"/>
          <w:highlight w:val="none"/>
        </w:rPr>
      </w:pPr>
      <w:r>
        <w:rPr>
          <w:rFonts w:hint="eastAsia" w:ascii="宋体" w:hAnsi="宋体"/>
          <w:color w:val="auto"/>
          <w:highlight w:val="none"/>
        </w:rPr>
        <w:t>10.2其他：</w:t>
      </w:r>
      <w:r>
        <w:rPr>
          <w:rFonts w:hint="eastAsia" w:ascii="宋体" w:hAnsi="宋体"/>
          <w:color w:val="auto"/>
          <w:highlight w:val="none"/>
          <w:u w:val="single"/>
        </w:rPr>
        <w:t xml:space="preserve">             </w:t>
      </w:r>
      <w:r>
        <w:rPr>
          <w:rFonts w:hint="eastAsia" w:ascii="宋体" w:hAnsi="宋体"/>
          <w:color w:val="auto"/>
          <w:highlight w:val="none"/>
        </w:rPr>
        <w:t>（由招标人根据项目情况依法依规在资格预审文件中明确）</w:t>
      </w:r>
    </w:p>
    <w:p w14:paraId="2B831A17">
      <w:pPr>
        <w:snapToGrid w:val="0"/>
        <w:ind w:firstLine="640"/>
        <w:jc w:val="center"/>
        <w:rPr>
          <w:rFonts w:hint="eastAsia" w:ascii="宋体" w:hAnsi="宋体"/>
          <w:color w:val="auto"/>
          <w:sz w:val="32"/>
          <w:szCs w:val="32"/>
          <w:highlight w:val="none"/>
        </w:rPr>
        <w:sectPr>
          <w:headerReference r:id="rId5" w:type="default"/>
          <w:pgSz w:w="11906" w:h="16838"/>
          <w:pgMar w:top="1304" w:right="1503" w:bottom="1304" w:left="1503" w:header="851" w:footer="992" w:gutter="0"/>
          <w:cols w:space="720" w:num="1"/>
          <w:docGrid w:linePitch="312" w:charSpace="0"/>
        </w:sectPr>
      </w:pPr>
    </w:p>
    <w:p w14:paraId="49F39B37">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bookmarkStart w:id="130" w:name="_Toc2408"/>
      <w:r>
        <w:rPr>
          <w:rFonts w:hint="eastAsia" w:ascii="黑体" w:hAnsi="宋体" w:eastAsia="黑体" w:cs="黑体"/>
          <w:b w:val="0"/>
          <w:color w:val="auto"/>
          <w:sz w:val="32"/>
          <w:highlight w:val="none"/>
        </w:rPr>
        <w:t>第三章  资格审查办法（有限数量制）</w:t>
      </w:r>
      <w:bookmarkEnd w:id="130"/>
    </w:p>
    <w:p w14:paraId="0140070E">
      <w:pPr>
        <w:pStyle w:val="3"/>
        <w:overflowPunct w:val="0"/>
        <w:topLinePunct/>
        <w:adjustRightInd w:val="0"/>
        <w:snapToGrid w:val="0"/>
        <w:spacing w:line="240" w:lineRule="auto"/>
        <w:ind w:firstLine="482"/>
        <w:jc w:val="center"/>
        <w:rPr>
          <w:rFonts w:hint="eastAsia" w:ascii="宋体" w:hAnsi="宋体"/>
          <w:color w:val="auto"/>
          <w:highlight w:val="none"/>
        </w:rPr>
      </w:pPr>
    </w:p>
    <w:p w14:paraId="5DE97880">
      <w:pPr>
        <w:snapToGrid w:val="0"/>
        <w:ind w:firstLine="600"/>
        <w:jc w:val="center"/>
        <w:rPr>
          <w:rFonts w:hint="eastAsia" w:ascii="黑体" w:hAnsi="宋体" w:eastAsia="黑体"/>
          <w:color w:val="auto"/>
          <w:sz w:val="30"/>
          <w:szCs w:val="30"/>
          <w:highlight w:val="none"/>
        </w:rPr>
      </w:pPr>
      <w:r>
        <w:rPr>
          <w:rFonts w:hint="eastAsia" w:ascii="黑体" w:hAnsi="宋体" w:eastAsia="黑体"/>
          <w:color w:val="auto"/>
          <w:sz w:val="30"/>
          <w:szCs w:val="30"/>
          <w:highlight w:val="none"/>
        </w:rPr>
        <w:t>资格审查办法前附表</w:t>
      </w:r>
    </w:p>
    <w:tbl>
      <w:tblPr>
        <w:tblStyle w:val="20"/>
        <w:tblW w:w="94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1"/>
        <w:gridCol w:w="676"/>
        <w:gridCol w:w="3209"/>
        <w:gridCol w:w="4662"/>
      </w:tblGrid>
      <w:tr w14:paraId="5F001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597" w:type="dxa"/>
            <w:gridSpan w:val="2"/>
            <w:vAlign w:val="center"/>
          </w:tcPr>
          <w:p w14:paraId="24CBD33C">
            <w:pPr>
              <w:snapToGrid w:val="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3209" w:type="dxa"/>
            <w:tcBorders>
              <w:right w:val="single" w:color="auto" w:sz="2" w:space="0"/>
            </w:tcBorders>
            <w:vAlign w:val="center"/>
          </w:tcPr>
          <w:p w14:paraId="61D8FA21">
            <w:pPr>
              <w:snapToGrid w:val="0"/>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4662" w:type="dxa"/>
            <w:tcBorders>
              <w:left w:val="single" w:color="auto" w:sz="2" w:space="0"/>
            </w:tcBorders>
            <w:vAlign w:val="center"/>
          </w:tcPr>
          <w:p w14:paraId="32CFBBD6">
            <w:pPr>
              <w:snapToGrid w:val="0"/>
              <w:jc w:val="center"/>
              <w:rPr>
                <w:rFonts w:hint="eastAsia" w:ascii="宋体" w:hAnsi="宋体"/>
                <w:b/>
                <w:color w:val="auto"/>
                <w:szCs w:val="21"/>
                <w:highlight w:val="none"/>
              </w:rPr>
            </w:pPr>
            <w:r>
              <w:rPr>
                <w:rFonts w:hint="eastAsia" w:ascii="宋体" w:hAnsi="宋体"/>
                <w:b/>
                <w:color w:val="auto"/>
                <w:szCs w:val="21"/>
                <w:highlight w:val="none"/>
              </w:rPr>
              <w:t>编列内容</w:t>
            </w:r>
          </w:p>
        </w:tc>
      </w:tr>
      <w:tr w14:paraId="4DCC6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97" w:type="dxa"/>
            <w:gridSpan w:val="2"/>
            <w:vAlign w:val="center"/>
          </w:tcPr>
          <w:p w14:paraId="4B96D9E5">
            <w:pPr>
              <w:tabs>
                <w:tab w:val="left" w:pos="0"/>
              </w:tabs>
              <w:snapToGrid w:val="0"/>
              <w:ind w:right="540" w:rightChars="257"/>
              <w:jc w:val="right"/>
              <w:rPr>
                <w:rFonts w:hint="eastAsia" w:ascii="宋体" w:hAnsi="宋体"/>
                <w:color w:val="auto"/>
                <w:szCs w:val="21"/>
                <w:highlight w:val="none"/>
              </w:rPr>
            </w:pPr>
            <w:r>
              <w:rPr>
                <w:rFonts w:hint="eastAsia" w:ascii="宋体" w:hAnsi="宋体"/>
                <w:color w:val="auto"/>
                <w:szCs w:val="21"/>
                <w:highlight w:val="none"/>
              </w:rPr>
              <w:t>1</w:t>
            </w:r>
          </w:p>
        </w:tc>
        <w:tc>
          <w:tcPr>
            <w:tcW w:w="3209" w:type="dxa"/>
            <w:tcBorders>
              <w:right w:val="single" w:color="auto" w:sz="2" w:space="0"/>
            </w:tcBorders>
            <w:vAlign w:val="center"/>
          </w:tcPr>
          <w:p w14:paraId="1B552EC1">
            <w:pPr>
              <w:snapToGrid w:val="0"/>
              <w:jc w:val="left"/>
              <w:rPr>
                <w:rFonts w:hint="eastAsia" w:ascii="宋体" w:hAnsi="宋体"/>
                <w:color w:val="auto"/>
                <w:szCs w:val="21"/>
                <w:highlight w:val="none"/>
              </w:rPr>
            </w:pPr>
            <w:r>
              <w:rPr>
                <w:rFonts w:hint="eastAsia" w:ascii="宋体" w:hAnsi="宋体"/>
                <w:bCs/>
                <w:color w:val="auto"/>
                <w:szCs w:val="21"/>
                <w:highlight w:val="none"/>
              </w:rPr>
              <w:t>资格审查方法、通过资格预审的人数</w:t>
            </w:r>
          </w:p>
        </w:tc>
        <w:tc>
          <w:tcPr>
            <w:tcW w:w="4662" w:type="dxa"/>
            <w:tcBorders>
              <w:left w:val="single" w:color="auto" w:sz="2" w:space="0"/>
            </w:tcBorders>
            <w:vAlign w:val="center"/>
          </w:tcPr>
          <w:p w14:paraId="43302F4E">
            <w:pPr>
              <w:snapToGrid w:val="0"/>
              <w:jc w:val="left"/>
              <w:rPr>
                <w:rFonts w:hint="eastAsia" w:ascii="宋体" w:hAnsi="宋体"/>
                <w:color w:val="auto"/>
                <w:szCs w:val="21"/>
                <w:highlight w:val="none"/>
              </w:rPr>
            </w:pPr>
            <w:r>
              <w:rPr>
                <w:rFonts w:hint="eastAsia" w:ascii="宋体" w:hAnsi="宋体"/>
                <w:color w:val="auto"/>
                <w:szCs w:val="21"/>
                <w:highlight w:val="none"/>
              </w:rPr>
              <w:t>详见资格预审公告</w:t>
            </w:r>
          </w:p>
        </w:tc>
      </w:tr>
      <w:tr w14:paraId="32012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597" w:type="dxa"/>
            <w:gridSpan w:val="2"/>
            <w:vAlign w:val="center"/>
          </w:tcPr>
          <w:p w14:paraId="151889FE">
            <w:pPr>
              <w:snapToGrid w:val="0"/>
              <w:jc w:val="center"/>
              <w:rPr>
                <w:rFonts w:hint="eastAsia" w:ascii="宋体" w:hAnsi="宋体"/>
                <w:color w:val="auto"/>
                <w:szCs w:val="21"/>
                <w:highlight w:val="none"/>
              </w:rPr>
            </w:pPr>
            <w:r>
              <w:rPr>
                <w:rFonts w:hint="eastAsia" w:ascii="宋体" w:hAnsi="宋体"/>
                <w:b/>
                <w:color w:val="auto"/>
                <w:szCs w:val="21"/>
                <w:highlight w:val="none"/>
              </w:rPr>
              <w:t>条款号</w:t>
            </w:r>
          </w:p>
        </w:tc>
        <w:tc>
          <w:tcPr>
            <w:tcW w:w="3209" w:type="dxa"/>
            <w:tcBorders>
              <w:right w:val="single" w:color="auto" w:sz="2" w:space="0"/>
            </w:tcBorders>
            <w:vAlign w:val="center"/>
          </w:tcPr>
          <w:p w14:paraId="4CFF223D">
            <w:pPr>
              <w:snapToGrid w:val="0"/>
              <w:jc w:val="center"/>
              <w:rPr>
                <w:rFonts w:hint="eastAsia" w:ascii="宋体" w:hAnsi="宋体"/>
                <w:color w:val="auto"/>
                <w:szCs w:val="21"/>
                <w:highlight w:val="none"/>
              </w:rPr>
            </w:pPr>
            <w:r>
              <w:rPr>
                <w:rFonts w:hint="eastAsia" w:ascii="宋体" w:hAnsi="宋体"/>
                <w:b/>
                <w:color w:val="auto"/>
                <w:szCs w:val="21"/>
                <w:highlight w:val="none"/>
              </w:rPr>
              <w:t>审查因素</w:t>
            </w:r>
          </w:p>
        </w:tc>
        <w:tc>
          <w:tcPr>
            <w:tcW w:w="4662" w:type="dxa"/>
            <w:tcBorders>
              <w:left w:val="single" w:color="auto" w:sz="2" w:space="0"/>
            </w:tcBorders>
            <w:vAlign w:val="center"/>
          </w:tcPr>
          <w:p w14:paraId="03A80232">
            <w:pPr>
              <w:snapToGrid w:val="0"/>
              <w:jc w:val="center"/>
              <w:rPr>
                <w:rFonts w:hint="eastAsia" w:ascii="宋体" w:hAnsi="宋体"/>
                <w:color w:val="auto"/>
                <w:szCs w:val="21"/>
                <w:highlight w:val="none"/>
              </w:rPr>
            </w:pPr>
            <w:r>
              <w:rPr>
                <w:rFonts w:hint="eastAsia" w:ascii="宋体" w:hAnsi="宋体"/>
                <w:b/>
                <w:color w:val="auto"/>
                <w:szCs w:val="21"/>
                <w:highlight w:val="none"/>
              </w:rPr>
              <w:t>审查标准</w:t>
            </w:r>
          </w:p>
        </w:tc>
      </w:tr>
      <w:tr w14:paraId="23723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restart"/>
            <w:vAlign w:val="center"/>
          </w:tcPr>
          <w:p w14:paraId="0F104FA7">
            <w:pPr>
              <w:snapToGrid w:val="0"/>
              <w:jc w:val="center"/>
              <w:rPr>
                <w:rFonts w:hint="eastAsia" w:ascii="宋体" w:hAnsi="宋体"/>
                <w:color w:val="auto"/>
                <w:szCs w:val="21"/>
                <w:highlight w:val="none"/>
              </w:rPr>
            </w:pPr>
            <w:r>
              <w:rPr>
                <w:rFonts w:hint="eastAsia" w:ascii="宋体" w:hAnsi="宋体"/>
                <w:color w:val="auto"/>
                <w:szCs w:val="21"/>
                <w:highlight w:val="none"/>
              </w:rPr>
              <w:t>2.1</w:t>
            </w:r>
          </w:p>
        </w:tc>
        <w:tc>
          <w:tcPr>
            <w:tcW w:w="676" w:type="dxa"/>
            <w:vMerge w:val="restart"/>
            <w:vAlign w:val="center"/>
          </w:tcPr>
          <w:p w14:paraId="5D744B8C">
            <w:pPr>
              <w:tabs>
                <w:tab w:val="left" w:pos="640"/>
              </w:tabs>
              <w:snapToGrid w:val="0"/>
              <w:ind w:right="-178" w:rightChars="-85"/>
              <w:jc w:val="left"/>
              <w:rPr>
                <w:rFonts w:hint="eastAsia" w:ascii="宋体" w:hAnsi="宋体"/>
                <w:color w:val="auto"/>
                <w:szCs w:val="21"/>
                <w:highlight w:val="none"/>
              </w:rPr>
            </w:pPr>
            <w:r>
              <w:rPr>
                <w:rFonts w:hint="eastAsia" w:ascii="宋体" w:hAnsi="宋体"/>
                <w:color w:val="auto"/>
                <w:szCs w:val="21"/>
                <w:highlight w:val="none"/>
              </w:rPr>
              <w:t>初步</w:t>
            </w:r>
          </w:p>
          <w:p w14:paraId="77E7F6D1">
            <w:pPr>
              <w:tabs>
                <w:tab w:val="left" w:pos="640"/>
              </w:tabs>
              <w:snapToGrid w:val="0"/>
              <w:ind w:right="-178" w:rightChars="-85"/>
              <w:jc w:val="left"/>
              <w:rPr>
                <w:rFonts w:hint="eastAsia" w:ascii="宋体" w:hAnsi="宋体"/>
                <w:color w:val="auto"/>
                <w:szCs w:val="21"/>
                <w:highlight w:val="none"/>
              </w:rPr>
            </w:pPr>
            <w:r>
              <w:rPr>
                <w:rFonts w:hint="eastAsia" w:ascii="宋体" w:hAnsi="宋体"/>
                <w:color w:val="auto"/>
                <w:szCs w:val="21"/>
                <w:highlight w:val="none"/>
              </w:rPr>
              <w:t>审查</w:t>
            </w:r>
          </w:p>
          <w:p w14:paraId="428D42E8">
            <w:pPr>
              <w:tabs>
                <w:tab w:val="left" w:pos="640"/>
              </w:tabs>
              <w:snapToGrid w:val="0"/>
              <w:ind w:right="-178" w:rightChars="-85"/>
              <w:jc w:val="left"/>
              <w:rPr>
                <w:rFonts w:hint="eastAsia" w:ascii="宋体" w:hAnsi="宋体"/>
                <w:color w:val="auto"/>
                <w:szCs w:val="21"/>
                <w:highlight w:val="none"/>
              </w:rPr>
            </w:pPr>
            <w:r>
              <w:rPr>
                <w:rFonts w:hint="eastAsia" w:ascii="宋体" w:hAnsi="宋体"/>
                <w:color w:val="auto"/>
                <w:szCs w:val="21"/>
                <w:highlight w:val="none"/>
              </w:rPr>
              <w:t>标准</w:t>
            </w:r>
          </w:p>
        </w:tc>
        <w:tc>
          <w:tcPr>
            <w:tcW w:w="3209" w:type="dxa"/>
            <w:tcBorders>
              <w:right w:val="single" w:color="auto" w:sz="2" w:space="0"/>
            </w:tcBorders>
            <w:vAlign w:val="center"/>
          </w:tcPr>
          <w:p w14:paraId="0F4D3755">
            <w:pPr>
              <w:snapToGrid w:val="0"/>
              <w:jc w:val="left"/>
              <w:rPr>
                <w:rFonts w:hint="eastAsia" w:ascii="宋体" w:hAnsi="宋体"/>
                <w:color w:val="auto"/>
                <w:szCs w:val="21"/>
                <w:highlight w:val="none"/>
              </w:rPr>
            </w:pPr>
            <w:r>
              <w:rPr>
                <w:rFonts w:hint="eastAsia" w:ascii="宋体" w:hAnsi="宋体"/>
                <w:color w:val="auto"/>
                <w:szCs w:val="21"/>
                <w:highlight w:val="none"/>
              </w:rPr>
              <w:t>申请人名称</w:t>
            </w:r>
          </w:p>
        </w:tc>
        <w:tc>
          <w:tcPr>
            <w:tcW w:w="4662" w:type="dxa"/>
            <w:tcBorders>
              <w:left w:val="single" w:color="auto" w:sz="2" w:space="0"/>
            </w:tcBorders>
            <w:vAlign w:val="center"/>
          </w:tcPr>
          <w:p w14:paraId="61BFB3EB">
            <w:pPr>
              <w:snapToGrid w:val="0"/>
              <w:jc w:val="left"/>
              <w:rPr>
                <w:rFonts w:hint="eastAsia" w:ascii="宋体" w:hAnsi="宋体"/>
                <w:color w:val="auto"/>
                <w:szCs w:val="21"/>
                <w:highlight w:val="none"/>
              </w:rPr>
            </w:pPr>
            <w:r>
              <w:rPr>
                <w:rFonts w:hint="eastAsia" w:ascii="宋体" w:hAnsi="宋体"/>
                <w:color w:val="auto"/>
                <w:szCs w:val="21"/>
                <w:highlight w:val="none"/>
              </w:rPr>
              <w:t>与营业执照、资质证书、安全生产许可证上的名称一致；省外企业名称与在“湖南省建筑市场监管公共服务平台”登记的一致，（单位名称或证书正在变更过程中的应提供相应证明材料）。</w:t>
            </w:r>
          </w:p>
        </w:tc>
      </w:tr>
      <w:tr w14:paraId="168F7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5E475098">
            <w:pPr>
              <w:snapToGrid w:val="0"/>
              <w:ind w:firstLine="560"/>
              <w:jc w:val="center"/>
              <w:rPr>
                <w:rFonts w:hint="eastAsia" w:ascii="宋体" w:hAnsi="宋体"/>
                <w:color w:val="auto"/>
                <w:szCs w:val="21"/>
                <w:highlight w:val="none"/>
              </w:rPr>
            </w:pPr>
          </w:p>
        </w:tc>
        <w:tc>
          <w:tcPr>
            <w:tcW w:w="676" w:type="dxa"/>
            <w:vMerge w:val="continue"/>
            <w:vAlign w:val="center"/>
          </w:tcPr>
          <w:p w14:paraId="4768F523">
            <w:pPr>
              <w:snapToGrid w:val="0"/>
              <w:ind w:firstLine="560"/>
              <w:rPr>
                <w:rFonts w:hint="eastAsia" w:ascii="宋体" w:hAnsi="宋体"/>
                <w:color w:val="auto"/>
                <w:szCs w:val="21"/>
                <w:highlight w:val="none"/>
              </w:rPr>
            </w:pPr>
          </w:p>
        </w:tc>
        <w:tc>
          <w:tcPr>
            <w:tcW w:w="3209" w:type="dxa"/>
            <w:tcBorders>
              <w:right w:val="single" w:color="auto" w:sz="2" w:space="0"/>
            </w:tcBorders>
            <w:vAlign w:val="center"/>
          </w:tcPr>
          <w:p w14:paraId="131FE139">
            <w:pPr>
              <w:snapToGrid w:val="0"/>
              <w:jc w:val="left"/>
              <w:rPr>
                <w:rFonts w:hint="eastAsia" w:ascii="宋体" w:hAnsi="宋体"/>
                <w:color w:val="auto"/>
                <w:szCs w:val="21"/>
                <w:highlight w:val="none"/>
              </w:rPr>
            </w:pPr>
            <w:r>
              <w:rPr>
                <w:rFonts w:hint="eastAsia" w:ascii="宋体" w:hAnsi="宋体"/>
                <w:color w:val="auto"/>
                <w:szCs w:val="21"/>
                <w:highlight w:val="none"/>
              </w:rPr>
              <w:t>法定代表人身份证明</w:t>
            </w:r>
          </w:p>
        </w:tc>
        <w:tc>
          <w:tcPr>
            <w:tcW w:w="4662" w:type="dxa"/>
            <w:tcBorders>
              <w:left w:val="single" w:color="auto" w:sz="2" w:space="0"/>
            </w:tcBorders>
            <w:vAlign w:val="center"/>
          </w:tcPr>
          <w:p w14:paraId="068E6662">
            <w:pPr>
              <w:snapToGrid w:val="0"/>
              <w:jc w:val="left"/>
              <w:rPr>
                <w:rFonts w:hint="eastAsia" w:ascii="宋体" w:hAnsi="宋体"/>
                <w:color w:val="auto"/>
                <w:szCs w:val="21"/>
                <w:highlight w:val="none"/>
              </w:rPr>
            </w:pPr>
            <w:r>
              <w:rPr>
                <w:rFonts w:hint="eastAsia" w:ascii="宋体" w:hAnsi="宋体"/>
                <w:color w:val="auto"/>
                <w:szCs w:val="21"/>
                <w:highlight w:val="none"/>
              </w:rPr>
              <w:t>提交法定代表人身份证明</w:t>
            </w:r>
          </w:p>
        </w:tc>
      </w:tr>
      <w:tr w14:paraId="6A071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74CA1E88">
            <w:pPr>
              <w:snapToGrid w:val="0"/>
              <w:ind w:firstLine="560"/>
              <w:jc w:val="center"/>
              <w:rPr>
                <w:rFonts w:hint="eastAsia" w:ascii="宋体" w:hAnsi="宋体"/>
                <w:color w:val="auto"/>
                <w:szCs w:val="21"/>
                <w:highlight w:val="none"/>
              </w:rPr>
            </w:pPr>
          </w:p>
        </w:tc>
        <w:tc>
          <w:tcPr>
            <w:tcW w:w="676" w:type="dxa"/>
            <w:vMerge w:val="continue"/>
            <w:vAlign w:val="center"/>
          </w:tcPr>
          <w:p w14:paraId="486BE6AC">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0E584FAD">
            <w:pPr>
              <w:snapToGrid w:val="0"/>
              <w:jc w:val="left"/>
              <w:rPr>
                <w:rFonts w:hint="eastAsia" w:ascii="宋体" w:hAnsi="宋体"/>
                <w:color w:val="auto"/>
                <w:szCs w:val="21"/>
                <w:highlight w:val="none"/>
              </w:rPr>
            </w:pPr>
            <w:r>
              <w:rPr>
                <w:rFonts w:hint="eastAsia" w:ascii="宋体" w:hAnsi="宋体"/>
                <w:color w:val="auto"/>
                <w:szCs w:val="21"/>
                <w:highlight w:val="none"/>
              </w:rPr>
              <w:t>授权委托书（如委托）</w:t>
            </w:r>
          </w:p>
        </w:tc>
        <w:tc>
          <w:tcPr>
            <w:tcW w:w="4662" w:type="dxa"/>
            <w:tcBorders>
              <w:left w:val="single" w:color="auto" w:sz="2" w:space="0"/>
            </w:tcBorders>
            <w:vAlign w:val="center"/>
          </w:tcPr>
          <w:p w14:paraId="05104361">
            <w:pPr>
              <w:snapToGrid w:val="0"/>
              <w:jc w:val="left"/>
              <w:rPr>
                <w:rFonts w:hint="eastAsia" w:ascii="宋体" w:hAnsi="宋体"/>
                <w:color w:val="auto"/>
                <w:szCs w:val="21"/>
                <w:highlight w:val="none"/>
              </w:rPr>
            </w:pPr>
            <w:r>
              <w:rPr>
                <w:rFonts w:hint="eastAsia" w:ascii="宋体" w:hAnsi="宋体"/>
                <w:color w:val="auto"/>
                <w:szCs w:val="21"/>
                <w:highlight w:val="none"/>
              </w:rPr>
              <w:t>提交授权委托书</w:t>
            </w:r>
          </w:p>
        </w:tc>
      </w:tr>
      <w:tr w14:paraId="6274C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0B3CE387">
            <w:pPr>
              <w:snapToGrid w:val="0"/>
              <w:ind w:firstLine="560"/>
              <w:jc w:val="center"/>
              <w:rPr>
                <w:rFonts w:hint="eastAsia" w:ascii="宋体" w:hAnsi="宋体"/>
                <w:color w:val="auto"/>
                <w:szCs w:val="21"/>
                <w:highlight w:val="none"/>
              </w:rPr>
            </w:pPr>
          </w:p>
        </w:tc>
        <w:tc>
          <w:tcPr>
            <w:tcW w:w="676" w:type="dxa"/>
            <w:vMerge w:val="continue"/>
            <w:vAlign w:val="center"/>
          </w:tcPr>
          <w:p w14:paraId="1209B08E">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7D6D527C">
            <w:pPr>
              <w:snapToGrid w:val="0"/>
              <w:jc w:val="left"/>
              <w:rPr>
                <w:rFonts w:hint="eastAsia" w:ascii="宋体" w:hAnsi="宋体"/>
                <w:color w:val="auto"/>
                <w:szCs w:val="21"/>
                <w:highlight w:val="none"/>
              </w:rPr>
            </w:pPr>
            <w:r>
              <w:rPr>
                <w:rFonts w:hint="eastAsia" w:ascii="宋体" w:hAnsi="宋体"/>
                <w:color w:val="auto"/>
                <w:szCs w:val="21"/>
                <w:highlight w:val="none"/>
              </w:rPr>
              <w:t>联合体协议书（如有）</w:t>
            </w:r>
          </w:p>
        </w:tc>
        <w:tc>
          <w:tcPr>
            <w:tcW w:w="4662" w:type="dxa"/>
            <w:tcBorders>
              <w:left w:val="single" w:color="auto" w:sz="2" w:space="0"/>
            </w:tcBorders>
            <w:vAlign w:val="center"/>
          </w:tcPr>
          <w:p w14:paraId="6669BDD7">
            <w:pPr>
              <w:snapToGrid w:val="0"/>
              <w:jc w:val="left"/>
              <w:rPr>
                <w:rFonts w:hint="eastAsia" w:ascii="宋体" w:hAnsi="宋体"/>
                <w:color w:val="auto"/>
                <w:szCs w:val="21"/>
                <w:highlight w:val="none"/>
              </w:rPr>
            </w:pPr>
            <w:r>
              <w:rPr>
                <w:rFonts w:hint="eastAsia" w:ascii="宋体" w:hAnsi="宋体"/>
                <w:bCs/>
                <w:color w:val="auto"/>
                <w:szCs w:val="21"/>
                <w:highlight w:val="none"/>
              </w:rPr>
              <w:t>联合体申请人提交联合体协议书，并明确联合体牵头人</w:t>
            </w:r>
          </w:p>
        </w:tc>
      </w:tr>
      <w:tr w14:paraId="5ABE1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dxa"/>
            <w:vMerge w:val="continue"/>
            <w:vAlign w:val="center"/>
          </w:tcPr>
          <w:p w14:paraId="4E8BC2FF">
            <w:pPr>
              <w:snapToGrid w:val="0"/>
              <w:ind w:firstLine="560"/>
              <w:jc w:val="center"/>
              <w:rPr>
                <w:rFonts w:hint="eastAsia" w:ascii="宋体" w:hAnsi="宋体"/>
                <w:color w:val="auto"/>
                <w:szCs w:val="21"/>
                <w:highlight w:val="none"/>
              </w:rPr>
            </w:pPr>
          </w:p>
        </w:tc>
        <w:tc>
          <w:tcPr>
            <w:tcW w:w="676" w:type="dxa"/>
            <w:vMerge w:val="continue"/>
            <w:vAlign w:val="center"/>
          </w:tcPr>
          <w:p w14:paraId="02B8FC49">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56F0A8BE">
            <w:pPr>
              <w:snapToGrid w:val="0"/>
              <w:jc w:val="left"/>
              <w:rPr>
                <w:rFonts w:hint="eastAsia" w:ascii="宋体" w:hAnsi="宋体"/>
                <w:color w:val="auto"/>
                <w:szCs w:val="21"/>
                <w:highlight w:val="none"/>
              </w:rPr>
            </w:pPr>
            <w:r>
              <w:rPr>
                <w:rFonts w:hint="eastAsia" w:ascii="宋体" w:hAnsi="宋体"/>
                <w:color w:val="auto"/>
                <w:szCs w:val="21"/>
                <w:highlight w:val="none"/>
              </w:rPr>
              <w:t>资格预审申请文件签字盖章</w:t>
            </w:r>
          </w:p>
        </w:tc>
        <w:tc>
          <w:tcPr>
            <w:tcW w:w="4662" w:type="dxa"/>
            <w:tcBorders>
              <w:left w:val="single" w:color="auto" w:sz="2" w:space="0"/>
            </w:tcBorders>
            <w:vAlign w:val="center"/>
          </w:tcPr>
          <w:p w14:paraId="524B6B3E">
            <w:pPr>
              <w:snapToGrid w:val="0"/>
              <w:jc w:val="left"/>
              <w:rPr>
                <w:rFonts w:hint="eastAsia" w:ascii="宋体" w:hAnsi="宋体"/>
                <w:color w:val="auto"/>
                <w:szCs w:val="21"/>
                <w:highlight w:val="none"/>
              </w:rPr>
            </w:pPr>
            <w:r>
              <w:rPr>
                <w:rFonts w:hint="eastAsia" w:asciiTheme="minorEastAsia" w:hAnsiTheme="minorEastAsia" w:eastAsiaTheme="minorEastAsia" w:cstheme="minorEastAsia"/>
                <w:bCs/>
                <w:color w:val="auto"/>
                <w:szCs w:val="21"/>
                <w:highlight w:val="none"/>
              </w:rPr>
              <w:t>符合第二章“申请人须知”第3.3.1项规定</w:t>
            </w:r>
          </w:p>
        </w:tc>
      </w:tr>
      <w:tr w14:paraId="13ED7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restart"/>
            <w:vAlign w:val="center"/>
          </w:tcPr>
          <w:p w14:paraId="18251110">
            <w:pPr>
              <w:snapToGrid w:val="0"/>
              <w:jc w:val="center"/>
              <w:rPr>
                <w:rFonts w:hint="eastAsia" w:ascii="宋体" w:hAnsi="宋体"/>
                <w:color w:val="auto"/>
                <w:szCs w:val="21"/>
                <w:highlight w:val="none"/>
              </w:rPr>
            </w:pPr>
            <w:r>
              <w:rPr>
                <w:rFonts w:hint="eastAsia" w:ascii="宋体" w:hAnsi="宋体"/>
                <w:color w:val="auto"/>
                <w:szCs w:val="21"/>
                <w:highlight w:val="none"/>
              </w:rPr>
              <w:t>2.2</w:t>
            </w:r>
          </w:p>
        </w:tc>
        <w:tc>
          <w:tcPr>
            <w:tcW w:w="676" w:type="dxa"/>
            <w:vMerge w:val="restart"/>
            <w:vAlign w:val="center"/>
          </w:tcPr>
          <w:p w14:paraId="226B8991">
            <w:pPr>
              <w:snapToGrid w:val="0"/>
              <w:rPr>
                <w:rFonts w:hint="eastAsia" w:ascii="宋体" w:hAnsi="宋体"/>
                <w:color w:val="auto"/>
                <w:szCs w:val="21"/>
                <w:highlight w:val="none"/>
              </w:rPr>
            </w:pPr>
            <w:r>
              <w:rPr>
                <w:rFonts w:hint="eastAsia" w:ascii="宋体" w:hAnsi="宋体"/>
                <w:color w:val="auto"/>
                <w:szCs w:val="21"/>
                <w:highlight w:val="none"/>
              </w:rPr>
              <w:t>详细审查标准</w:t>
            </w:r>
          </w:p>
        </w:tc>
        <w:tc>
          <w:tcPr>
            <w:tcW w:w="3209" w:type="dxa"/>
            <w:tcBorders>
              <w:right w:val="single" w:color="auto" w:sz="2" w:space="0"/>
            </w:tcBorders>
            <w:vAlign w:val="center"/>
          </w:tcPr>
          <w:p w14:paraId="7F165B4D">
            <w:pPr>
              <w:snapToGrid w:val="0"/>
              <w:jc w:val="left"/>
              <w:rPr>
                <w:rFonts w:hint="eastAsia" w:ascii="宋体" w:hAnsi="宋体"/>
                <w:color w:val="auto"/>
                <w:szCs w:val="21"/>
                <w:highlight w:val="none"/>
              </w:rPr>
            </w:pPr>
            <w:r>
              <w:rPr>
                <w:rFonts w:hint="eastAsia" w:ascii="宋体" w:hAnsi="宋体"/>
                <w:color w:val="auto"/>
                <w:szCs w:val="21"/>
                <w:highlight w:val="none"/>
              </w:rPr>
              <w:t>营业执照</w:t>
            </w:r>
          </w:p>
        </w:tc>
        <w:tc>
          <w:tcPr>
            <w:tcW w:w="4662" w:type="dxa"/>
            <w:tcBorders>
              <w:left w:val="single" w:color="auto" w:sz="2" w:space="0"/>
            </w:tcBorders>
            <w:vAlign w:val="center"/>
          </w:tcPr>
          <w:p w14:paraId="075E193C">
            <w:pPr>
              <w:snapToGrid w:val="0"/>
              <w:jc w:val="left"/>
              <w:rPr>
                <w:rFonts w:hint="eastAsia" w:ascii="宋体" w:hAnsi="宋体"/>
                <w:color w:val="auto"/>
                <w:szCs w:val="21"/>
                <w:highlight w:val="none"/>
              </w:rPr>
            </w:pPr>
            <w:r>
              <w:rPr>
                <w:rFonts w:hint="eastAsia" w:ascii="宋体" w:hAnsi="宋体"/>
                <w:color w:val="auto"/>
                <w:szCs w:val="21"/>
                <w:highlight w:val="none"/>
              </w:rPr>
              <w:t>具备有效的营业执照</w:t>
            </w:r>
          </w:p>
        </w:tc>
      </w:tr>
      <w:tr w14:paraId="44C4D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2F1C3862">
            <w:pPr>
              <w:snapToGrid w:val="0"/>
              <w:ind w:firstLine="560"/>
              <w:jc w:val="center"/>
              <w:rPr>
                <w:rFonts w:hint="eastAsia" w:ascii="宋体" w:hAnsi="宋体"/>
                <w:color w:val="auto"/>
                <w:szCs w:val="21"/>
                <w:highlight w:val="none"/>
              </w:rPr>
            </w:pPr>
          </w:p>
        </w:tc>
        <w:tc>
          <w:tcPr>
            <w:tcW w:w="676" w:type="dxa"/>
            <w:vMerge w:val="continue"/>
            <w:vAlign w:val="center"/>
          </w:tcPr>
          <w:p w14:paraId="51DF8EB1">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7C3DFA49">
            <w:pPr>
              <w:snapToGrid w:val="0"/>
              <w:jc w:val="left"/>
              <w:rPr>
                <w:rFonts w:hint="eastAsia" w:ascii="宋体" w:hAnsi="宋体"/>
                <w:color w:val="auto"/>
                <w:szCs w:val="21"/>
                <w:highlight w:val="none"/>
              </w:rPr>
            </w:pPr>
            <w:r>
              <w:rPr>
                <w:rFonts w:hint="eastAsia" w:ascii="宋体" w:hAnsi="宋体"/>
                <w:color w:val="auto"/>
                <w:szCs w:val="21"/>
                <w:highlight w:val="none"/>
              </w:rPr>
              <w:t>资质要求</w:t>
            </w:r>
          </w:p>
        </w:tc>
        <w:tc>
          <w:tcPr>
            <w:tcW w:w="4662" w:type="dxa"/>
            <w:tcBorders>
              <w:left w:val="single" w:color="auto" w:sz="2" w:space="0"/>
            </w:tcBorders>
            <w:vAlign w:val="center"/>
          </w:tcPr>
          <w:p w14:paraId="474AB767">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6C285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49413CF2">
            <w:pPr>
              <w:snapToGrid w:val="0"/>
              <w:ind w:firstLine="560"/>
              <w:jc w:val="center"/>
              <w:rPr>
                <w:rFonts w:hint="eastAsia" w:ascii="宋体" w:hAnsi="宋体"/>
                <w:color w:val="auto"/>
                <w:szCs w:val="21"/>
                <w:highlight w:val="none"/>
              </w:rPr>
            </w:pPr>
          </w:p>
        </w:tc>
        <w:tc>
          <w:tcPr>
            <w:tcW w:w="676" w:type="dxa"/>
            <w:vMerge w:val="continue"/>
            <w:vAlign w:val="center"/>
          </w:tcPr>
          <w:p w14:paraId="13A3C4A6">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6C20FEE7">
            <w:pPr>
              <w:snapToGrid w:val="0"/>
              <w:jc w:val="left"/>
              <w:rPr>
                <w:rFonts w:hint="eastAsia" w:ascii="宋体" w:hAnsi="宋体"/>
                <w:color w:val="auto"/>
                <w:szCs w:val="21"/>
                <w:highlight w:val="none"/>
              </w:rPr>
            </w:pPr>
            <w:r>
              <w:rPr>
                <w:rFonts w:hint="eastAsia" w:ascii="宋体" w:hAnsi="宋体"/>
                <w:color w:val="auto"/>
                <w:szCs w:val="21"/>
                <w:highlight w:val="none"/>
              </w:rPr>
              <w:t>安全生产许可证</w:t>
            </w:r>
          </w:p>
        </w:tc>
        <w:tc>
          <w:tcPr>
            <w:tcW w:w="4662" w:type="dxa"/>
            <w:tcBorders>
              <w:left w:val="single" w:color="auto" w:sz="2" w:space="0"/>
            </w:tcBorders>
            <w:vAlign w:val="center"/>
          </w:tcPr>
          <w:p w14:paraId="6C842B17">
            <w:pPr>
              <w:snapToGrid w:val="0"/>
              <w:jc w:val="left"/>
              <w:rPr>
                <w:rFonts w:hint="eastAsia" w:ascii="宋体" w:hAnsi="宋体"/>
                <w:color w:val="auto"/>
                <w:szCs w:val="21"/>
                <w:highlight w:val="none"/>
              </w:rPr>
            </w:pPr>
            <w:r>
              <w:rPr>
                <w:rFonts w:hint="eastAsia" w:ascii="宋体" w:hAnsi="宋体"/>
                <w:color w:val="auto"/>
                <w:szCs w:val="21"/>
                <w:highlight w:val="none"/>
              </w:rPr>
              <w:t>具备有效的安全生产许可证</w:t>
            </w:r>
          </w:p>
        </w:tc>
      </w:tr>
      <w:tr w14:paraId="4BB8E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50D62F44">
            <w:pPr>
              <w:snapToGrid w:val="0"/>
              <w:ind w:firstLine="560"/>
              <w:jc w:val="center"/>
              <w:rPr>
                <w:rFonts w:hint="eastAsia" w:ascii="宋体" w:hAnsi="宋体"/>
                <w:color w:val="auto"/>
                <w:szCs w:val="21"/>
                <w:highlight w:val="none"/>
              </w:rPr>
            </w:pPr>
          </w:p>
        </w:tc>
        <w:tc>
          <w:tcPr>
            <w:tcW w:w="676" w:type="dxa"/>
            <w:vMerge w:val="continue"/>
            <w:vAlign w:val="center"/>
          </w:tcPr>
          <w:p w14:paraId="3AD9E49C">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6343FE2C">
            <w:pPr>
              <w:snapToGrid w:val="0"/>
              <w:jc w:val="left"/>
              <w:rPr>
                <w:rFonts w:hint="eastAsia" w:ascii="宋体" w:hAnsi="宋体"/>
                <w:color w:val="auto"/>
                <w:szCs w:val="21"/>
                <w:highlight w:val="none"/>
              </w:rPr>
            </w:pPr>
            <w:r>
              <w:rPr>
                <w:rFonts w:hint="eastAsia" w:ascii="宋体" w:hAnsi="宋体"/>
                <w:color w:val="auto"/>
                <w:szCs w:val="21"/>
                <w:highlight w:val="none"/>
              </w:rPr>
              <w:t>类似工程业绩（如有）</w:t>
            </w:r>
          </w:p>
        </w:tc>
        <w:tc>
          <w:tcPr>
            <w:tcW w:w="4662" w:type="dxa"/>
            <w:tcBorders>
              <w:left w:val="single" w:color="auto" w:sz="2" w:space="0"/>
            </w:tcBorders>
            <w:vAlign w:val="center"/>
          </w:tcPr>
          <w:p w14:paraId="74BB99E5">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542CC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5DE6ED85">
            <w:pPr>
              <w:snapToGrid w:val="0"/>
              <w:ind w:firstLine="560"/>
              <w:jc w:val="center"/>
              <w:rPr>
                <w:rFonts w:hint="eastAsia" w:ascii="宋体" w:hAnsi="宋体"/>
                <w:color w:val="auto"/>
                <w:szCs w:val="21"/>
                <w:highlight w:val="none"/>
              </w:rPr>
            </w:pPr>
          </w:p>
        </w:tc>
        <w:tc>
          <w:tcPr>
            <w:tcW w:w="676" w:type="dxa"/>
            <w:vMerge w:val="continue"/>
            <w:vAlign w:val="center"/>
          </w:tcPr>
          <w:p w14:paraId="6E9BE363">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160782A0">
            <w:pPr>
              <w:snapToGrid w:val="0"/>
              <w:jc w:val="left"/>
              <w:rPr>
                <w:rFonts w:hint="eastAsia" w:ascii="宋体" w:hAnsi="宋体"/>
                <w:color w:val="auto"/>
                <w:szCs w:val="21"/>
                <w:highlight w:val="none"/>
              </w:rPr>
            </w:pPr>
            <w:r>
              <w:rPr>
                <w:rFonts w:hint="eastAsia" w:ascii="宋体" w:hAnsi="宋体"/>
                <w:color w:val="auto"/>
                <w:szCs w:val="21"/>
                <w:highlight w:val="none"/>
              </w:rPr>
              <w:t>拟任项目经理资格</w:t>
            </w:r>
          </w:p>
        </w:tc>
        <w:tc>
          <w:tcPr>
            <w:tcW w:w="4662" w:type="dxa"/>
            <w:tcBorders>
              <w:left w:val="single" w:color="auto" w:sz="2" w:space="0"/>
            </w:tcBorders>
            <w:vAlign w:val="center"/>
          </w:tcPr>
          <w:p w14:paraId="0BE5AEAE">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1759C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41C1C223">
            <w:pPr>
              <w:snapToGrid w:val="0"/>
              <w:ind w:firstLine="560"/>
              <w:jc w:val="center"/>
              <w:rPr>
                <w:rFonts w:hint="eastAsia" w:ascii="宋体" w:hAnsi="宋体"/>
                <w:color w:val="auto"/>
                <w:szCs w:val="21"/>
                <w:highlight w:val="none"/>
              </w:rPr>
            </w:pPr>
          </w:p>
        </w:tc>
        <w:tc>
          <w:tcPr>
            <w:tcW w:w="676" w:type="dxa"/>
            <w:vMerge w:val="continue"/>
            <w:vAlign w:val="center"/>
          </w:tcPr>
          <w:p w14:paraId="3307EE6D">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628F12D1">
            <w:pPr>
              <w:snapToGrid w:val="0"/>
              <w:jc w:val="left"/>
              <w:rPr>
                <w:rFonts w:hint="eastAsia" w:ascii="宋体" w:hAnsi="宋体"/>
                <w:color w:val="auto"/>
                <w:szCs w:val="21"/>
                <w:highlight w:val="none"/>
              </w:rPr>
            </w:pPr>
            <w:r>
              <w:rPr>
                <w:rFonts w:hint="eastAsia" w:ascii="宋体" w:hAnsi="宋体"/>
                <w:bCs/>
                <w:color w:val="auto"/>
                <w:szCs w:val="21"/>
                <w:highlight w:val="none"/>
              </w:rPr>
              <w:t>联合体投标人（如有）</w:t>
            </w:r>
          </w:p>
        </w:tc>
        <w:tc>
          <w:tcPr>
            <w:tcW w:w="4662" w:type="dxa"/>
            <w:tcBorders>
              <w:left w:val="single" w:color="auto" w:sz="2" w:space="0"/>
            </w:tcBorders>
            <w:vAlign w:val="center"/>
          </w:tcPr>
          <w:p w14:paraId="78C6D58C">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23468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51C95093">
            <w:pPr>
              <w:snapToGrid w:val="0"/>
              <w:ind w:firstLine="560"/>
              <w:jc w:val="center"/>
              <w:rPr>
                <w:rFonts w:hint="eastAsia" w:ascii="宋体" w:hAnsi="宋体"/>
                <w:color w:val="auto"/>
                <w:szCs w:val="21"/>
                <w:highlight w:val="none"/>
              </w:rPr>
            </w:pPr>
          </w:p>
        </w:tc>
        <w:tc>
          <w:tcPr>
            <w:tcW w:w="676" w:type="dxa"/>
            <w:vMerge w:val="continue"/>
            <w:vAlign w:val="center"/>
          </w:tcPr>
          <w:p w14:paraId="12B5C769">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351846B8">
            <w:pPr>
              <w:snapToGrid w:val="0"/>
              <w:jc w:val="left"/>
              <w:rPr>
                <w:rFonts w:hint="eastAsia" w:ascii="宋体" w:hAnsi="宋体"/>
                <w:bCs/>
                <w:color w:val="auto"/>
                <w:szCs w:val="21"/>
                <w:highlight w:val="none"/>
              </w:rPr>
            </w:pPr>
            <w:r>
              <w:rPr>
                <w:rFonts w:hint="eastAsia" w:ascii="宋体" w:hAnsi="宋体"/>
                <w:bCs/>
                <w:color w:val="auto"/>
                <w:szCs w:val="21"/>
                <w:highlight w:val="none"/>
              </w:rPr>
              <w:t>拟任项目经理在建情况</w:t>
            </w:r>
          </w:p>
        </w:tc>
        <w:tc>
          <w:tcPr>
            <w:tcW w:w="4662" w:type="dxa"/>
            <w:tcBorders>
              <w:left w:val="single" w:color="auto" w:sz="2" w:space="0"/>
            </w:tcBorders>
            <w:vAlign w:val="center"/>
          </w:tcPr>
          <w:p w14:paraId="25AD077A">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r w14:paraId="1FE86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21" w:type="dxa"/>
            <w:vMerge w:val="continue"/>
            <w:vAlign w:val="center"/>
          </w:tcPr>
          <w:p w14:paraId="752C9612">
            <w:pPr>
              <w:snapToGrid w:val="0"/>
              <w:ind w:firstLine="560"/>
              <w:jc w:val="center"/>
              <w:rPr>
                <w:rFonts w:hint="eastAsia" w:ascii="宋体" w:hAnsi="宋体"/>
                <w:color w:val="auto"/>
                <w:szCs w:val="21"/>
                <w:highlight w:val="none"/>
              </w:rPr>
            </w:pPr>
          </w:p>
        </w:tc>
        <w:tc>
          <w:tcPr>
            <w:tcW w:w="676" w:type="dxa"/>
            <w:vMerge w:val="continue"/>
            <w:vAlign w:val="center"/>
          </w:tcPr>
          <w:p w14:paraId="02A59D08">
            <w:pPr>
              <w:snapToGrid w:val="0"/>
              <w:ind w:firstLine="560"/>
              <w:jc w:val="center"/>
              <w:rPr>
                <w:rFonts w:hint="eastAsia" w:ascii="宋体" w:hAnsi="宋体"/>
                <w:color w:val="auto"/>
                <w:szCs w:val="21"/>
                <w:highlight w:val="none"/>
              </w:rPr>
            </w:pPr>
          </w:p>
        </w:tc>
        <w:tc>
          <w:tcPr>
            <w:tcW w:w="3209" w:type="dxa"/>
            <w:tcBorders>
              <w:right w:val="single" w:color="auto" w:sz="2" w:space="0"/>
            </w:tcBorders>
            <w:vAlign w:val="center"/>
          </w:tcPr>
          <w:p w14:paraId="3D2B73E3">
            <w:pPr>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省外入湘企业基本信息</w:t>
            </w:r>
            <w:r>
              <w:rPr>
                <w:rFonts w:hint="eastAsia" w:ascii="宋体" w:hAnsi="宋体"/>
                <w:color w:val="auto"/>
                <w:szCs w:val="21"/>
                <w:highlight w:val="none"/>
                <w:lang w:val="en-US" w:eastAsia="zh-CN"/>
              </w:rPr>
              <w:t>报送</w:t>
            </w:r>
          </w:p>
        </w:tc>
        <w:tc>
          <w:tcPr>
            <w:tcW w:w="4662" w:type="dxa"/>
            <w:tcBorders>
              <w:left w:val="single" w:color="auto" w:sz="2" w:space="0"/>
            </w:tcBorders>
            <w:vAlign w:val="center"/>
          </w:tcPr>
          <w:p w14:paraId="56DE6B2B">
            <w:pPr>
              <w:snapToGrid w:val="0"/>
              <w:jc w:val="left"/>
              <w:rPr>
                <w:rFonts w:hint="eastAsia" w:ascii="宋体" w:hAnsi="宋体"/>
                <w:color w:val="auto"/>
                <w:szCs w:val="21"/>
                <w:highlight w:val="none"/>
              </w:rPr>
            </w:pPr>
            <w:r>
              <w:rPr>
                <w:rFonts w:hint="eastAsia" w:ascii="宋体" w:hAnsi="宋体"/>
                <w:color w:val="auto"/>
                <w:szCs w:val="21"/>
                <w:highlight w:val="none"/>
              </w:rPr>
              <w:t>符合第二章“申请人须知”的规定</w:t>
            </w:r>
          </w:p>
        </w:tc>
      </w:tr>
    </w:tbl>
    <w:p w14:paraId="7C0C88C6">
      <w:pPr>
        <w:snapToGrid w:val="0"/>
        <w:ind w:firstLine="560"/>
        <w:jc w:val="center"/>
        <w:rPr>
          <w:rFonts w:hint="eastAsia" w:ascii="宋体" w:hAnsi="宋体"/>
          <w:color w:val="auto"/>
          <w:highlight w:val="none"/>
        </w:rPr>
      </w:pPr>
      <w:r>
        <w:rPr>
          <w:rFonts w:ascii="宋体" w:hAnsi="宋体"/>
          <w:color w:val="auto"/>
          <w:highlight w:val="none"/>
        </w:rPr>
        <w:br w:type="page"/>
      </w:r>
    </w:p>
    <w:tbl>
      <w:tblPr>
        <w:tblStyle w:val="20"/>
        <w:tblW w:w="97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5"/>
        <w:gridCol w:w="840"/>
        <w:gridCol w:w="942"/>
        <w:gridCol w:w="1901"/>
        <w:gridCol w:w="367"/>
        <w:gridCol w:w="2693"/>
        <w:gridCol w:w="1418"/>
        <w:gridCol w:w="821"/>
      </w:tblGrid>
      <w:tr w14:paraId="6716F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595" w:type="dxa"/>
            <w:gridSpan w:val="2"/>
            <w:tcBorders>
              <w:top w:val="single" w:color="auto" w:sz="12" w:space="0"/>
              <w:bottom w:val="single" w:color="auto" w:sz="4" w:space="0"/>
            </w:tcBorders>
            <w:vAlign w:val="center"/>
          </w:tcPr>
          <w:p w14:paraId="26E1929E">
            <w:pPr>
              <w:snapToGrid w:val="0"/>
              <w:jc w:val="center"/>
              <w:rPr>
                <w:rFonts w:hint="eastAsia" w:ascii="宋体" w:hAnsi="宋体"/>
                <w:color w:val="auto"/>
                <w:szCs w:val="21"/>
                <w:highlight w:val="none"/>
              </w:rPr>
            </w:pPr>
            <w:r>
              <w:rPr>
                <w:rFonts w:hint="eastAsia" w:ascii="宋体" w:hAnsi="宋体"/>
                <w:b/>
                <w:color w:val="auto"/>
                <w:szCs w:val="21"/>
                <w:highlight w:val="none"/>
              </w:rPr>
              <w:t>条款号</w:t>
            </w:r>
          </w:p>
        </w:tc>
        <w:tc>
          <w:tcPr>
            <w:tcW w:w="3210" w:type="dxa"/>
            <w:gridSpan w:val="3"/>
            <w:tcBorders>
              <w:top w:val="single" w:color="auto" w:sz="12" w:space="0"/>
              <w:right w:val="single" w:color="auto" w:sz="4" w:space="0"/>
            </w:tcBorders>
            <w:vAlign w:val="center"/>
          </w:tcPr>
          <w:p w14:paraId="455EB966">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评分因素</w:t>
            </w:r>
          </w:p>
        </w:tc>
        <w:tc>
          <w:tcPr>
            <w:tcW w:w="2693" w:type="dxa"/>
            <w:tcBorders>
              <w:top w:val="single" w:color="auto" w:sz="12" w:space="0"/>
              <w:left w:val="single" w:color="auto" w:sz="4" w:space="0"/>
              <w:right w:val="single" w:color="auto" w:sz="4" w:space="0"/>
            </w:tcBorders>
            <w:vAlign w:val="center"/>
          </w:tcPr>
          <w:p w14:paraId="09C04337">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评分标准</w:t>
            </w:r>
          </w:p>
        </w:tc>
        <w:tc>
          <w:tcPr>
            <w:tcW w:w="1418" w:type="dxa"/>
            <w:tcBorders>
              <w:top w:val="single" w:color="auto" w:sz="12" w:space="0"/>
              <w:left w:val="single" w:color="auto" w:sz="4" w:space="0"/>
              <w:right w:val="single" w:color="auto" w:sz="4" w:space="0"/>
            </w:tcBorders>
            <w:vAlign w:val="center"/>
          </w:tcPr>
          <w:p w14:paraId="45BFD44D">
            <w:pPr>
              <w:snapToGrid w:val="0"/>
              <w:jc w:val="center"/>
              <w:rPr>
                <w:rFonts w:hint="eastAsia" w:ascii="宋体" w:hAnsi="宋体"/>
                <w:b/>
                <w:bCs/>
                <w:color w:val="auto"/>
                <w:szCs w:val="21"/>
                <w:highlight w:val="none"/>
              </w:rPr>
            </w:pPr>
            <w:r>
              <w:rPr>
                <w:rFonts w:hint="eastAsia" w:ascii="宋体" w:hAnsi="宋体"/>
                <w:b/>
                <w:bCs/>
                <w:color w:val="auto"/>
                <w:szCs w:val="21"/>
                <w:highlight w:val="none"/>
              </w:rPr>
              <w:t>选取方式</w:t>
            </w:r>
          </w:p>
        </w:tc>
        <w:tc>
          <w:tcPr>
            <w:tcW w:w="821" w:type="dxa"/>
            <w:tcBorders>
              <w:top w:val="single" w:color="auto" w:sz="12" w:space="0"/>
              <w:left w:val="single" w:color="auto" w:sz="4" w:space="0"/>
            </w:tcBorders>
            <w:vAlign w:val="center"/>
          </w:tcPr>
          <w:p w14:paraId="6CB31EDF">
            <w:pPr>
              <w:tabs>
                <w:tab w:val="left" w:pos="200"/>
                <w:tab w:val="left" w:pos="420"/>
              </w:tabs>
              <w:snapToGrid w:val="0"/>
              <w:rPr>
                <w:rFonts w:hint="eastAsia" w:ascii="宋体" w:hAnsi="宋体"/>
                <w:b/>
                <w:bCs/>
                <w:color w:val="auto"/>
                <w:szCs w:val="21"/>
                <w:highlight w:val="none"/>
              </w:rPr>
            </w:pPr>
            <w:r>
              <w:rPr>
                <w:rFonts w:hint="eastAsia" w:ascii="宋体" w:hAnsi="宋体"/>
                <w:b/>
                <w:bCs/>
                <w:color w:val="auto"/>
                <w:szCs w:val="21"/>
                <w:highlight w:val="none"/>
              </w:rPr>
              <w:t>计分方式</w:t>
            </w:r>
          </w:p>
        </w:tc>
      </w:tr>
      <w:tr w14:paraId="088EB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restart"/>
            <w:tcBorders>
              <w:top w:val="single" w:color="auto" w:sz="12" w:space="0"/>
              <w:right w:val="single" w:color="auto" w:sz="4" w:space="0"/>
            </w:tcBorders>
            <w:vAlign w:val="center"/>
          </w:tcPr>
          <w:p w14:paraId="23D5A542">
            <w:pPr>
              <w:snapToGrid w:val="0"/>
              <w:jc w:val="center"/>
              <w:rPr>
                <w:rFonts w:hint="eastAsia" w:ascii="宋体" w:hAnsi="宋体"/>
                <w:color w:val="auto"/>
                <w:szCs w:val="21"/>
                <w:highlight w:val="none"/>
              </w:rPr>
            </w:pPr>
            <w:r>
              <w:rPr>
                <w:rFonts w:hint="eastAsia" w:ascii="宋体" w:hAnsi="宋体"/>
                <w:color w:val="auto"/>
                <w:szCs w:val="21"/>
                <w:highlight w:val="none"/>
              </w:rPr>
              <w:t>2.3</w:t>
            </w:r>
          </w:p>
        </w:tc>
        <w:tc>
          <w:tcPr>
            <w:tcW w:w="840" w:type="dxa"/>
            <w:vMerge w:val="restart"/>
            <w:tcBorders>
              <w:top w:val="single" w:color="auto" w:sz="12" w:space="0"/>
              <w:left w:val="single" w:color="auto" w:sz="4" w:space="0"/>
            </w:tcBorders>
            <w:vAlign w:val="center"/>
          </w:tcPr>
          <w:p w14:paraId="38F99D7B">
            <w:pPr>
              <w:snapToGrid w:val="0"/>
              <w:rPr>
                <w:rFonts w:hint="eastAsia" w:ascii="宋体" w:hAnsi="宋体"/>
                <w:color w:val="auto"/>
                <w:szCs w:val="21"/>
                <w:highlight w:val="none"/>
              </w:rPr>
            </w:pPr>
            <w:r>
              <w:rPr>
                <w:rFonts w:hint="eastAsia" w:ascii="宋体" w:hAnsi="宋体"/>
                <w:color w:val="auto"/>
                <w:szCs w:val="21"/>
                <w:highlight w:val="none"/>
              </w:rPr>
              <w:t>评分</w:t>
            </w:r>
          </w:p>
          <w:p w14:paraId="79C600C5">
            <w:pPr>
              <w:snapToGrid w:val="0"/>
              <w:rPr>
                <w:rFonts w:hint="eastAsia" w:ascii="宋体" w:hAnsi="宋体"/>
                <w:color w:val="auto"/>
                <w:szCs w:val="21"/>
                <w:highlight w:val="none"/>
              </w:rPr>
            </w:pPr>
            <w:r>
              <w:rPr>
                <w:rFonts w:hint="eastAsia" w:ascii="宋体" w:hAnsi="宋体"/>
                <w:color w:val="auto"/>
                <w:szCs w:val="21"/>
                <w:highlight w:val="none"/>
              </w:rPr>
              <w:t>标准</w:t>
            </w:r>
          </w:p>
        </w:tc>
        <w:tc>
          <w:tcPr>
            <w:tcW w:w="8142" w:type="dxa"/>
            <w:gridSpan w:val="6"/>
            <w:tcBorders>
              <w:top w:val="single" w:color="auto" w:sz="12" w:space="0"/>
            </w:tcBorders>
            <w:vAlign w:val="center"/>
          </w:tcPr>
          <w:p w14:paraId="41028013">
            <w:pPr>
              <w:tabs>
                <w:tab w:val="left" w:pos="420"/>
              </w:tabs>
              <w:snapToGrid w:val="0"/>
              <w:jc w:val="center"/>
              <w:rPr>
                <w:rFonts w:hint="eastAsia" w:ascii="宋体" w:hAnsi="宋体"/>
                <w:b/>
                <w:bCs/>
                <w:color w:val="auto"/>
                <w:szCs w:val="21"/>
                <w:highlight w:val="none"/>
              </w:rPr>
            </w:pPr>
            <w:r>
              <w:rPr>
                <w:rFonts w:hint="eastAsia" w:ascii="宋体" w:hAnsi="宋体"/>
                <w:b/>
                <w:bCs/>
                <w:color w:val="auto"/>
                <w:szCs w:val="21"/>
                <w:highlight w:val="none"/>
              </w:rPr>
              <w:t>适用于评标办法采用经评审的最低投标价法、合理低价法、技术评分最低标价法的项目</w:t>
            </w:r>
          </w:p>
        </w:tc>
      </w:tr>
      <w:tr w14:paraId="6D47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79C6D775">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45A1D581">
            <w:pPr>
              <w:snapToGrid w:val="0"/>
              <w:ind w:firstLine="560"/>
              <w:rPr>
                <w:rFonts w:hint="eastAsia" w:ascii="宋体" w:hAnsi="宋体"/>
                <w:color w:val="auto"/>
                <w:szCs w:val="21"/>
                <w:highlight w:val="none"/>
              </w:rPr>
            </w:pPr>
          </w:p>
        </w:tc>
        <w:tc>
          <w:tcPr>
            <w:tcW w:w="942" w:type="dxa"/>
            <w:vMerge w:val="restart"/>
            <w:tcBorders>
              <w:right w:val="single" w:color="auto" w:sz="4" w:space="0"/>
            </w:tcBorders>
            <w:vAlign w:val="center"/>
          </w:tcPr>
          <w:p w14:paraId="6D29162E">
            <w:pPr>
              <w:snapToGrid w:val="0"/>
              <w:jc w:val="left"/>
              <w:rPr>
                <w:rFonts w:hint="eastAsia" w:ascii="宋体" w:hAnsi="宋体"/>
                <w:color w:val="auto"/>
                <w:szCs w:val="21"/>
                <w:highlight w:val="none"/>
              </w:rPr>
            </w:pPr>
            <w:r>
              <w:rPr>
                <w:rFonts w:hint="eastAsia" w:ascii="宋体" w:hAnsi="宋体"/>
                <w:color w:val="auto"/>
                <w:szCs w:val="21"/>
                <w:highlight w:val="none"/>
              </w:rPr>
              <w:t>类似工程业绩（12分）</w:t>
            </w:r>
          </w:p>
        </w:tc>
        <w:tc>
          <w:tcPr>
            <w:tcW w:w="2268" w:type="dxa"/>
            <w:gridSpan w:val="2"/>
            <w:tcBorders>
              <w:left w:val="single" w:color="auto" w:sz="4" w:space="0"/>
              <w:right w:val="single" w:color="auto" w:sz="2" w:space="0"/>
            </w:tcBorders>
            <w:vAlign w:val="center"/>
          </w:tcPr>
          <w:p w14:paraId="7412D626">
            <w:pPr>
              <w:snapToGrid w:val="0"/>
              <w:jc w:val="left"/>
              <w:rPr>
                <w:rFonts w:hint="eastAsia" w:ascii="宋体" w:hAnsi="宋体"/>
                <w:color w:val="auto"/>
                <w:szCs w:val="21"/>
                <w:highlight w:val="none"/>
              </w:rPr>
            </w:pPr>
            <w:r>
              <w:rPr>
                <w:rFonts w:hint="eastAsia" w:ascii="宋体" w:hAnsi="宋体"/>
                <w:color w:val="auto"/>
                <w:szCs w:val="21"/>
                <w:highlight w:val="none"/>
              </w:rPr>
              <w:t>申请人（0-10分）</w:t>
            </w:r>
          </w:p>
        </w:tc>
        <w:tc>
          <w:tcPr>
            <w:tcW w:w="2693" w:type="dxa"/>
            <w:tcBorders>
              <w:left w:val="single" w:color="auto" w:sz="4" w:space="0"/>
              <w:right w:val="single" w:color="auto" w:sz="4" w:space="0"/>
            </w:tcBorders>
            <w:vAlign w:val="center"/>
          </w:tcPr>
          <w:p w14:paraId="252A7459">
            <w:pPr>
              <w:snapToGrid w:val="0"/>
              <w:jc w:val="left"/>
              <w:rPr>
                <w:rFonts w:hint="eastAsia" w:ascii="宋体" w:hAnsi="宋体"/>
                <w:color w:val="auto"/>
                <w:szCs w:val="21"/>
                <w:highlight w:val="none"/>
              </w:rPr>
            </w:pPr>
            <w:r>
              <w:rPr>
                <w:rFonts w:hint="eastAsia" w:ascii="宋体" w:hAnsi="宋体"/>
                <w:color w:val="auto"/>
                <w:szCs w:val="21"/>
                <w:highlight w:val="none"/>
              </w:rPr>
              <w:t>详见申请人须知前附表9.1“加分要求的申请人类似工程业绩”。</w:t>
            </w:r>
          </w:p>
        </w:tc>
        <w:tc>
          <w:tcPr>
            <w:tcW w:w="1418" w:type="dxa"/>
            <w:vMerge w:val="restart"/>
            <w:tcBorders>
              <w:left w:val="single" w:color="auto" w:sz="4" w:space="0"/>
              <w:right w:val="single" w:color="auto" w:sz="4" w:space="0"/>
            </w:tcBorders>
            <w:vAlign w:val="center"/>
          </w:tcPr>
          <w:p w14:paraId="1B9BC7AB">
            <w:pPr>
              <w:snapToGrid w:val="0"/>
              <w:jc w:val="left"/>
              <w:rPr>
                <w:rFonts w:hint="eastAsia" w:ascii="宋体" w:hAnsi="宋体"/>
                <w:color w:val="auto"/>
                <w:szCs w:val="21"/>
                <w:highlight w:val="none"/>
              </w:rPr>
            </w:pPr>
            <w:r>
              <w:rPr>
                <w:rFonts w:hint="eastAsia" w:ascii="宋体" w:hAnsi="宋体"/>
                <w:color w:val="auto"/>
                <w:szCs w:val="21"/>
                <w:highlight w:val="none"/>
              </w:rPr>
              <w:t>招标人根据项目特点自主选择纳入评审的业绩个数</w:t>
            </w:r>
          </w:p>
        </w:tc>
        <w:tc>
          <w:tcPr>
            <w:tcW w:w="821" w:type="dxa"/>
            <w:vMerge w:val="restart"/>
            <w:tcBorders>
              <w:left w:val="single" w:color="auto" w:sz="4" w:space="0"/>
            </w:tcBorders>
            <w:vAlign w:val="center"/>
          </w:tcPr>
          <w:p w14:paraId="45A5A2C9">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加分制</w:t>
            </w:r>
          </w:p>
        </w:tc>
      </w:tr>
      <w:tr w14:paraId="6881A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615CAD41">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11E18F38">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41F766DB">
            <w:pPr>
              <w:snapToGrid w:val="0"/>
              <w:ind w:firstLine="560"/>
              <w:jc w:val="left"/>
              <w:rPr>
                <w:rFonts w:hint="eastAsia" w:ascii="宋体" w:hAnsi="宋体"/>
                <w:color w:val="auto"/>
                <w:szCs w:val="21"/>
                <w:highlight w:val="none"/>
              </w:rPr>
            </w:pPr>
          </w:p>
        </w:tc>
        <w:tc>
          <w:tcPr>
            <w:tcW w:w="2268" w:type="dxa"/>
            <w:gridSpan w:val="2"/>
            <w:tcBorders>
              <w:left w:val="single" w:color="auto" w:sz="4" w:space="0"/>
              <w:right w:val="single" w:color="auto" w:sz="2" w:space="0"/>
            </w:tcBorders>
            <w:vAlign w:val="center"/>
          </w:tcPr>
          <w:p w14:paraId="4033E6AC">
            <w:pPr>
              <w:snapToGrid w:val="0"/>
              <w:jc w:val="left"/>
              <w:rPr>
                <w:rFonts w:hint="eastAsia" w:ascii="宋体" w:hAnsi="宋体"/>
                <w:color w:val="auto"/>
                <w:szCs w:val="21"/>
                <w:highlight w:val="none"/>
              </w:rPr>
            </w:pPr>
            <w:r>
              <w:rPr>
                <w:rFonts w:hint="eastAsia" w:ascii="宋体" w:hAnsi="宋体"/>
                <w:color w:val="auto"/>
                <w:szCs w:val="21"/>
                <w:highlight w:val="none"/>
              </w:rPr>
              <w:t>项目经理（0-2分）</w:t>
            </w:r>
          </w:p>
        </w:tc>
        <w:tc>
          <w:tcPr>
            <w:tcW w:w="2693" w:type="dxa"/>
            <w:tcBorders>
              <w:left w:val="single" w:color="auto" w:sz="4" w:space="0"/>
              <w:right w:val="single" w:color="auto" w:sz="4" w:space="0"/>
            </w:tcBorders>
            <w:vAlign w:val="center"/>
          </w:tcPr>
          <w:p w14:paraId="69764CB9">
            <w:pPr>
              <w:snapToGrid w:val="0"/>
              <w:jc w:val="left"/>
              <w:rPr>
                <w:rFonts w:hint="eastAsia" w:ascii="宋体" w:hAnsi="宋体"/>
                <w:color w:val="auto"/>
                <w:szCs w:val="21"/>
                <w:highlight w:val="none"/>
              </w:rPr>
            </w:pPr>
            <w:r>
              <w:rPr>
                <w:rFonts w:hint="eastAsia" w:ascii="宋体" w:hAnsi="宋体"/>
                <w:color w:val="auto"/>
                <w:szCs w:val="21"/>
                <w:highlight w:val="none"/>
              </w:rPr>
              <w:t>详见申请人须知前附表9.1“加分要求的项目经理类似工程业绩”。</w:t>
            </w:r>
          </w:p>
        </w:tc>
        <w:tc>
          <w:tcPr>
            <w:tcW w:w="1418" w:type="dxa"/>
            <w:vMerge w:val="continue"/>
            <w:tcBorders>
              <w:left w:val="single" w:color="auto" w:sz="4" w:space="0"/>
              <w:right w:val="single" w:color="auto" w:sz="4" w:space="0"/>
            </w:tcBorders>
            <w:vAlign w:val="center"/>
          </w:tcPr>
          <w:p w14:paraId="765B86F6">
            <w:pPr>
              <w:snapToGrid w:val="0"/>
              <w:ind w:firstLine="560"/>
              <w:jc w:val="left"/>
              <w:rPr>
                <w:rFonts w:hint="eastAsia" w:ascii="宋体" w:hAnsi="宋体"/>
                <w:color w:val="auto"/>
                <w:szCs w:val="21"/>
                <w:highlight w:val="none"/>
              </w:rPr>
            </w:pPr>
          </w:p>
        </w:tc>
        <w:tc>
          <w:tcPr>
            <w:tcW w:w="821" w:type="dxa"/>
            <w:vMerge w:val="continue"/>
            <w:tcBorders>
              <w:left w:val="single" w:color="auto" w:sz="4" w:space="0"/>
            </w:tcBorders>
            <w:vAlign w:val="center"/>
          </w:tcPr>
          <w:p w14:paraId="709F1A4B">
            <w:pPr>
              <w:tabs>
                <w:tab w:val="left" w:pos="420"/>
              </w:tabs>
              <w:snapToGrid w:val="0"/>
              <w:ind w:firstLine="560"/>
              <w:jc w:val="left"/>
              <w:rPr>
                <w:rFonts w:hint="eastAsia" w:ascii="宋体" w:hAnsi="宋体"/>
                <w:color w:val="auto"/>
                <w:szCs w:val="21"/>
                <w:highlight w:val="none"/>
              </w:rPr>
            </w:pPr>
          </w:p>
        </w:tc>
      </w:tr>
      <w:tr w14:paraId="6A96C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1EF634BD">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2B606466">
            <w:pPr>
              <w:snapToGrid w:val="0"/>
              <w:ind w:firstLine="560"/>
              <w:rPr>
                <w:rFonts w:hint="eastAsia" w:ascii="宋体" w:hAnsi="宋体"/>
                <w:color w:val="auto"/>
                <w:szCs w:val="21"/>
                <w:highlight w:val="none"/>
              </w:rPr>
            </w:pPr>
          </w:p>
        </w:tc>
        <w:tc>
          <w:tcPr>
            <w:tcW w:w="3210" w:type="dxa"/>
            <w:gridSpan w:val="3"/>
            <w:tcBorders>
              <w:right w:val="single" w:color="auto" w:sz="2" w:space="0"/>
            </w:tcBorders>
            <w:vAlign w:val="center"/>
          </w:tcPr>
          <w:p w14:paraId="323BE350">
            <w:pPr>
              <w:snapToGrid w:val="0"/>
              <w:ind w:firstLine="560"/>
              <w:jc w:val="left"/>
              <w:rPr>
                <w:rFonts w:hint="eastAsia" w:ascii="宋体" w:hAnsi="宋体"/>
                <w:color w:val="auto"/>
                <w:szCs w:val="21"/>
                <w:highlight w:val="none"/>
              </w:rPr>
            </w:pPr>
            <w:r>
              <w:rPr>
                <w:rFonts w:hint="eastAsia" w:ascii="宋体" w:hAnsi="宋体"/>
                <w:color w:val="auto"/>
                <w:szCs w:val="21"/>
                <w:highlight w:val="none"/>
              </w:rPr>
              <w:t>信用（20分）</w:t>
            </w:r>
          </w:p>
        </w:tc>
        <w:tc>
          <w:tcPr>
            <w:tcW w:w="2693" w:type="dxa"/>
            <w:tcBorders>
              <w:left w:val="single" w:color="auto" w:sz="4" w:space="0"/>
              <w:right w:val="single" w:color="auto" w:sz="4" w:space="0"/>
            </w:tcBorders>
            <w:vAlign w:val="center"/>
          </w:tcPr>
          <w:p w14:paraId="1946C794">
            <w:pPr>
              <w:snapToGrid w:val="0"/>
              <w:jc w:val="left"/>
              <w:rPr>
                <w:rFonts w:hint="eastAsia" w:ascii="宋体" w:hAnsi="宋体"/>
                <w:color w:val="auto"/>
                <w:szCs w:val="21"/>
                <w:highlight w:val="none"/>
              </w:rPr>
            </w:pPr>
            <w:r>
              <w:rPr>
                <w:rFonts w:hint="eastAsia" w:asciiTheme="majorEastAsia" w:hAnsiTheme="majorEastAsia" w:eastAsiaTheme="majorEastAsia"/>
                <w:color w:val="auto"/>
                <w:szCs w:val="21"/>
                <w:highlight w:val="none"/>
              </w:rPr>
              <w:t>详见申请人须知前附表9.4“信用评价要求”</w:t>
            </w:r>
          </w:p>
        </w:tc>
        <w:tc>
          <w:tcPr>
            <w:tcW w:w="1418" w:type="dxa"/>
            <w:tcBorders>
              <w:left w:val="single" w:color="auto" w:sz="4" w:space="0"/>
              <w:right w:val="single" w:color="auto" w:sz="4" w:space="0"/>
            </w:tcBorders>
            <w:vAlign w:val="center"/>
          </w:tcPr>
          <w:p w14:paraId="78C83F0C">
            <w:pPr>
              <w:snapToGrid w:val="0"/>
              <w:jc w:val="left"/>
              <w:rPr>
                <w:rFonts w:hint="eastAsia" w:ascii="宋体" w:hAnsi="宋体"/>
                <w:color w:val="auto"/>
                <w:szCs w:val="21"/>
                <w:highlight w:val="none"/>
              </w:rPr>
            </w:pPr>
            <w:r>
              <w:rPr>
                <w:rFonts w:hint="eastAsia" w:ascii="宋体" w:hAnsi="宋体"/>
                <w:color w:val="auto"/>
                <w:szCs w:val="21"/>
                <w:highlight w:val="none"/>
              </w:rPr>
              <w:t>必选项</w:t>
            </w:r>
          </w:p>
        </w:tc>
        <w:tc>
          <w:tcPr>
            <w:tcW w:w="821" w:type="dxa"/>
            <w:tcBorders>
              <w:left w:val="single" w:color="auto" w:sz="4" w:space="0"/>
            </w:tcBorders>
            <w:vAlign w:val="center"/>
          </w:tcPr>
          <w:p w14:paraId="0B7E9DBE">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加分制</w:t>
            </w:r>
          </w:p>
        </w:tc>
      </w:tr>
      <w:tr w14:paraId="07E51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55" w:type="dxa"/>
            <w:vMerge w:val="continue"/>
            <w:tcBorders>
              <w:right w:val="single" w:color="auto" w:sz="4" w:space="0"/>
            </w:tcBorders>
            <w:vAlign w:val="center"/>
          </w:tcPr>
          <w:p w14:paraId="3209AE99">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669F5B4A">
            <w:pPr>
              <w:snapToGrid w:val="0"/>
              <w:ind w:firstLine="560"/>
              <w:rPr>
                <w:rFonts w:hint="eastAsia" w:ascii="宋体" w:hAnsi="宋体"/>
                <w:color w:val="auto"/>
                <w:szCs w:val="21"/>
                <w:highlight w:val="none"/>
              </w:rPr>
            </w:pPr>
          </w:p>
        </w:tc>
        <w:tc>
          <w:tcPr>
            <w:tcW w:w="3210" w:type="dxa"/>
            <w:gridSpan w:val="3"/>
            <w:vMerge w:val="restart"/>
            <w:tcBorders>
              <w:right w:val="single" w:color="auto" w:sz="2" w:space="0"/>
            </w:tcBorders>
            <w:vAlign w:val="center"/>
          </w:tcPr>
          <w:p w14:paraId="1909269B">
            <w:pPr>
              <w:snapToGrid w:val="0"/>
              <w:jc w:val="left"/>
              <w:rPr>
                <w:rFonts w:hint="eastAsia" w:ascii="宋体" w:hAnsi="宋体"/>
                <w:color w:val="auto"/>
                <w:szCs w:val="21"/>
                <w:highlight w:val="none"/>
              </w:rPr>
            </w:pPr>
            <w:r>
              <w:rPr>
                <w:rFonts w:hint="eastAsia" w:ascii="宋体" w:hAnsi="宋体"/>
                <w:color w:val="auto"/>
                <w:szCs w:val="21"/>
                <w:highlight w:val="none"/>
              </w:rPr>
              <w:t>项目经理不良信用信息（20分）</w:t>
            </w:r>
          </w:p>
        </w:tc>
        <w:tc>
          <w:tcPr>
            <w:tcW w:w="2693" w:type="dxa"/>
            <w:tcBorders>
              <w:left w:val="single" w:color="auto" w:sz="4" w:space="0"/>
              <w:bottom w:val="single" w:color="auto" w:sz="4" w:space="0"/>
              <w:right w:val="single" w:color="auto" w:sz="4" w:space="0"/>
            </w:tcBorders>
            <w:vAlign w:val="center"/>
          </w:tcPr>
          <w:p w14:paraId="4199A980">
            <w:pPr>
              <w:snapToGrid w:val="0"/>
              <w:jc w:val="left"/>
              <w:rPr>
                <w:rFonts w:hint="eastAsia" w:ascii="宋体" w:hAnsi="宋体"/>
                <w:color w:val="auto"/>
                <w:szCs w:val="21"/>
                <w:highlight w:val="none"/>
              </w:rPr>
            </w:pPr>
            <w:r>
              <w:rPr>
                <w:rFonts w:hint="eastAsia" w:ascii="宋体" w:hAnsi="宋体"/>
                <w:color w:val="auto"/>
                <w:szCs w:val="21"/>
                <w:highlight w:val="none"/>
              </w:rPr>
              <w:t>无不良信用信息的，计20分</w:t>
            </w:r>
          </w:p>
        </w:tc>
        <w:tc>
          <w:tcPr>
            <w:tcW w:w="1418" w:type="dxa"/>
            <w:vMerge w:val="restart"/>
            <w:tcBorders>
              <w:left w:val="single" w:color="auto" w:sz="4" w:space="0"/>
              <w:right w:val="single" w:color="auto" w:sz="4" w:space="0"/>
            </w:tcBorders>
            <w:vAlign w:val="center"/>
          </w:tcPr>
          <w:p w14:paraId="569898D1">
            <w:pPr>
              <w:snapToGrid w:val="0"/>
              <w:jc w:val="left"/>
              <w:rPr>
                <w:rFonts w:hint="eastAsia" w:ascii="宋体" w:hAnsi="宋体"/>
                <w:color w:val="auto"/>
                <w:szCs w:val="21"/>
                <w:highlight w:val="none"/>
              </w:rPr>
            </w:pPr>
            <w:r>
              <w:rPr>
                <w:rFonts w:hint="eastAsia" w:ascii="宋体" w:hAnsi="宋体"/>
                <w:color w:val="auto"/>
                <w:szCs w:val="21"/>
                <w:highlight w:val="none"/>
              </w:rPr>
              <w:t>必选项</w:t>
            </w:r>
          </w:p>
        </w:tc>
        <w:tc>
          <w:tcPr>
            <w:tcW w:w="821" w:type="dxa"/>
            <w:vMerge w:val="restart"/>
            <w:tcBorders>
              <w:left w:val="single" w:color="auto" w:sz="4" w:space="0"/>
            </w:tcBorders>
            <w:vAlign w:val="center"/>
          </w:tcPr>
          <w:p w14:paraId="22106219">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扣分制</w:t>
            </w:r>
          </w:p>
        </w:tc>
      </w:tr>
      <w:tr w14:paraId="1AAB6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755" w:type="dxa"/>
            <w:vMerge w:val="continue"/>
            <w:tcBorders>
              <w:right w:val="single" w:color="auto" w:sz="4" w:space="0"/>
            </w:tcBorders>
            <w:vAlign w:val="center"/>
          </w:tcPr>
          <w:p w14:paraId="4031BB9F">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507D7FCA">
            <w:pPr>
              <w:snapToGrid w:val="0"/>
              <w:ind w:firstLine="560"/>
              <w:rPr>
                <w:rFonts w:hint="eastAsia" w:ascii="宋体" w:hAnsi="宋体"/>
                <w:color w:val="auto"/>
                <w:szCs w:val="21"/>
                <w:highlight w:val="none"/>
              </w:rPr>
            </w:pPr>
          </w:p>
        </w:tc>
        <w:tc>
          <w:tcPr>
            <w:tcW w:w="3210" w:type="dxa"/>
            <w:gridSpan w:val="3"/>
            <w:vMerge w:val="continue"/>
            <w:tcBorders>
              <w:right w:val="single" w:color="auto" w:sz="2" w:space="0"/>
            </w:tcBorders>
            <w:vAlign w:val="center"/>
          </w:tcPr>
          <w:p w14:paraId="151259CC">
            <w:pPr>
              <w:snapToGrid w:val="0"/>
              <w:ind w:firstLine="560"/>
              <w:jc w:val="left"/>
              <w:rPr>
                <w:rFonts w:hint="eastAsia" w:ascii="宋体" w:hAnsi="宋体"/>
                <w:color w:val="auto"/>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0D3FAE35">
            <w:pPr>
              <w:snapToGrid w:val="0"/>
              <w:jc w:val="left"/>
              <w:rPr>
                <w:rFonts w:hint="eastAsia" w:ascii="宋体" w:hAnsi="宋体"/>
                <w:color w:val="auto"/>
                <w:szCs w:val="21"/>
                <w:highlight w:val="none"/>
              </w:rPr>
            </w:pPr>
            <w:r>
              <w:rPr>
                <w:rFonts w:hint="eastAsia" w:ascii="宋体" w:hAnsi="宋体"/>
                <w:color w:val="auto"/>
                <w:szCs w:val="21"/>
                <w:highlight w:val="none"/>
              </w:rPr>
              <w:t>有不良信用信息的，根据不良信用信息类型，按照表后注解对应的分值进行扣分，扣完为止。</w:t>
            </w:r>
          </w:p>
        </w:tc>
        <w:tc>
          <w:tcPr>
            <w:tcW w:w="1418" w:type="dxa"/>
            <w:vMerge w:val="continue"/>
            <w:tcBorders>
              <w:left w:val="single" w:color="auto" w:sz="4" w:space="0"/>
              <w:right w:val="single" w:color="auto" w:sz="4" w:space="0"/>
            </w:tcBorders>
            <w:vAlign w:val="center"/>
          </w:tcPr>
          <w:p w14:paraId="588692E6">
            <w:pPr>
              <w:snapToGrid w:val="0"/>
              <w:ind w:firstLine="560"/>
              <w:jc w:val="left"/>
              <w:rPr>
                <w:rFonts w:hint="eastAsia" w:ascii="宋体" w:hAnsi="宋体"/>
                <w:color w:val="auto"/>
                <w:szCs w:val="21"/>
                <w:highlight w:val="none"/>
              </w:rPr>
            </w:pPr>
          </w:p>
        </w:tc>
        <w:tc>
          <w:tcPr>
            <w:tcW w:w="821" w:type="dxa"/>
            <w:vMerge w:val="continue"/>
            <w:tcBorders>
              <w:left w:val="single" w:color="auto" w:sz="4" w:space="0"/>
            </w:tcBorders>
            <w:vAlign w:val="center"/>
          </w:tcPr>
          <w:p w14:paraId="00422CC5">
            <w:pPr>
              <w:tabs>
                <w:tab w:val="left" w:pos="420"/>
              </w:tabs>
              <w:snapToGrid w:val="0"/>
              <w:ind w:firstLine="560"/>
              <w:jc w:val="left"/>
              <w:rPr>
                <w:rFonts w:hint="eastAsia" w:ascii="宋体" w:hAnsi="宋体"/>
                <w:color w:val="auto"/>
                <w:szCs w:val="21"/>
                <w:highlight w:val="none"/>
              </w:rPr>
            </w:pPr>
          </w:p>
        </w:tc>
      </w:tr>
      <w:tr w14:paraId="11F30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55" w:type="dxa"/>
            <w:vMerge w:val="restart"/>
            <w:tcBorders>
              <w:top w:val="single" w:color="auto" w:sz="12" w:space="0"/>
              <w:right w:val="single" w:color="auto" w:sz="4" w:space="0"/>
            </w:tcBorders>
            <w:vAlign w:val="center"/>
          </w:tcPr>
          <w:p w14:paraId="23DAEF02">
            <w:pPr>
              <w:snapToGrid w:val="0"/>
              <w:jc w:val="center"/>
              <w:rPr>
                <w:rFonts w:hint="eastAsia" w:ascii="宋体" w:hAnsi="宋体"/>
                <w:color w:val="auto"/>
                <w:szCs w:val="21"/>
                <w:highlight w:val="none"/>
              </w:rPr>
            </w:pPr>
            <w:r>
              <w:rPr>
                <w:rFonts w:hint="eastAsia" w:ascii="宋体" w:hAnsi="宋体"/>
                <w:color w:val="auto"/>
                <w:szCs w:val="21"/>
                <w:highlight w:val="none"/>
              </w:rPr>
              <w:t>2.3</w:t>
            </w:r>
          </w:p>
        </w:tc>
        <w:tc>
          <w:tcPr>
            <w:tcW w:w="840" w:type="dxa"/>
            <w:vMerge w:val="restart"/>
            <w:tcBorders>
              <w:top w:val="single" w:color="auto" w:sz="12" w:space="0"/>
              <w:left w:val="single" w:color="auto" w:sz="4" w:space="0"/>
            </w:tcBorders>
            <w:vAlign w:val="center"/>
          </w:tcPr>
          <w:p w14:paraId="2A564298">
            <w:pPr>
              <w:snapToGrid w:val="0"/>
              <w:rPr>
                <w:rFonts w:hint="eastAsia" w:ascii="宋体" w:hAnsi="宋体"/>
                <w:color w:val="auto"/>
                <w:szCs w:val="21"/>
                <w:highlight w:val="none"/>
              </w:rPr>
            </w:pPr>
            <w:r>
              <w:rPr>
                <w:rFonts w:hint="eastAsia" w:ascii="宋体" w:hAnsi="宋体"/>
                <w:color w:val="auto"/>
                <w:szCs w:val="21"/>
                <w:highlight w:val="none"/>
              </w:rPr>
              <w:t>评分</w:t>
            </w:r>
          </w:p>
          <w:p w14:paraId="522F9B00">
            <w:pPr>
              <w:snapToGrid w:val="0"/>
              <w:rPr>
                <w:rFonts w:hint="eastAsia" w:ascii="宋体" w:hAnsi="宋体"/>
                <w:color w:val="auto"/>
                <w:szCs w:val="21"/>
                <w:highlight w:val="none"/>
              </w:rPr>
            </w:pPr>
            <w:r>
              <w:rPr>
                <w:rFonts w:hint="eastAsia" w:ascii="宋体" w:hAnsi="宋体"/>
                <w:color w:val="auto"/>
                <w:szCs w:val="21"/>
                <w:highlight w:val="none"/>
              </w:rPr>
              <w:t>标准</w:t>
            </w:r>
          </w:p>
        </w:tc>
        <w:tc>
          <w:tcPr>
            <w:tcW w:w="8142" w:type="dxa"/>
            <w:gridSpan w:val="6"/>
            <w:tcBorders>
              <w:top w:val="single" w:color="auto" w:sz="12" w:space="0"/>
            </w:tcBorders>
            <w:vAlign w:val="center"/>
          </w:tcPr>
          <w:p w14:paraId="7327EAFA">
            <w:pPr>
              <w:tabs>
                <w:tab w:val="left" w:pos="420"/>
              </w:tabs>
              <w:snapToGrid w:val="0"/>
              <w:jc w:val="center"/>
              <w:rPr>
                <w:rFonts w:hint="eastAsia" w:ascii="宋体" w:hAnsi="宋体"/>
                <w:b/>
                <w:bCs/>
                <w:color w:val="auto"/>
                <w:szCs w:val="21"/>
                <w:highlight w:val="none"/>
              </w:rPr>
            </w:pPr>
            <w:r>
              <w:rPr>
                <w:rFonts w:hint="eastAsia" w:ascii="宋体" w:hAnsi="宋体"/>
                <w:b/>
                <w:bCs/>
                <w:color w:val="auto"/>
                <w:szCs w:val="21"/>
                <w:highlight w:val="none"/>
              </w:rPr>
              <w:t>适用于评标办法采用综合评估法1、综合评估法2的项目</w:t>
            </w:r>
          </w:p>
        </w:tc>
      </w:tr>
      <w:tr w14:paraId="2A5E0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48" w:hRule="atLeast"/>
          <w:jc w:val="center"/>
        </w:trPr>
        <w:tc>
          <w:tcPr>
            <w:tcW w:w="755" w:type="dxa"/>
            <w:vMerge w:val="continue"/>
            <w:tcBorders>
              <w:right w:val="single" w:color="auto" w:sz="4" w:space="0"/>
            </w:tcBorders>
            <w:vAlign w:val="center"/>
          </w:tcPr>
          <w:p w14:paraId="7933E350">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201727E2">
            <w:pPr>
              <w:snapToGrid w:val="0"/>
              <w:ind w:firstLine="560"/>
              <w:jc w:val="center"/>
              <w:rPr>
                <w:rFonts w:hint="eastAsia" w:ascii="宋体" w:hAnsi="宋体"/>
                <w:color w:val="auto"/>
                <w:szCs w:val="21"/>
                <w:highlight w:val="none"/>
              </w:rPr>
            </w:pPr>
          </w:p>
        </w:tc>
        <w:tc>
          <w:tcPr>
            <w:tcW w:w="942" w:type="dxa"/>
            <w:vMerge w:val="restart"/>
            <w:tcBorders>
              <w:right w:val="single" w:color="auto" w:sz="4" w:space="0"/>
            </w:tcBorders>
            <w:vAlign w:val="center"/>
          </w:tcPr>
          <w:p w14:paraId="06A963ED">
            <w:pPr>
              <w:snapToGrid w:val="0"/>
              <w:jc w:val="left"/>
              <w:rPr>
                <w:rFonts w:hint="eastAsia" w:ascii="宋体" w:hAnsi="宋体"/>
                <w:color w:val="auto"/>
                <w:szCs w:val="21"/>
                <w:highlight w:val="none"/>
              </w:rPr>
            </w:pPr>
            <w:r>
              <w:rPr>
                <w:rFonts w:hint="eastAsia" w:ascii="宋体" w:hAnsi="宋体"/>
                <w:color w:val="auto"/>
                <w:szCs w:val="21"/>
                <w:highlight w:val="none"/>
              </w:rPr>
              <w:t>财务状况（0-</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2268" w:type="dxa"/>
            <w:gridSpan w:val="2"/>
            <w:tcBorders>
              <w:left w:val="single" w:color="auto" w:sz="4" w:space="0"/>
              <w:right w:val="single" w:color="auto" w:sz="2" w:space="0"/>
            </w:tcBorders>
            <w:vAlign w:val="center"/>
          </w:tcPr>
          <w:p w14:paraId="4F975C06">
            <w:pPr>
              <w:snapToGrid w:val="0"/>
              <w:ind w:left="0" w:leftChars="0" w:firstLine="0" w:firstLineChars="0"/>
              <w:jc w:val="center"/>
              <w:rPr>
                <w:rFonts w:hint="eastAsia" w:ascii="宋体" w:hAnsi="宋体"/>
                <w:strike/>
                <w:color w:val="auto"/>
                <w:szCs w:val="21"/>
                <w:highlight w:val="none"/>
              </w:rPr>
            </w:pPr>
            <w:r>
              <w:rPr>
                <w:rFonts w:hint="eastAsia" w:ascii="宋体" w:hAnsi="宋体"/>
                <w:color w:val="auto"/>
                <w:szCs w:val="21"/>
                <w:highlight w:val="none"/>
              </w:rPr>
              <w:t>银行授信额度</w:t>
            </w:r>
          </w:p>
        </w:tc>
        <w:tc>
          <w:tcPr>
            <w:tcW w:w="2693" w:type="dxa"/>
            <w:tcBorders>
              <w:left w:val="single" w:color="auto" w:sz="4" w:space="0"/>
              <w:right w:val="single" w:color="auto" w:sz="4" w:space="0"/>
            </w:tcBorders>
            <w:vAlign w:val="center"/>
          </w:tcPr>
          <w:p w14:paraId="1343EE07">
            <w:pPr>
              <w:snapToGrid w:val="0"/>
              <w:jc w:val="left"/>
              <w:rPr>
                <w:rFonts w:hint="eastAsia" w:ascii="宋体" w:hAnsi="宋体"/>
                <w:color w:val="auto"/>
                <w:szCs w:val="21"/>
                <w:highlight w:val="none"/>
              </w:rPr>
            </w:pPr>
            <w:r>
              <w:rPr>
                <w:rFonts w:hint="eastAsia" w:ascii="宋体" w:hAnsi="宋体"/>
                <w:color w:val="auto"/>
                <w:szCs w:val="21"/>
                <w:highlight w:val="none"/>
              </w:rPr>
              <w:t>银行授信额度＞最高投标限价</w:t>
            </w:r>
            <w:r>
              <w:rPr>
                <w:rFonts w:hint="eastAsia" w:ascii="宋体" w:hAnsi="宋体"/>
                <w:color w:val="auto"/>
                <w:szCs w:val="21"/>
                <w:highlight w:val="none"/>
                <w:u w:val="single"/>
              </w:rPr>
              <w:t xml:space="preserve">   </w:t>
            </w:r>
            <w:r>
              <w:rPr>
                <w:rFonts w:hint="eastAsia" w:ascii="宋体" w:hAnsi="宋体"/>
                <w:color w:val="auto"/>
                <w:szCs w:val="21"/>
                <w:highlight w:val="none"/>
              </w:rPr>
              <w:t>倍（倍数选取区间为1-3倍，下同）时，得</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48555B57">
            <w:pPr>
              <w:snapToGrid w:val="0"/>
              <w:jc w:val="left"/>
              <w:rPr>
                <w:rFonts w:hint="eastAsia" w:ascii="宋体" w:hAnsi="宋体"/>
                <w:color w:val="auto"/>
                <w:szCs w:val="21"/>
                <w:highlight w:val="none"/>
              </w:rPr>
            </w:pPr>
            <w:r>
              <w:rPr>
                <w:rFonts w:hint="eastAsia" w:ascii="宋体" w:hAnsi="宋体"/>
                <w:color w:val="auto"/>
                <w:szCs w:val="21"/>
                <w:highlight w:val="none"/>
              </w:rPr>
              <w:t>最高投标限价≤银行授信额度≤最高投标限价</w:t>
            </w:r>
            <w:r>
              <w:rPr>
                <w:rFonts w:hint="eastAsia" w:ascii="宋体" w:hAnsi="宋体"/>
                <w:color w:val="auto"/>
                <w:szCs w:val="21"/>
                <w:highlight w:val="none"/>
                <w:u w:val="single"/>
              </w:rPr>
              <w:t xml:space="preserve">  </w:t>
            </w:r>
            <w:r>
              <w:rPr>
                <w:rFonts w:hint="eastAsia" w:ascii="宋体" w:hAnsi="宋体"/>
                <w:color w:val="auto"/>
                <w:szCs w:val="21"/>
                <w:highlight w:val="none"/>
              </w:rPr>
              <w:t>倍时，得</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p w14:paraId="05BF61E9">
            <w:pPr>
              <w:snapToGrid w:val="0"/>
              <w:jc w:val="left"/>
              <w:rPr>
                <w:rFonts w:hint="eastAsia" w:ascii="宋体" w:hAnsi="宋体"/>
                <w:strike/>
                <w:color w:val="auto"/>
                <w:szCs w:val="21"/>
                <w:highlight w:val="none"/>
              </w:rPr>
            </w:pPr>
            <w:r>
              <w:rPr>
                <w:rFonts w:hint="eastAsia" w:ascii="宋体" w:hAnsi="宋体"/>
                <w:color w:val="auto"/>
                <w:szCs w:val="21"/>
                <w:highlight w:val="none"/>
              </w:rPr>
              <w:t>银行授信额度＜最高投标限价时，得</w:t>
            </w:r>
            <w:r>
              <w:rPr>
                <w:rFonts w:hint="eastAsia" w:ascii="宋体" w:hAnsi="宋体"/>
                <w:color w:val="auto"/>
                <w:szCs w:val="21"/>
                <w:highlight w:val="none"/>
                <w:u w:val="single"/>
              </w:rPr>
              <w:t xml:space="preserve">   </w:t>
            </w:r>
            <w:r>
              <w:rPr>
                <w:rFonts w:hint="eastAsia" w:ascii="宋体" w:hAnsi="宋体"/>
                <w:color w:val="auto"/>
                <w:szCs w:val="21"/>
                <w:highlight w:val="none"/>
              </w:rPr>
              <w:t>分。</w:t>
            </w:r>
          </w:p>
        </w:tc>
        <w:tc>
          <w:tcPr>
            <w:tcW w:w="1418" w:type="dxa"/>
            <w:vMerge w:val="restart"/>
            <w:tcBorders>
              <w:left w:val="single" w:color="auto" w:sz="4" w:space="0"/>
              <w:right w:val="single" w:color="auto" w:sz="4" w:space="0"/>
            </w:tcBorders>
            <w:vAlign w:val="center"/>
          </w:tcPr>
          <w:p w14:paraId="348577DB">
            <w:pPr>
              <w:snapToGrid w:val="0"/>
              <w:jc w:val="left"/>
              <w:rPr>
                <w:rFonts w:hint="eastAsia" w:ascii="宋体" w:hAnsi="宋体"/>
                <w:strike/>
                <w:color w:val="auto"/>
                <w:szCs w:val="21"/>
                <w:highlight w:val="none"/>
              </w:rPr>
            </w:pPr>
            <w:r>
              <w:rPr>
                <w:rFonts w:hint="eastAsia" w:ascii="宋体" w:hAnsi="宋体"/>
                <w:color w:val="auto"/>
                <w:szCs w:val="21"/>
                <w:highlight w:val="none"/>
              </w:rPr>
              <w:t>招标人根据项目特点，确定是否纳入评审</w:t>
            </w:r>
          </w:p>
        </w:tc>
        <w:tc>
          <w:tcPr>
            <w:tcW w:w="821" w:type="dxa"/>
            <w:vMerge w:val="restart"/>
            <w:tcBorders>
              <w:left w:val="single" w:color="auto" w:sz="4" w:space="0"/>
            </w:tcBorders>
            <w:vAlign w:val="center"/>
          </w:tcPr>
          <w:p w14:paraId="5D4EF5B3">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根据具体指标进行明确</w:t>
            </w:r>
          </w:p>
        </w:tc>
      </w:tr>
      <w:tr w14:paraId="008EF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0ED5F313">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72FCBE86">
            <w:pPr>
              <w:snapToGrid w:val="0"/>
              <w:ind w:firstLine="560"/>
              <w:jc w:val="center"/>
              <w:rPr>
                <w:rFonts w:hint="eastAsia" w:ascii="宋体" w:hAnsi="宋体"/>
                <w:color w:val="auto"/>
                <w:szCs w:val="21"/>
                <w:highlight w:val="none"/>
              </w:rPr>
            </w:pPr>
          </w:p>
        </w:tc>
        <w:tc>
          <w:tcPr>
            <w:tcW w:w="942" w:type="dxa"/>
            <w:vMerge w:val="continue"/>
            <w:tcBorders>
              <w:right w:val="single" w:color="auto" w:sz="4" w:space="0"/>
            </w:tcBorders>
            <w:vAlign w:val="center"/>
          </w:tcPr>
          <w:p w14:paraId="5631326B">
            <w:pPr>
              <w:snapToGrid w:val="0"/>
              <w:ind w:firstLine="560"/>
              <w:jc w:val="left"/>
              <w:rPr>
                <w:rFonts w:hint="eastAsia" w:ascii="宋体" w:hAnsi="宋体"/>
                <w:color w:val="auto"/>
                <w:szCs w:val="21"/>
                <w:highlight w:val="none"/>
              </w:rPr>
            </w:pPr>
          </w:p>
        </w:tc>
        <w:tc>
          <w:tcPr>
            <w:tcW w:w="2268" w:type="dxa"/>
            <w:gridSpan w:val="2"/>
            <w:tcBorders>
              <w:left w:val="single" w:color="auto" w:sz="4" w:space="0"/>
              <w:right w:val="single" w:color="auto" w:sz="2" w:space="0"/>
            </w:tcBorders>
            <w:vAlign w:val="center"/>
          </w:tcPr>
          <w:p w14:paraId="279F39DC">
            <w:pPr>
              <w:snapToGrid w:val="0"/>
              <w:jc w:val="left"/>
              <w:rPr>
                <w:rFonts w:hint="eastAsia" w:ascii="宋体" w:hAnsi="宋体"/>
                <w:color w:val="auto"/>
                <w:szCs w:val="21"/>
                <w:highlight w:val="none"/>
              </w:rPr>
            </w:pPr>
            <w:r>
              <w:rPr>
                <w:rFonts w:hint="eastAsia" w:ascii="宋体" w:hAnsi="宋体"/>
                <w:color w:val="auto"/>
                <w:szCs w:val="21"/>
                <w:highlight w:val="none"/>
              </w:rPr>
              <w:t>其它财务相关因素（由招标人根据项目情况依法依规在资格预审文件中明确</w:t>
            </w:r>
            <w:r>
              <w:rPr>
                <w:rFonts w:hint="eastAsia" w:ascii="宋体" w:hAnsi="宋体" w:cs="宋体"/>
                <w:color w:val="auto"/>
                <w:szCs w:val="21"/>
                <w:highlight w:val="none"/>
              </w:rPr>
              <w:t>）</w:t>
            </w:r>
          </w:p>
        </w:tc>
        <w:tc>
          <w:tcPr>
            <w:tcW w:w="2693" w:type="dxa"/>
            <w:tcBorders>
              <w:left w:val="single" w:color="auto" w:sz="4" w:space="0"/>
              <w:right w:val="single" w:color="auto" w:sz="4" w:space="0"/>
            </w:tcBorders>
            <w:vAlign w:val="center"/>
          </w:tcPr>
          <w:p w14:paraId="6D32D0B0">
            <w:pPr>
              <w:snapToGrid w:val="0"/>
              <w:ind w:firstLine="560"/>
              <w:jc w:val="left"/>
              <w:rPr>
                <w:rFonts w:hint="eastAsia" w:ascii="宋体" w:hAnsi="宋体"/>
                <w:strike/>
                <w:color w:val="auto"/>
                <w:szCs w:val="21"/>
                <w:highlight w:val="none"/>
              </w:rPr>
            </w:pPr>
          </w:p>
        </w:tc>
        <w:tc>
          <w:tcPr>
            <w:tcW w:w="1418" w:type="dxa"/>
            <w:vMerge w:val="continue"/>
            <w:tcBorders>
              <w:left w:val="single" w:color="auto" w:sz="4" w:space="0"/>
              <w:right w:val="single" w:color="auto" w:sz="4" w:space="0"/>
            </w:tcBorders>
            <w:vAlign w:val="center"/>
          </w:tcPr>
          <w:p w14:paraId="3BE39C14">
            <w:pPr>
              <w:snapToGrid w:val="0"/>
              <w:ind w:firstLine="560"/>
              <w:jc w:val="left"/>
              <w:rPr>
                <w:rFonts w:hint="eastAsia" w:ascii="宋体" w:hAnsi="宋体"/>
                <w:color w:val="auto"/>
                <w:szCs w:val="21"/>
                <w:highlight w:val="none"/>
              </w:rPr>
            </w:pPr>
          </w:p>
        </w:tc>
        <w:tc>
          <w:tcPr>
            <w:tcW w:w="821" w:type="dxa"/>
            <w:vMerge w:val="continue"/>
            <w:tcBorders>
              <w:left w:val="single" w:color="auto" w:sz="4" w:space="0"/>
            </w:tcBorders>
            <w:vAlign w:val="center"/>
          </w:tcPr>
          <w:p w14:paraId="7C88C990">
            <w:pPr>
              <w:tabs>
                <w:tab w:val="left" w:pos="420"/>
              </w:tabs>
              <w:snapToGrid w:val="0"/>
              <w:ind w:firstLine="560"/>
              <w:jc w:val="left"/>
              <w:rPr>
                <w:rFonts w:hint="eastAsia" w:ascii="宋体" w:hAnsi="宋体"/>
                <w:color w:val="auto"/>
                <w:szCs w:val="21"/>
                <w:highlight w:val="none"/>
              </w:rPr>
            </w:pPr>
          </w:p>
        </w:tc>
      </w:tr>
      <w:tr w14:paraId="15DFA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5B7B9E8A">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542F5DFB">
            <w:pPr>
              <w:snapToGrid w:val="0"/>
              <w:ind w:firstLine="560"/>
              <w:jc w:val="center"/>
              <w:rPr>
                <w:rFonts w:hint="eastAsia" w:ascii="宋体" w:hAnsi="宋体"/>
                <w:color w:val="auto"/>
                <w:szCs w:val="21"/>
                <w:highlight w:val="none"/>
              </w:rPr>
            </w:pPr>
          </w:p>
        </w:tc>
        <w:tc>
          <w:tcPr>
            <w:tcW w:w="942" w:type="dxa"/>
            <w:vMerge w:val="continue"/>
            <w:tcBorders>
              <w:right w:val="single" w:color="auto" w:sz="4" w:space="0"/>
            </w:tcBorders>
            <w:vAlign w:val="center"/>
          </w:tcPr>
          <w:p w14:paraId="61B3699A">
            <w:pPr>
              <w:snapToGrid w:val="0"/>
              <w:ind w:firstLine="560"/>
              <w:jc w:val="left"/>
              <w:rPr>
                <w:rFonts w:hint="eastAsia" w:ascii="宋体" w:hAnsi="宋体"/>
                <w:color w:val="auto"/>
                <w:szCs w:val="21"/>
                <w:highlight w:val="none"/>
              </w:rPr>
            </w:pPr>
          </w:p>
        </w:tc>
        <w:tc>
          <w:tcPr>
            <w:tcW w:w="7200" w:type="dxa"/>
            <w:gridSpan w:val="5"/>
            <w:tcBorders>
              <w:left w:val="single" w:color="auto" w:sz="4" w:space="0"/>
            </w:tcBorders>
            <w:vAlign w:val="center"/>
          </w:tcPr>
          <w:p w14:paraId="5E3F1239">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注：设置的财务状况评分因素和标准，不得违背《招标投标领域公平竞争审查规则》(国家发改委等八部委令第16号)的相关规定。</w:t>
            </w:r>
          </w:p>
        </w:tc>
      </w:tr>
      <w:tr w14:paraId="43352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283D7BD6">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04D518C7">
            <w:pPr>
              <w:snapToGrid w:val="0"/>
              <w:ind w:firstLine="560"/>
              <w:rPr>
                <w:rFonts w:hint="eastAsia" w:ascii="宋体" w:hAnsi="宋体"/>
                <w:color w:val="auto"/>
                <w:szCs w:val="21"/>
                <w:highlight w:val="none"/>
              </w:rPr>
            </w:pPr>
          </w:p>
        </w:tc>
        <w:tc>
          <w:tcPr>
            <w:tcW w:w="942" w:type="dxa"/>
            <w:vMerge w:val="restart"/>
            <w:tcBorders>
              <w:right w:val="single" w:color="auto" w:sz="4" w:space="0"/>
            </w:tcBorders>
            <w:vAlign w:val="center"/>
          </w:tcPr>
          <w:p w14:paraId="6F48B890">
            <w:pPr>
              <w:snapToGrid w:val="0"/>
              <w:jc w:val="left"/>
              <w:rPr>
                <w:rFonts w:hint="eastAsia" w:ascii="宋体" w:hAnsi="宋体"/>
                <w:color w:val="auto"/>
                <w:szCs w:val="21"/>
                <w:highlight w:val="none"/>
              </w:rPr>
            </w:pPr>
            <w:r>
              <w:rPr>
                <w:rFonts w:hint="eastAsia" w:ascii="宋体" w:hAnsi="宋体"/>
                <w:color w:val="auto"/>
                <w:szCs w:val="21"/>
                <w:highlight w:val="none"/>
              </w:rPr>
              <w:t>类似工程业绩（12分）</w:t>
            </w:r>
          </w:p>
        </w:tc>
        <w:tc>
          <w:tcPr>
            <w:tcW w:w="2268" w:type="dxa"/>
            <w:gridSpan w:val="2"/>
            <w:tcBorders>
              <w:left w:val="single" w:color="auto" w:sz="4" w:space="0"/>
              <w:right w:val="single" w:color="auto" w:sz="2" w:space="0"/>
            </w:tcBorders>
            <w:vAlign w:val="center"/>
          </w:tcPr>
          <w:p w14:paraId="51CFB81C">
            <w:pPr>
              <w:snapToGrid w:val="0"/>
              <w:jc w:val="left"/>
              <w:rPr>
                <w:rFonts w:hint="eastAsia" w:ascii="宋体" w:hAnsi="宋体"/>
                <w:color w:val="auto"/>
                <w:szCs w:val="21"/>
                <w:highlight w:val="none"/>
              </w:rPr>
            </w:pPr>
            <w:r>
              <w:rPr>
                <w:rFonts w:hint="eastAsia" w:ascii="宋体" w:hAnsi="宋体"/>
                <w:color w:val="auto"/>
                <w:szCs w:val="21"/>
                <w:highlight w:val="none"/>
              </w:rPr>
              <w:t>申请人（0-10分）</w:t>
            </w:r>
          </w:p>
        </w:tc>
        <w:tc>
          <w:tcPr>
            <w:tcW w:w="2693" w:type="dxa"/>
            <w:tcBorders>
              <w:left w:val="single" w:color="auto" w:sz="4" w:space="0"/>
              <w:right w:val="single" w:color="auto" w:sz="4" w:space="0"/>
            </w:tcBorders>
            <w:vAlign w:val="center"/>
          </w:tcPr>
          <w:p w14:paraId="363A2322">
            <w:pPr>
              <w:snapToGrid w:val="0"/>
              <w:jc w:val="left"/>
              <w:rPr>
                <w:rFonts w:hint="eastAsia" w:ascii="宋体" w:hAnsi="宋体"/>
                <w:color w:val="auto"/>
                <w:szCs w:val="21"/>
                <w:highlight w:val="none"/>
              </w:rPr>
            </w:pPr>
            <w:r>
              <w:rPr>
                <w:rFonts w:hint="eastAsia" w:ascii="宋体" w:hAnsi="宋体"/>
                <w:color w:val="auto"/>
                <w:szCs w:val="21"/>
                <w:highlight w:val="none"/>
              </w:rPr>
              <w:t>详见申请人须知前附表9.1“加分要求的申请人类似工程业绩”。</w:t>
            </w:r>
          </w:p>
        </w:tc>
        <w:tc>
          <w:tcPr>
            <w:tcW w:w="1418" w:type="dxa"/>
            <w:vMerge w:val="restart"/>
            <w:tcBorders>
              <w:left w:val="single" w:color="auto" w:sz="4" w:space="0"/>
              <w:right w:val="single" w:color="auto" w:sz="4" w:space="0"/>
            </w:tcBorders>
            <w:vAlign w:val="center"/>
          </w:tcPr>
          <w:p w14:paraId="766D45F7">
            <w:pPr>
              <w:snapToGrid w:val="0"/>
              <w:jc w:val="left"/>
              <w:rPr>
                <w:rFonts w:hint="eastAsia" w:ascii="宋体" w:hAnsi="宋体"/>
                <w:color w:val="auto"/>
                <w:szCs w:val="21"/>
                <w:highlight w:val="none"/>
              </w:rPr>
            </w:pPr>
            <w:r>
              <w:rPr>
                <w:rFonts w:hint="eastAsia" w:ascii="宋体" w:hAnsi="宋体"/>
                <w:color w:val="auto"/>
                <w:szCs w:val="21"/>
                <w:highlight w:val="none"/>
              </w:rPr>
              <w:t>招标人根据项目特点自主选择纳入评审的业绩个数</w:t>
            </w:r>
          </w:p>
        </w:tc>
        <w:tc>
          <w:tcPr>
            <w:tcW w:w="821" w:type="dxa"/>
            <w:vMerge w:val="restart"/>
            <w:tcBorders>
              <w:left w:val="single" w:color="auto" w:sz="4" w:space="0"/>
            </w:tcBorders>
            <w:vAlign w:val="center"/>
          </w:tcPr>
          <w:p w14:paraId="1461F72A">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加分制</w:t>
            </w:r>
          </w:p>
        </w:tc>
      </w:tr>
      <w:tr w14:paraId="1FC32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55" w:type="dxa"/>
            <w:vMerge w:val="continue"/>
            <w:tcBorders>
              <w:right w:val="single" w:color="auto" w:sz="4" w:space="0"/>
            </w:tcBorders>
            <w:vAlign w:val="center"/>
          </w:tcPr>
          <w:p w14:paraId="307D788F">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19AC17CD">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0458F1EE">
            <w:pPr>
              <w:snapToGrid w:val="0"/>
              <w:ind w:firstLine="560"/>
              <w:jc w:val="left"/>
              <w:rPr>
                <w:rFonts w:hint="eastAsia" w:ascii="宋体" w:hAnsi="宋体"/>
                <w:color w:val="auto"/>
                <w:szCs w:val="21"/>
                <w:highlight w:val="none"/>
              </w:rPr>
            </w:pPr>
          </w:p>
        </w:tc>
        <w:tc>
          <w:tcPr>
            <w:tcW w:w="2268" w:type="dxa"/>
            <w:gridSpan w:val="2"/>
            <w:tcBorders>
              <w:left w:val="single" w:color="auto" w:sz="4" w:space="0"/>
              <w:right w:val="single" w:color="auto" w:sz="2" w:space="0"/>
            </w:tcBorders>
            <w:vAlign w:val="center"/>
          </w:tcPr>
          <w:p w14:paraId="0E4FA02C">
            <w:pPr>
              <w:snapToGrid w:val="0"/>
              <w:jc w:val="left"/>
              <w:rPr>
                <w:rFonts w:hint="eastAsia" w:ascii="宋体" w:hAnsi="宋体"/>
                <w:color w:val="auto"/>
                <w:szCs w:val="21"/>
                <w:highlight w:val="none"/>
              </w:rPr>
            </w:pPr>
            <w:r>
              <w:rPr>
                <w:rFonts w:hint="eastAsia" w:ascii="宋体" w:hAnsi="宋体"/>
                <w:color w:val="auto"/>
                <w:szCs w:val="21"/>
                <w:highlight w:val="none"/>
              </w:rPr>
              <w:t>项目经理（0-2分）</w:t>
            </w:r>
          </w:p>
        </w:tc>
        <w:tc>
          <w:tcPr>
            <w:tcW w:w="2693" w:type="dxa"/>
            <w:tcBorders>
              <w:left w:val="single" w:color="auto" w:sz="4" w:space="0"/>
              <w:right w:val="single" w:color="auto" w:sz="4" w:space="0"/>
            </w:tcBorders>
            <w:vAlign w:val="center"/>
          </w:tcPr>
          <w:p w14:paraId="5C1A121A">
            <w:pPr>
              <w:snapToGrid w:val="0"/>
              <w:jc w:val="left"/>
              <w:rPr>
                <w:rFonts w:hint="eastAsia" w:ascii="宋体" w:hAnsi="宋体"/>
                <w:color w:val="auto"/>
                <w:szCs w:val="21"/>
                <w:highlight w:val="none"/>
              </w:rPr>
            </w:pPr>
            <w:r>
              <w:rPr>
                <w:rFonts w:hint="eastAsia" w:ascii="宋体" w:hAnsi="宋体"/>
                <w:color w:val="auto"/>
                <w:szCs w:val="21"/>
                <w:highlight w:val="none"/>
              </w:rPr>
              <w:t>详见申请人须知前附表9.1“加分要求的项目经理类似工程业绩”。</w:t>
            </w:r>
          </w:p>
        </w:tc>
        <w:tc>
          <w:tcPr>
            <w:tcW w:w="1418" w:type="dxa"/>
            <w:vMerge w:val="continue"/>
            <w:tcBorders>
              <w:left w:val="single" w:color="auto" w:sz="4" w:space="0"/>
              <w:right w:val="single" w:color="auto" w:sz="4" w:space="0"/>
            </w:tcBorders>
            <w:vAlign w:val="center"/>
          </w:tcPr>
          <w:p w14:paraId="04DBCE9F">
            <w:pPr>
              <w:snapToGrid w:val="0"/>
              <w:ind w:firstLine="560"/>
              <w:jc w:val="left"/>
              <w:rPr>
                <w:rFonts w:hint="eastAsia" w:ascii="宋体" w:hAnsi="宋体"/>
                <w:color w:val="auto"/>
                <w:szCs w:val="21"/>
                <w:highlight w:val="none"/>
              </w:rPr>
            </w:pPr>
          </w:p>
        </w:tc>
        <w:tc>
          <w:tcPr>
            <w:tcW w:w="821" w:type="dxa"/>
            <w:vMerge w:val="continue"/>
            <w:tcBorders>
              <w:left w:val="single" w:color="auto" w:sz="4" w:space="0"/>
            </w:tcBorders>
            <w:vAlign w:val="center"/>
          </w:tcPr>
          <w:p w14:paraId="51E930B5">
            <w:pPr>
              <w:tabs>
                <w:tab w:val="left" w:pos="420"/>
              </w:tabs>
              <w:snapToGrid w:val="0"/>
              <w:ind w:firstLine="560"/>
              <w:jc w:val="left"/>
              <w:rPr>
                <w:rFonts w:hint="eastAsia" w:ascii="宋体" w:hAnsi="宋体"/>
                <w:color w:val="auto"/>
                <w:szCs w:val="21"/>
                <w:highlight w:val="none"/>
              </w:rPr>
            </w:pPr>
          </w:p>
        </w:tc>
      </w:tr>
      <w:tr w14:paraId="5542F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55" w:type="dxa"/>
            <w:vMerge w:val="continue"/>
            <w:tcBorders>
              <w:right w:val="single" w:color="auto" w:sz="4" w:space="0"/>
            </w:tcBorders>
            <w:vAlign w:val="center"/>
          </w:tcPr>
          <w:p w14:paraId="2B5EBA34">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10E78167">
            <w:pPr>
              <w:snapToGrid w:val="0"/>
              <w:ind w:firstLine="560"/>
              <w:rPr>
                <w:rFonts w:hint="eastAsia" w:ascii="宋体" w:hAnsi="宋体"/>
                <w:color w:val="auto"/>
                <w:szCs w:val="21"/>
                <w:highlight w:val="none"/>
              </w:rPr>
            </w:pPr>
          </w:p>
        </w:tc>
        <w:tc>
          <w:tcPr>
            <w:tcW w:w="3210" w:type="dxa"/>
            <w:gridSpan w:val="3"/>
            <w:tcBorders>
              <w:right w:val="single" w:color="auto" w:sz="2" w:space="0"/>
            </w:tcBorders>
            <w:vAlign w:val="center"/>
          </w:tcPr>
          <w:p w14:paraId="059030CF">
            <w:pPr>
              <w:snapToGrid w:val="0"/>
              <w:ind w:firstLine="560"/>
              <w:jc w:val="left"/>
              <w:rPr>
                <w:rFonts w:hint="eastAsia" w:ascii="宋体" w:hAnsi="宋体"/>
                <w:color w:val="auto"/>
                <w:szCs w:val="21"/>
                <w:highlight w:val="none"/>
              </w:rPr>
            </w:pPr>
            <w:r>
              <w:rPr>
                <w:rFonts w:hint="eastAsia" w:ascii="宋体" w:hAnsi="宋体"/>
                <w:color w:val="auto"/>
                <w:szCs w:val="21"/>
                <w:highlight w:val="none"/>
              </w:rPr>
              <w:t>信用（20分）</w:t>
            </w:r>
          </w:p>
        </w:tc>
        <w:tc>
          <w:tcPr>
            <w:tcW w:w="2693" w:type="dxa"/>
            <w:tcBorders>
              <w:left w:val="single" w:color="auto" w:sz="4" w:space="0"/>
              <w:right w:val="single" w:color="auto" w:sz="4" w:space="0"/>
            </w:tcBorders>
            <w:vAlign w:val="center"/>
          </w:tcPr>
          <w:p w14:paraId="352943FB">
            <w:pPr>
              <w:snapToGrid w:val="0"/>
              <w:jc w:val="left"/>
              <w:rPr>
                <w:rFonts w:hint="eastAsia" w:ascii="宋体" w:hAnsi="宋体"/>
                <w:color w:val="auto"/>
                <w:szCs w:val="21"/>
                <w:highlight w:val="none"/>
              </w:rPr>
            </w:pPr>
            <w:r>
              <w:rPr>
                <w:rFonts w:hint="eastAsia" w:asciiTheme="majorEastAsia" w:hAnsiTheme="majorEastAsia" w:eastAsiaTheme="majorEastAsia"/>
                <w:color w:val="auto"/>
                <w:szCs w:val="21"/>
                <w:highlight w:val="none"/>
              </w:rPr>
              <w:t>详见申请人须知前附表9.4“信用评价要求”。</w:t>
            </w:r>
          </w:p>
        </w:tc>
        <w:tc>
          <w:tcPr>
            <w:tcW w:w="1418" w:type="dxa"/>
            <w:tcBorders>
              <w:left w:val="single" w:color="auto" w:sz="4" w:space="0"/>
              <w:right w:val="single" w:color="auto" w:sz="4" w:space="0"/>
            </w:tcBorders>
            <w:vAlign w:val="center"/>
          </w:tcPr>
          <w:p w14:paraId="754F4F08">
            <w:pPr>
              <w:snapToGrid w:val="0"/>
              <w:jc w:val="left"/>
              <w:rPr>
                <w:rFonts w:hint="eastAsia" w:ascii="宋体" w:hAnsi="宋体"/>
                <w:color w:val="auto"/>
                <w:szCs w:val="21"/>
                <w:highlight w:val="none"/>
              </w:rPr>
            </w:pPr>
            <w:r>
              <w:rPr>
                <w:rFonts w:hint="eastAsia" w:ascii="宋体" w:hAnsi="宋体"/>
                <w:color w:val="auto"/>
                <w:szCs w:val="21"/>
                <w:highlight w:val="none"/>
              </w:rPr>
              <w:t>必选项</w:t>
            </w:r>
          </w:p>
        </w:tc>
        <w:tc>
          <w:tcPr>
            <w:tcW w:w="821" w:type="dxa"/>
            <w:tcBorders>
              <w:left w:val="single" w:color="auto" w:sz="4" w:space="0"/>
            </w:tcBorders>
            <w:vAlign w:val="center"/>
          </w:tcPr>
          <w:p w14:paraId="5C5D1FEF">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加分制</w:t>
            </w:r>
          </w:p>
        </w:tc>
      </w:tr>
      <w:tr w14:paraId="6F953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5" w:type="dxa"/>
            <w:vMerge w:val="continue"/>
            <w:tcBorders>
              <w:right w:val="single" w:color="auto" w:sz="4" w:space="0"/>
            </w:tcBorders>
            <w:vAlign w:val="center"/>
          </w:tcPr>
          <w:p w14:paraId="057CEF57">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70459C38">
            <w:pPr>
              <w:snapToGrid w:val="0"/>
              <w:ind w:firstLine="560"/>
              <w:rPr>
                <w:rFonts w:hint="eastAsia" w:ascii="宋体" w:hAnsi="宋体"/>
                <w:color w:val="auto"/>
                <w:szCs w:val="21"/>
                <w:highlight w:val="none"/>
              </w:rPr>
            </w:pPr>
          </w:p>
        </w:tc>
        <w:tc>
          <w:tcPr>
            <w:tcW w:w="942" w:type="dxa"/>
            <w:vMerge w:val="restart"/>
            <w:tcBorders>
              <w:right w:val="single" w:color="auto" w:sz="4" w:space="0"/>
            </w:tcBorders>
            <w:vAlign w:val="center"/>
          </w:tcPr>
          <w:p w14:paraId="18B2EF43">
            <w:pPr>
              <w:snapToGrid w:val="0"/>
              <w:jc w:val="left"/>
              <w:rPr>
                <w:rFonts w:hint="eastAsia" w:ascii="宋体" w:hAnsi="宋体"/>
                <w:color w:val="auto"/>
                <w:szCs w:val="21"/>
                <w:highlight w:val="none"/>
              </w:rPr>
            </w:pPr>
            <w:r>
              <w:rPr>
                <w:rFonts w:hint="eastAsia" w:ascii="宋体" w:hAnsi="宋体"/>
                <w:color w:val="auto"/>
                <w:szCs w:val="21"/>
                <w:highlight w:val="none"/>
              </w:rPr>
              <w:t>奖项（</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2268" w:type="dxa"/>
            <w:gridSpan w:val="2"/>
            <w:tcBorders>
              <w:left w:val="single" w:color="auto" w:sz="4" w:space="0"/>
              <w:bottom w:val="single" w:color="auto" w:sz="4" w:space="0"/>
              <w:right w:val="single" w:color="auto" w:sz="2" w:space="0"/>
            </w:tcBorders>
            <w:vAlign w:val="center"/>
          </w:tcPr>
          <w:p w14:paraId="266A65EE">
            <w:pPr>
              <w:snapToGrid w:val="0"/>
              <w:jc w:val="left"/>
              <w:rPr>
                <w:rFonts w:hint="eastAsia" w:ascii="宋体" w:hAnsi="宋体"/>
                <w:color w:val="auto"/>
                <w:szCs w:val="21"/>
                <w:highlight w:val="none"/>
              </w:rPr>
            </w:pPr>
            <w:r>
              <w:rPr>
                <w:rFonts w:hint="eastAsia" w:ascii="宋体" w:hAnsi="宋体"/>
                <w:color w:val="auto"/>
                <w:szCs w:val="21"/>
                <w:highlight w:val="none"/>
              </w:rPr>
              <w:t>申请人（0-</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2693" w:type="dxa"/>
            <w:vMerge w:val="restart"/>
            <w:tcBorders>
              <w:left w:val="single" w:color="auto" w:sz="4" w:space="0"/>
              <w:right w:val="single" w:color="auto" w:sz="4" w:space="0"/>
            </w:tcBorders>
            <w:vAlign w:val="center"/>
          </w:tcPr>
          <w:p w14:paraId="0DB37056">
            <w:pPr>
              <w:snapToGrid w:val="0"/>
              <w:jc w:val="left"/>
              <w:rPr>
                <w:rFonts w:hint="eastAsia" w:ascii="宋体" w:hAnsi="宋体"/>
                <w:color w:val="auto"/>
                <w:szCs w:val="21"/>
                <w:highlight w:val="none"/>
              </w:rPr>
            </w:pPr>
            <w:r>
              <w:rPr>
                <w:rFonts w:hint="eastAsia" w:asciiTheme="majorEastAsia" w:hAnsiTheme="majorEastAsia" w:eastAsiaTheme="majorEastAsia"/>
                <w:color w:val="auto"/>
                <w:szCs w:val="21"/>
                <w:highlight w:val="none"/>
              </w:rPr>
              <w:t>详见申请人须知前附表9.3“奖项加分要求”。</w:t>
            </w:r>
          </w:p>
        </w:tc>
        <w:tc>
          <w:tcPr>
            <w:tcW w:w="1418" w:type="dxa"/>
            <w:vMerge w:val="restart"/>
            <w:tcBorders>
              <w:left w:val="single" w:color="auto" w:sz="4" w:space="0"/>
              <w:right w:val="single" w:color="auto" w:sz="4" w:space="0"/>
            </w:tcBorders>
            <w:vAlign w:val="center"/>
          </w:tcPr>
          <w:p w14:paraId="0BFEBF39">
            <w:pPr>
              <w:snapToGrid w:val="0"/>
              <w:jc w:val="left"/>
              <w:rPr>
                <w:rFonts w:hint="eastAsia" w:ascii="宋体" w:hAnsi="宋体"/>
                <w:color w:val="auto"/>
                <w:szCs w:val="21"/>
                <w:highlight w:val="none"/>
              </w:rPr>
            </w:pPr>
            <w:r>
              <w:rPr>
                <w:rFonts w:hint="eastAsia" w:ascii="宋体" w:hAnsi="宋体"/>
                <w:color w:val="auto"/>
                <w:szCs w:val="21"/>
                <w:highlight w:val="none"/>
              </w:rPr>
              <w:t>招标人根据项目特点自主选择纳入评审的奖项个数</w:t>
            </w:r>
          </w:p>
        </w:tc>
        <w:tc>
          <w:tcPr>
            <w:tcW w:w="821" w:type="dxa"/>
            <w:vMerge w:val="restart"/>
            <w:tcBorders>
              <w:left w:val="single" w:color="auto" w:sz="4" w:space="0"/>
            </w:tcBorders>
            <w:vAlign w:val="center"/>
          </w:tcPr>
          <w:p w14:paraId="5E72A218">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加分制</w:t>
            </w:r>
          </w:p>
        </w:tc>
      </w:tr>
      <w:tr w14:paraId="688CC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55" w:type="dxa"/>
            <w:vMerge w:val="continue"/>
            <w:tcBorders>
              <w:right w:val="single" w:color="auto" w:sz="4" w:space="0"/>
            </w:tcBorders>
            <w:vAlign w:val="center"/>
          </w:tcPr>
          <w:p w14:paraId="047FD6DA">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0BF36834">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5F05A583">
            <w:pPr>
              <w:snapToGrid w:val="0"/>
              <w:ind w:firstLine="560"/>
              <w:jc w:val="left"/>
              <w:rPr>
                <w:rFonts w:hint="eastAsia" w:ascii="宋体" w:hAnsi="宋体"/>
                <w:color w:val="auto"/>
                <w:szCs w:val="21"/>
                <w:highlight w:val="none"/>
              </w:rPr>
            </w:pPr>
          </w:p>
        </w:tc>
        <w:tc>
          <w:tcPr>
            <w:tcW w:w="2268" w:type="dxa"/>
            <w:gridSpan w:val="2"/>
            <w:tcBorders>
              <w:top w:val="single" w:color="auto" w:sz="4" w:space="0"/>
              <w:left w:val="single" w:color="auto" w:sz="4" w:space="0"/>
              <w:right w:val="single" w:color="auto" w:sz="2" w:space="0"/>
            </w:tcBorders>
            <w:vAlign w:val="center"/>
          </w:tcPr>
          <w:p w14:paraId="34C4D6E2">
            <w:pPr>
              <w:snapToGrid w:val="0"/>
              <w:jc w:val="left"/>
              <w:rPr>
                <w:rFonts w:hint="eastAsia" w:ascii="宋体" w:hAnsi="宋体"/>
                <w:color w:val="auto"/>
                <w:szCs w:val="21"/>
                <w:highlight w:val="none"/>
              </w:rPr>
            </w:pPr>
            <w:r>
              <w:rPr>
                <w:rFonts w:hint="eastAsia" w:ascii="宋体" w:hAnsi="宋体"/>
                <w:color w:val="auto"/>
                <w:szCs w:val="21"/>
                <w:highlight w:val="none"/>
              </w:rPr>
              <w:t>项目经理（0-</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2693" w:type="dxa"/>
            <w:vMerge w:val="continue"/>
            <w:tcBorders>
              <w:left w:val="single" w:color="auto" w:sz="4" w:space="0"/>
              <w:right w:val="single" w:color="auto" w:sz="4" w:space="0"/>
            </w:tcBorders>
            <w:vAlign w:val="center"/>
          </w:tcPr>
          <w:p w14:paraId="1E28EB49">
            <w:pPr>
              <w:snapToGrid w:val="0"/>
              <w:ind w:firstLine="560"/>
              <w:jc w:val="left"/>
              <w:rPr>
                <w:rFonts w:hint="eastAsia" w:asciiTheme="majorEastAsia" w:hAnsiTheme="majorEastAsia" w:eastAsiaTheme="majorEastAsia"/>
                <w:color w:val="auto"/>
                <w:szCs w:val="21"/>
                <w:highlight w:val="none"/>
              </w:rPr>
            </w:pPr>
          </w:p>
        </w:tc>
        <w:tc>
          <w:tcPr>
            <w:tcW w:w="1418" w:type="dxa"/>
            <w:vMerge w:val="continue"/>
            <w:tcBorders>
              <w:left w:val="single" w:color="auto" w:sz="4" w:space="0"/>
              <w:right w:val="single" w:color="auto" w:sz="4" w:space="0"/>
            </w:tcBorders>
            <w:vAlign w:val="center"/>
          </w:tcPr>
          <w:p w14:paraId="57F1C84D">
            <w:pPr>
              <w:snapToGrid w:val="0"/>
              <w:ind w:firstLine="560"/>
              <w:jc w:val="left"/>
              <w:rPr>
                <w:rFonts w:hint="eastAsia" w:ascii="宋体" w:hAnsi="宋体"/>
                <w:color w:val="auto"/>
                <w:szCs w:val="21"/>
                <w:highlight w:val="none"/>
              </w:rPr>
            </w:pPr>
          </w:p>
        </w:tc>
        <w:tc>
          <w:tcPr>
            <w:tcW w:w="821" w:type="dxa"/>
            <w:vMerge w:val="continue"/>
            <w:tcBorders>
              <w:left w:val="single" w:color="auto" w:sz="4" w:space="0"/>
            </w:tcBorders>
            <w:vAlign w:val="center"/>
          </w:tcPr>
          <w:p w14:paraId="47B68419">
            <w:pPr>
              <w:tabs>
                <w:tab w:val="left" w:pos="420"/>
              </w:tabs>
              <w:snapToGrid w:val="0"/>
              <w:ind w:firstLine="560"/>
              <w:jc w:val="left"/>
              <w:rPr>
                <w:rFonts w:hint="eastAsia" w:ascii="宋体" w:hAnsi="宋体"/>
                <w:color w:val="auto"/>
                <w:szCs w:val="21"/>
                <w:highlight w:val="none"/>
              </w:rPr>
            </w:pPr>
          </w:p>
        </w:tc>
      </w:tr>
      <w:tr w14:paraId="58F55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8" w:hRule="atLeast"/>
          <w:jc w:val="center"/>
        </w:trPr>
        <w:tc>
          <w:tcPr>
            <w:tcW w:w="755" w:type="dxa"/>
            <w:vMerge w:val="continue"/>
            <w:tcBorders>
              <w:right w:val="single" w:color="auto" w:sz="4" w:space="0"/>
            </w:tcBorders>
            <w:vAlign w:val="center"/>
          </w:tcPr>
          <w:p w14:paraId="204FDA56">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37265F19">
            <w:pPr>
              <w:snapToGrid w:val="0"/>
              <w:ind w:firstLine="560"/>
              <w:rPr>
                <w:rFonts w:hint="eastAsia" w:ascii="宋体" w:hAnsi="宋体"/>
                <w:color w:val="auto"/>
                <w:szCs w:val="21"/>
                <w:highlight w:val="none"/>
              </w:rPr>
            </w:pPr>
          </w:p>
        </w:tc>
        <w:tc>
          <w:tcPr>
            <w:tcW w:w="942" w:type="dxa"/>
            <w:vMerge w:val="restart"/>
            <w:tcBorders>
              <w:right w:val="single" w:color="auto" w:sz="4" w:space="0"/>
            </w:tcBorders>
            <w:vAlign w:val="center"/>
          </w:tcPr>
          <w:p w14:paraId="63FABAA5">
            <w:pPr>
              <w:snapToGrid w:val="0"/>
              <w:jc w:val="left"/>
              <w:rPr>
                <w:rFonts w:hint="eastAsia" w:ascii="宋体" w:hAnsi="宋体"/>
                <w:color w:val="auto"/>
                <w:szCs w:val="21"/>
                <w:highlight w:val="none"/>
              </w:rPr>
            </w:pPr>
            <w:r>
              <w:rPr>
                <w:rFonts w:hint="eastAsia" w:ascii="宋体" w:hAnsi="宋体"/>
                <w:color w:val="auto"/>
                <w:szCs w:val="21"/>
                <w:highlight w:val="none"/>
              </w:rPr>
              <w:t>质量安全评价（0-1</w:t>
            </w:r>
            <w:r>
              <w:rPr>
                <w:rFonts w:hint="eastAsia" w:ascii="宋体" w:hAnsi="宋体"/>
                <w:color w:val="auto"/>
                <w:szCs w:val="21"/>
                <w:highlight w:val="none"/>
                <w:lang w:val="en-US" w:eastAsia="zh-CN"/>
              </w:rPr>
              <w:t>2</w:t>
            </w:r>
            <w:r>
              <w:rPr>
                <w:rFonts w:hint="eastAsia" w:ascii="宋体" w:hAnsi="宋体"/>
                <w:color w:val="auto"/>
                <w:szCs w:val="21"/>
                <w:highlight w:val="none"/>
              </w:rPr>
              <w:t>分）</w:t>
            </w:r>
          </w:p>
        </w:tc>
        <w:tc>
          <w:tcPr>
            <w:tcW w:w="2268" w:type="dxa"/>
            <w:gridSpan w:val="2"/>
            <w:tcBorders>
              <w:left w:val="single" w:color="auto" w:sz="4" w:space="0"/>
              <w:right w:val="single" w:color="auto" w:sz="2" w:space="0"/>
            </w:tcBorders>
            <w:vAlign w:val="center"/>
          </w:tcPr>
          <w:p w14:paraId="2760284A">
            <w:pPr>
              <w:snapToGrid w:val="0"/>
              <w:jc w:val="left"/>
              <w:rPr>
                <w:rFonts w:hint="eastAsia" w:ascii="宋体" w:hAnsi="宋体"/>
                <w:color w:val="auto"/>
                <w:szCs w:val="21"/>
                <w:highlight w:val="none"/>
              </w:rPr>
            </w:pPr>
            <w:r>
              <w:rPr>
                <w:rFonts w:hint="eastAsia" w:ascii="宋体" w:hAnsi="宋体"/>
                <w:color w:val="auto"/>
                <w:szCs w:val="21"/>
                <w:highlight w:val="none"/>
              </w:rPr>
              <w:t>省级建筑施工安全质量标准化考评</w:t>
            </w:r>
          </w:p>
          <w:p w14:paraId="46701ED2">
            <w:pPr>
              <w:snapToGrid w:val="0"/>
              <w:jc w:val="left"/>
              <w:rPr>
                <w:rFonts w:hint="eastAsia" w:ascii="宋体" w:hAnsi="宋体"/>
                <w:color w:val="auto"/>
                <w:szCs w:val="21"/>
                <w:highlight w:val="none"/>
              </w:rPr>
            </w:pPr>
            <w:r>
              <w:rPr>
                <w:rFonts w:hint="eastAsia" w:ascii="宋体" w:hAnsi="宋体"/>
                <w:color w:val="auto"/>
                <w:szCs w:val="21"/>
                <w:highlight w:val="none"/>
              </w:rPr>
              <w:t>合格企业（0-</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4DBF6942">
            <w:pPr>
              <w:snapToGrid w:val="0"/>
              <w:jc w:val="left"/>
              <w:rPr>
                <w:rFonts w:hint="eastAsia" w:ascii="宋体" w:hAnsi="宋体"/>
                <w:color w:val="auto"/>
                <w:szCs w:val="21"/>
                <w:highlight w:val="none"/>
              </w:rPr>
            </w:pPr>
            <w:r>
              <w:rPr>
                <w:rFonts w:hint="eastAsia" w:ascii="宋体" w:hAnsi="宋体"/>
                <w:color w:val="auto"/>
                <w:szCs w:val="21"/>
                <w:highlight w:val="none"/>
              </w:rPr>
              <w:t>优良企业（0-</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2693" w:type="dxa"/>
            <w:vMerge w:val="restart"/>
            <w:tcBorders>
              <w:left w:val="single" w:color="auto" w:sz="4" w:space="0"/>
              <w:right w:val="single" w:color="auto" w:sz="4" w:space="0"/>
            </w:tcBorders>
            <w:vAlign w:val="center"/>
          </w:tcPr>
          <w:p w14:paraId="3AD43944">
            <w:pPr>
              <w:snapToGrid w:val="0"/>
              <w:jc w:val="left"/>
              <w:rPr>
                <w:rFonts w:hint="eastAsia" w:ascii="宋体" w:hAnsi="宋体"/>
                <w:color w:val="auto"/>
                <w:szCs w:val="21"/>
                <w:highlight w:val="none"/>
              </w:rPr>
            </w:pPr>
            <w:r>
              <w:rPr>
                <w:rFonts w:hint="eastAsia" w:asciiTheme="majorEastAsia" w:hAnsiTheme="majorEastAsia" w:eastAsiaTheme="majorEastAsia"/>
                <w:color w:val="auto"/>
                <w:szCs w:val="21"/>
                <w:highlight w:val="none"/>
              </w:rPr>
              <w:t>详见申请人须知前附表9.5“质量安全评价要求”。</w:t>
            </w:r>
          </w:p>
        </w:tc>
        <w:tc>
          <w:tcPr>
            <w:tcW w:w="1418" w:type="dxa"/>
            <w:tcBorders>
              <w:left w:val="single" w:color="auto" w:sz="4" w:space="0"/>
              <w:right w:val="single" w:color="auto" w:sz="4" w:space="0"/>
            </w:tcBorders>
            <w:vAlign w:val="center"/>
          </w:tcPr>
          <w:p w14:paraId="49352D34">
            <w:pPr>
              <w:snapToGrid w:val="0"/>
              <w:jc w:val="left"/>
              <w:rPr>
                <w:rFonts w:hint="eastAsia" w:ascii="宋体" w:hAnsi="宋体"/>
                <w:color w:val="auto"/>
                <w:szCs w:val="21"/>
                <w:highlight w:val="none"/>
              </w:rPr>
            </w:pPr>
            <w:r>
              <w:rPr>
                <w:rFonts w:hint="eastAsia" w:ascii="宋体" w:hAnsi="宋体"/>
                <w:color w:val="auto"/>
                <w:szCs w:val="21"/>
                <w:highlight w:val="none"/>
              </w:rPr>
              <w:t>招标人根据项目特点，确定是否纳入评审</w:t>
            </w:r>
          </w:p>
        </w:tc>
        <w:tc>
          <w:tcPr>
            <w:tcW w:w="821" w:type="dxa"/>
            <w:tcBorders>
              <w:left w:val="single" w:color="auto" w:sz="4" w:space="0"/>
            </w:tcBorders>
            <w:vAlign w:val="center"/>
          </w:tcPr>
          <w:p w14:paraId="76D9E450">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加分制</w:t>
            </w:r>
          </w:p>
        </w:tc>
      </w:tr>
      <w:tr w14:paraId="3460F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55" w:type="dxa"/>
            <w:vMerge w:val="continue"/>
            <w:tcBorders>
              <w:right w:val="single" w:color="auto" w:sz="4" w:space="0"/>
            </w:tcBorders>
            <w:vAlign w:val="center"/>
          </w:tcPr>
          <w:p w14:paraId="3B3FB27B">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419A1A0E">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537E5A25">
            <w:pPr>
              <w:snapToGrid w:val="0"/>
              <w:ind w:firstLine="560"/>
              <w:jc w:val="left"/>
              <w:rPr>
                <w:rFonts w:hint="eastAsia" w:ascii="宋体" w:hAnsi="宋体"/>
                <w:color w:val="auto"/>
                <w:szCs w:val="21"/>
                <w:highlight w:val="none"/>
              </w:rPr>
            </w:pPr>
          </w:p>
        </w:tc>
        <w:tc>
          <w:tcPr>
            <w:tcW w:w="2268" w:type="dxa"/>
            <w:gridSpan w:val="2"/>
            <w:tcBorders>
              <w:top w:val="single" w:color="auto" w:sz="4" w:space="0"/>
              <w:left w:val="single" w:color="auto" w:sz="4" w:space="0"/>
              <w:right w:val="single" w:color="auto" w:sz="2" w:space="0"/>
            </w:tcBorders>
            <w:vAlign w:val="center"/>
          </w:tcPr>
          <w:p w14:paraId="190E30BD">
            <w:pPr>
              <w:snapToGrid w:val="0"/>
              <w:jc w:val="left"/>
              <w:rPr>
                <w:rFonts w:hint="eastAsia" w:ascii="宋体" w:hAnsi="宋体"/>
                <w:color w:val="auto"/>
                <w:szCs w:val="21"/>
                <w:highlight w:val="none"/>
              </w:rPr>
            </w:pPr>
            <w:r>
              <w:rPr>
                <w:rFonts w:hint="eastAsia" w:ascii="宋体" w:hAnsi="宋体"/>
                <w:color w:val="auto"/>
                <w:szCs w:val="21"/>
                <w:highlight w:val="none"/>
              </w:rPr>
              <w:t>省级建筑施工安全质量标准化考评优良项目（0-8分）</w:t>
            </w:r>
          </w:p>
        </w:tc>
        <w:tc>
          <w:tcPr>
            <w:tcW w:w="2693" w:type="dxa"/>
            <w:vMerge w:val="continue"/>
            <w:tcBorders>
              <w:left w:val="single" w:color="auto" w:sz="4" w:space="0"/>
              <w:right w:val="single" w:color="auto" w:sz="4" w:space="0"/>
            </w:tcBorders>
            <w:vAlign w:val="center"/>
          </w:tcPr>
          <w:p w14:paraId="3E7F9612">
            <w:pPr>
              <w:snapToGrid w:val="0"/>
              <w:ind w:firstLine="560"/>
              <w:jc w:val="left"/>
              <w:rPr>
                <w:rFonts w:hint="eastAsia" w:ascii="宋体" w:hAnsi="宋体"/>
                <w:color w:val="auto"/>
                <w:szCs w:val="21"/>
                <w:highlight w:val="none"/>
              </w:rPr>
            </w:pPr>
          </w:p>
        </w:tc>
        <w:tc>
          <w:tcPr>
            <w:tcW w:w="1418" w:type="dxa"/>
            <w:tcBorders>
              <w:top w:val="single" w:color="auto" w:sz="4" w:space="0"/>
              <w:left w:val="single" w:color="auto" w:sz="4" w:space="0"/>
            </w:tcBorders>
            <w:vAlign w:val="center"/>
          </w:tcPr>
          <w:p w14:paraId="166E0BAD">
            <w:pPr>
              <w:tabs>
                <w:tab w:val="left" w:pos="420"/>
              </w:tabs>
              <w:snapToGrid w:val="0"/>
              <w:rPr>
                <w:rFonts w:hint="eastAsia" w:ascii="宋体" w:hAnsi="宋体"/>
                <w:color w:val="auto"/>
                <w:szCs w:val="21"/>
                <w:highlight w:val="none"/>
              </w:rPr>
            </w:pPr>
            <w:r>
              <w:rPr>
                <w:rFonts w:hint="eastAsia" w:ascii="宋体" w:hAnsi="宋体"/>
                <w:color w:val="auto"/>
                <w:szCs w:val="21"/>
                <w:highlight w:val="none"/>
              </w:rPr>
              <w:t>招标人根据项目特点，确定是否纳入评审</w:t>
            </w:r>
          </w:p>
        </w:tc>
        <w:tc>
          <w:tcPr>
            <w:tcW w:w="821" w:type="dxa"/>
            <w:tcBorders>
              <w:top w:val="single" w:color="auto" w:sz="4" w:space="0"/>
              <w:left w:val="single" w:color="auto" w:sz="4" w:space="0"/>
            </w:tcBorders>
            <w:vAlign w:val="center"/>
          </w:tcPr>
          <w:p w14:paraId="0BFE4AA0">
            <w:pPr>
              <w:tabs>
                <w:tab w:val="left" w:pos="420"/>
              </w:tabs>
              <w:snapToGrid w:val="0"/>
              <w:rPr>
                <w:rFonts w:hint="eastAsia" w:ascii="宋体" w:hAnsi="宋体"/>
                <w:color w:val="auto"/>
                <w:szCs w:val="21"/>
                <w:highlight w:val="none"/>
              </w:rPr>
            </w:pPr>
            <w:r>
              <w:rPr>
                <w:rFonts w:hint="eastAsia" w:ascii="宋体" w:hAnsi="宋体"/>
                <w:color w:val="auto"/>
                <w:szCs w:val="21"/>
                <w:highlight w:val="none"/>
              </w:rPr>
              <w:t>加分制</w:t>
            </w:r>
          </w:p>
        </w:tc>
      </w:tr>
      <w:tr w14:paraId="78731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755" w:type="dxa"/>
            <w:vMerge w:val="continue"/>
            <w:tcBorders>
              <w:right w:val="single" w:color="auto" w:sz="4" w:space="0"/>
            </w:tcBorders>
            <w:vAlign w:val="center"/>
          </w:tcPr>
          <w:p w14:paraId="145B9829">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718C8540">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7A3A569B">
            <w:pPr>
              <w:snapToGrid w:val="0"/>
              <w:ind w:firstLine="560"/>
              <w:jc w:val="left"/>
              <w:rPr>
                <w:rFonts w:hint="eastAsia" w:ascii="宋体" w:hAnsi="宋体"/>
                <w:color w:val="auto"/>
                <w:szCs w:val="21"/>
                <w:highlight w:val="none"/>
              </w:rPr>
            </w:pPr>
          </w:p>
        </w:tc>
        <w:tc>
          <w:tcPr>
            <w:tcW w:w="7200" w:type="dxa"/>
            <w:gridSpan w:val="5"/>
            <w:tcBorders>
              <w:top w:val="single" w:color="auto" w:sz="4" w:space="0"/>
              <w:left w:val="single" w:color="auto" w:sz="4" w:space="0"/>
            </w:tcBorders>
            <w:vAlign w:val="center"/>
          </w:tcPr>
          <w:p w14:paraId="7021B21D">
            <w:pPr>
              <w:tabs>
                <w:tab w:val="left" w:pos="420"/>
              </w:tabs>
              <w:snapToGrid w:val="0"/>
              <w:rPr>
                <w:rFonts w:hint="eastAsia" w:ascii="宋体" w:hAnsi="宋体"/>
                <w:color w:val="auto"/>
                <w:szCs w:val="21"/>
                <w:highlight w:val="none"/>
              </w:rPr>
            </w:pPr>
            <w:r>
              <w:rPr>
                <w:rFonts w:hint="eastAsia" w:ascii="宋体" w:hAnsi="宋体"/>
                <w:color w:val="auto"/>
                <w:szCs w:val="21"/>
                <w:highlight w:val="none"/>
              </w:rPr>
              <w:t>注：招标项目为专业工程、园林绿化工程的，质量安全评价不作为评分因素</w:t>
            </w:r>
          </w:p>
        </w:tc>
      </w:tr>
      <w:tr w14:paraId="57165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7" w:hRule="atLeast"/>
          <w:jc w:val="center"/>
        </w:trPr>
        <w:tc>
          <w:tcPr>
            <w:tcW w:w="755" w:type="dxa"/>
            <w:vMerge w:val="continue"/>
            <w:tcBorders>
              <w:right w:val="single" w:color="auto" w:sz="4" w:space="0"/>
            </w:tcBorders>
            <w:vAlign w:val="center"/>
          </w:tcPr>
          <w:p w14:paraId="70C7CDF0">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58E1D8AC">
            <w:pPr>
              <w:snapToGrid w:val="0"/>
              <w:ind w:firstLine="560"/>
              <w:rPr>
                <w:rFonts w:hint="eastAsia" w:ascii="宋体" w:hAnsi="宋体"/>
                <w:color w:val="auto"/>
                <w:szCs w:val="21"/>
                <w:highlight w:val="none"/>
              </w:rPr>
            </w:pPr>
          </w:p>
        </w:tc>
        <w:tc>
          <w:tcPr>
            <w:tcW w:w="942" w:type="dxa"/>
            <w:vMerge w:val="restart"/>
            <w:tcBorders>
              <w:right w:val="single" w:color="auto" w:sz="4" w:space="0"/>
            </w:tcBorders>
            <w:vAlign w:val="center"/>
          </w:tcPr>
          <w:p w14:paraId="2725C4B7">
            <w:pPr>
              <w:snapToGrid w:val="0"/>
              <w:jc w:val="left"/>
              <w:rPr>
                <w:rFonts w:hint="eastAsia" w:ascii="宋体" w:hAnsi="宋体"/>
                <w:color w:val="auto"/>
                <w:szCs w:val="21"/>
                <w:highlight w:val="none"/>
              </w:rPr>
            </w:pPr>
            <w:r>
              <w:rPr>
                <w:rFonts w:hint="eastAsia" w:ascii="宋体" w:hAnsi="宋体"/>
                <w:color w:val="auto"/>
                <w:szCs w:val="21"/>
                <w:highlight w:val="none"/>
              </w:rPr>
              <w:t>社会责任（0-10分）</w:t>
            </w:r>
          </w:p>
        </w:tc>
        <w:tc>
          <w:tcPr>
            <w:tcW w:w="4961" w:type="dxa"/>
            <w:gridSpan w:val="3"/>
            <w:tcBorders>
              <w:left w:val="single" w:color="auto" w:sz="4" w:space="0"/>
              <w:right w:val="single" w:color="auto" w:sz="4" w:space="0"/>
            </w:tcBorders>
            <w:vAlign w:val="center"/>
          </w:tcPr>
          <w:p w14:paraId="1A588F84">
            <w:pPr>
              <w:snapToGrid w:val="0"/>
              <w:jc w:val="left"/>
              <w:rPr>
                <w:rFonts w:hint="eastAsia" w:ascii="宋体" w:hAnsi="宋体"/>
                <w:color w:val="auto"/>
                <w:szCs w:val="21"/>
                <w:highlight w:val="none"/>
              </w:rPr>
            </w:pPr>
            <w:r>
              <w:rPr>
                <w:rFonts w:hint="eastAsia" w:ascii="宋体" w:hAnsi="宋体"/>
                <w:color w:val="auto"/>
                <w:szCs w:val="21"/>
                <w:highlight w:val="none"/>
                <w:lang w:eastAsia="zh-CN"/>
              </w:rPr>
              <w:t>可</w:t>
            </w:r>
            <w:r>
              <w:rPr>
                <w:rFonts w:hint="eastAsia" w:ascii="宋体" w:hAnsi="宋体"/>
                <w:color w:val="auto"/>
                <w:szCs w:val="21"/>
                <w:highlight w:val="none"/>
              </w:rPr>
              <w:t>从环境保护与生态责任、劳动者权益、社会公益贡献、技术创新与社会效益等方面设置评分标准，由招标人根据项目情况依法依规在资格预审文件中明确。</w:t>
            </w:r>
          </w:p>
        </w:tc>
        <w:tc>
          <w:tcPr>
            <w:tcW w:w="2239" w:type="dxa"/>
            <w:gridSpan w:val="2"/>
            <w:tcBorders>
              <w:left w:val="single" w:color="auto" w:sz="4" w:space="0"/>
            </w:tcBorders>
            <w:vAlign w:val="center"/>
          </w:tcPr>
          <w:p w14:paraId="1D16092A">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lang w:eastAsia="zh-CN"/>
              </w:rPr>
              <w:t>招标人</w:t>
            </w:r>
            <w:r>
              <w:rPr>
                <w:rFonts w:hint="eastAsia" w:ascii="宋体" w:hAnsi="宋体"/>
                <w:color w:val="auto"/>
                <w:szCs w:val="21"/>
                <w:highlight w:val="none"/>
              </w:rPr>
              <w:t>根据具体指标</w:t>
            </w:r>
            <w:r>
              <w:rPr>
                <w:rFonts w:hint="eastAsia" w:ascii="宋体" w:hAnsi="宋体"/>
                <w:color w:val="auto"/>
                <w:szCs w:val="21"/>
                <w:highlight w:val="none"/>
                <w:lang w:eastAsia="zh-CN"/>
              </w:rPr>
              <w:t>依法依规</w:t>
            </w:r>
            <w:r>
              <w:rPr>
                <w:rFonts w:hint="eastAsia" w:ascii="宋体" w:hAnsi="宋体"/>
                <w:color w:val="auto"/>
                <w:szCs w:val="21"/>
                <w:highlight w:val="none"/>
              </w:rPr>
              <w:t>进行明确</w:t>
            </w:r>
          </w:p>
        </w:tc>
      </w:tr>
      <w:tr w14:paraId="7CE5B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5" w:type="dxa"/>
            <w:vMerge w:val="continue"/>
            <w:tcBorders>
              <w:right w:val="single" w:color="auto" w:sz="4" w:space="0"/>
            </w:tcBorders>
            <w:vAlign w:val="center"/>
          </w:tcPr>
          <w:p w14:paraId="2B47CE5F">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5126B9C2">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6660D879">
            <w:pPr>
              <w:snapToGrid w:val="0"/>
              <w:ind w:firstLine="560"/>
              <w:jc w:val="left"/>
              <w:rPr>
                <w:rFonts w:hint="eastAsia" w:ascii="宋体" w:hAnsi="宋体"/>
                <w:color w:val="auto"/>
                <w:szCs w:val="21"/>
                <w:highlight w:val="none"/>
              </w:rPr>
            </w:pPr>
          </w:p>
        </w:tc>
        <w:tc>
          <w:tcPr>
            <w:tcW w:w="7200" w:type="dxa"/>
            <w:gridSpan w:val="5"/>
            <w:tcBorders>
              <w:left w:val="single" w:color="auto" w:sz="4" w:space="0"/>
            </w:tcBorders>
            <w:vAlign w:val="center"/>
          </w:tcPr>
          <w:p w14:paraId="6D49F71F">
            <w:pPr>
              <w:tabs>
                <w:tab w:val="left" w:pos="420"/>
              </w:tabs>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注：社会责任设置的评分标准应客观并具备竞争性</w:t>
            </w:r>
            <w:r>
              <w:rPr>
                <w:rFonts w:hint="eastAsia" w:ascii="宋体" w:hAnsi="宋体"/>
                <w:color w:val="auto"/>
                <w:szCs w:val="21"/>
                <w:highlight w:val="none"/>
                <w:lang w:eastAsia="zh-CN"/>
              </w:rPr>
              <w:t>，符合统一大市场建设规定。</w:t>
            </w:r>
          </w:p>
        </w:tc>
      </w:tr>
      <w:tr w14:paraId="603BF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55" w:type="dxa"/>
            <w:vMerge w:val="continue"/>
            <w:tcBorders>
              <w:right w:val="single" w:color="auto" w:sz="4" w:space="0"/>
            </w:tcBorders>
            <w:vAlign w:val="center"/>
          </w:tcPr>
          <w:p w14:paraId="7B5CA9C7">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2AD622DF">
            <w:pPr>
              <w:snapToGrid w:val="0"/>
              <w:ind w:firstLine="560"/>
              <w:rPr>
                <w:rFonts w:hint="eastAsia" w:ascii="宋体" w:hAnsi="宋体"/>
                <w:color w:val="auto"/>
                <w:szCs w:val="21"/>
                <w:highlight w:val="none"/>
              </w:rPr>
            </w:pPr>
          </w:p>
        </w:tc>
        <w:tc>
          <w:tcPr>
            <w:tcW w:w="942" w:type="dxa"/>
            <w:vMerge w:val="restart"/>
            <w:tcBorders>
              <w:right w:val="single" w:color="auto" w:sz="4" w:space="0"/>
            </w:tcBorders>
            <w:vAlign w:val="center"/>
          </w:tcPr>
          <w:p w14:paraId="581ECCC3">
            <w:pPr>
              <w:snapToGrid w:val="0"/>
              <w:jc w:val="left"/>
              <w:rPr>
                <w:rFonts w:hint="eastAsia" w:ascii="宋体" w:hAnsi="宋体"/>
                <w:color w:val="auto"/>
                <w:szCs w:val="21"/>
                <w:highlight w:val="none"/>
              </w:rPr>
            </w:pPr>
            <w:r>
              <w:rPr>
                <w:rFonts w:hint="eastAsia" w:ascii="宋体" w:hAnsi="宋体"/>
                <w:color w:val="auto"/>
                <w:szCs w:val="21"/>
                <w:highlight w:val="none"/>
              </w:rPr>
              <w:t>其他（0-10分）</w:t>
            </w:r>
          </w:p>
        </w:tc>
        <w:tc>
          <w:tcPr>
            <w:tcW w:w="2268" w:type="dxa"/>
            <w:gridSpan w:val="2"/>
            <w:tcBorders>
              <w:left w:val="single" w:color="auto" w:sz="4" w:space="0"/>
              <w:bottom w:val="single" w:color="auto" w:sz="4" w:space="0"/>
              <w:right w:val="single" w:color="auto" w:sz="2" w:space="0"/>
            </w:tcBorders>
            <w:vAlign w:val="center"/>
          </w:tcPr>
          <w:p w14:paraId="1B3D4D89">
            <w:pPr>
              <w:snapToGrid w:val="0"/>
              <w:jc w:val="left"/>
              <w:rPr>
                <w:rFonts w:hint="eastAsia" w:ascii="宋体" w:hAnsi="宋体"/>
                <w:color w:val="auto"/>
                <w:szCs w:val="21"/>
                <w:highlight w:val="none"/>
              </w:rPr>
            </w:pPr>
            <w:r>
              <w:rPr>
                <w:rFonts w:hint="eastAsia" w:ascii="宋体" w:hAnsi="宋体"/>
                <w:color w:val="auto"/>
                <w:szCs w:val="21"/>
                <w:highlight w:val="none"/>
              </w:rPr>
              <w:t>招标人其他要求（0-5分）</w:t>
            </w:r>
          </w:p>
        </w:tc>
        <w:tc>
          <w:tcPr>
            <w:tcW w:w="2693" w:type="dxa"/>
            <w:tcBorders>
              <w:left w:val="single" w:color="auto" w:sz="4" w:space="0"/>
              <w:bottom w:val="single" w:color="auto" w:sz="4" w:space="0"/>
              <w:right w:val="single" w:color="auto" w:sz="4" w:space="0"/>
            </w:tcBorders>
            <w:vAlign w:val="center"/>
          </w:tcPr>
          <w:p w14:paraId="0BC05D20">
            <w:pPr>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招标人其他要求可由招标人根据项目情况设置，且设置的评分标准应客观并具备竞争性</w:t>
            </w:r>
            <w:r>
              <w:rPr>
                <w:rFonts w:hint="eastAsia" w:ascii="宋体" w:hAnsi="宋体"/>
                <w:color w:val="auto"/>
                <w:szCs w:val="21"/>
                <w:highlight w:val="none"/>
                <w:lang w:eastAsia="zh-CN"/>
              </w:rPr>
              <w:t>。</w:t>
            </w:r>
          </w:p>
        </w:tc>
        <w:tc>
          <w:tcPr>
            <w:tcW w:w="1418" w:type="dxa"/>
            <w:tcBorders>
              <w:left w:val="single" w:color="auto" w:sz="4" w:space="0"/>
              <w:bottom w:val="single" w:color="auto" w:sz="4" w:space="0"/>
              <w:right w:val="single" w:color="auto" w:sz="4" w:space="0"/>
            </w:tcBorders>
            <w:vAlign w:val="center"/>
          </w:tcPr>
          <w:p w14:paraId="234EA19F">
            <w:pPr>
              <w:snapToGrid w:val="0"/>
              <w:ind w:firstLine="560"/>
              <w:jc w:val="left"/>
              <w:rPr>
                <w:rFonts w:hint="eastAsia" w:ascii="宋体" w:hAnsi="宋体"/>
                <w:color w:val="auto"/>
                <w:szCs w:val="21"/>
                <w:highlight w:val="none"/>
              </w:rPr>
            </w:pPr>
          </w:p>
        </w:tc>
        <w:tc>
          <w:tcPr>
            <w:tcW w:w="821" w:type="dxa"/>
            <w:tcBorders>
              <w:left w:val="single" w:color="auto" w:sz="4" w:space="0"/>
              <w:bottom w:val="single" w:color="auto" w:sz="4" w:space="0"/>
            </w:tcBorders>
            <w:vAlign w:val="center"/>
          </w:tcPr>
          <w:p w14:paraId="7F9783C9">
            <w:pPr>
              <w:tabs>
                <w:tab w:val="left" w:pos="420"/>
              </w:tabs>
              <w:snapToGrid w:val="0"/>
              <w:ind w:firstLine="560"/>
              <w:jc w:val="left"/>
              <w:rPr>
                <w:rFonts w:hint="eastAsia" w:ascii="宋体" w:hAnsi="宋体"/>
                <w:color w:val="auto"/>
                <w:szCs w:val="21"/>
                <w:highlight w:val="none"/>
              </w:rPr>
            </w:pPr>
          </w:p>
        </w:tc>
      </w:tr>
      <w:tr w14:paraId="40B9B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5" w:type="dxa"/>
            <w:vMerge w:val="continue"/>
            <w:tcBorders>
              <w:right w:val="single" w:color="auto" w:sz="4" w:space="0"/>
            </w:tcBorders>
            <w:vAlign w:val="center"/>
          </w:tcPr>
          <w:p w14:paraId="47D8C4A2">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61044DF5">
            <w:pPr>
              <w:snapToGrid w:val="0"/>
              <w:ind w:firstLine="560"/>
              <w:rPr>
                <w:rFonts w:hint="eastAsia" w:ascii="宋体" w:hAnsi="宋体"/>
                <w:color w:val="auto"/>
                <w:szCs w:val="21"/>
                <w:highlight w:val="none"/>
              </w:rPr>
            </w:pPr>
          </w:p>
        </w:tc>
        <w:tc>
          <w:tcPr>
            <w:tcW w:w="942" w:type="dxa"/>
            <w:vMerge w:val="continue"/>
            <w:tcBorders>
              <w:right w:val="single" w:color="auto" w:sz="4" w:space="0"/>
            </w:tcBorders>
            <w:vAlign w:val="center"/>
          </w:tcPr>
          <w:p w14:paraId="5AF3680A">
            <w:pPr>
              <w:snapToGrid w:val="0"/>
              <w:ind w:firstLine="560"/>
              <w:jc w:val="left"/>
              <w:rPr>
                <w:rFonts w:hint="eastAsia" w:ascii="宋体" w:hAnsi="宋体"/>
                <w:color w:val="auto"/>
                <w:szCs w:val="21"/>
                <w:highlight w:val="none"/>
              </w:rPr>
            </w:pPr>
          </w:p>
        </w:tc>
        <w:tc>
          <w:tcPr>
            <w:tcW w:w="2268" w:type="dxa"/>
            <w:gridSpan w:val="2"/>
            <w:tcBorders>
              <w:top w:val="single" w:color="auto" w:sz="4" w:space="0"/>
              <w:left w:val="single" w:color="auto" w:sz="4" w:space="0"/>
              <w:right w:val="single" w:color="auto" w:sz="2" w:space="0"/>
            </w:tcBorders>
            <w:vAlign w:val="center"/>
          </w:tcPr>
          <w:p w14:paraId="3F21C1CE">
            <w:pPr>
              <w:snapToGrid w:val="0"/>
              <w:jc w:val="left"/>
              <w:rPr>
                <w:rFonts w:hint="eastAsia" w:ascii="宋体" w:hAnsi="宋体"/>
                <w:color w:val="auto"/>
                <w:szCs w:val="21"/>
                <w:highlight w:val="none"/>
              </w:rPr>
            </w:pPr>
            <w:r>
              <w:rPr>
                <w:rFonts w:hint="eastAsia" w:ascii="宋体" w:hAnsi="宋体"/>
                <w:color w:val="auto"/>
                <w:szCs w:val="21"/>
                <w:highlight w:val="none"/>
              </w:rPr>
              <w:t>对项目的理解（0-5分）</w:t>
            </w:r>
          </w:p>
        </w:tc>
        <w:tc>
          <w:tcPr>
            <w:tcW w:w="2693" w:type="dxa"/>
            <w:tcBorders>
              <w:top w:val="single" w:color="auto" w:sz="4" w:space="0"/>
              <w:left w:val="single" w:color="auto" w:sz="4" w:space="0"/>
              <w:right w:val="single" w:color="auto" w:sz="4" w:space="0"/>
            </w:tcBorders>
            <w:vAlign w:val="center"/>
          </w:tcPr>
          <w:p w14:paraId="188DC459">
            <w:pPr>
              <w:snapToGrid w:val="0"/>
              <w:jc w:val="left"/>
              <w:rPr>
                <w:rFonts w:hint="eastAsia" w:ascii="宋体" w:hAnsi="宋体"/>
                <w:color w:val="auto"/>
                <w:szCs w:val="21"/>
                <w:highlight w:val="none"/>
              </w:rPr>
            </w:pPr>
            <w:r>
              <w:rPr>
                <w:rFonts w:hint="eastAsia" w:ascii="宋体" w:hAnsi="宋体"/>
                <w:color w:val="auto"/>
                <w:szCs w:val="21"/>
                <w:highlight w:val="none"/>
              </w:rPr>
              <w:t>可由招标人根据项目情况，从关键技术参数、技术方案与经济协同、合理化建议等方面设置评分标准</w:t>
            </w:r>
          </w:p>
        </w:tc>
        <w:tc>
          <w:tcPr>
            <w:tcW w:w="1418" w:type="dxa"/>
            <w:tcBorders>
              <w:top w:val="single" w:color="auto" w:sz="4" w:space="0"/>
              <w:left w:val="single" w:color="auto" w:sz="4" w:space="0"/>
              <w:right w:val="single" w:color="auto" w:sz="4" w:space="0"/>
            </w:tcBorders>
            <w:vAlign w:val="center"/>
          </w:tcPr>
          <w:p w14:paraId="34EB7CAB">
            <w:pPr>
              <w:snapToGrid w:val="0"/>
              <w:ind w:firstLine="560"/>
              <w:jc w:val="left"/>
              <w:rPr>
                <w:rFonts w:hint="eastAsia" w:ascii="宋体" w:hAnsi="宋体"/>
                <w:color w:val="auto"/>
                <w:szCs w:val="21"/>
                <w:highlight w:val="none"/>
              </w:rPr>
            </w:pPr>
          </w:p>
        </w:tc>
        <w:tc>
          <w:tcPr>
            <w:tcW w:w="821" w:type="dxa"/>
            <w:tcBorders>
              <w:top w:val="single" w:color="auto" w:sz="4" w:space="0"/>
              <w:left w:val="single" w:color="auto" w:sz="4" w:space="0"/>
            </w:tcBorders>
            <w:vAlign w:val="center"/>
          </w:tcPr>
          <w:p w14:paraId="5B6D0559">
            <w:pPr>
              <w:tabs>
                <w:tab w:val="left" w:pos="420"/>
              </w:tabs>
              <w:snapToGrid w:val="0"/>
              <w:ind w:firstLine="560"/>
              <w:jc w:val="left"/>
              <w:rPr>
                <w:rFonts w:hint="eastAsia" w:ascii="宋体" w:hAnsi="宋体"/>
                <w:color w:val="auto"/>
                <w:szCs w:val="21"/>
                <w:highlight w:val="none"/>
              </w:rPr>
            </w:pPr>
          </w:p>
        </w:tc>
      </w:tr>
      <w:tr w14:paraId="2FD62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755" w:type="dxa"/>
            <w:vMerge w:val="continue"/>
            <w:tcBorders>
              <w:right w:val="single" w:color="auto" w:sz="4" w:space="0"/>
            </w:tcBorders>
            <w:vAlign w:val="center"/>
          </w:tcPr>
          <w:p w14:paraId="7EA2EA22">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29134DA1">
            <w:pPr>
              <w:snapToGrid w:val="0"/>
              <w:ind w:firstLine="560"/>
              <w:rPr>
                <w:rFonts w:hint="eastAsia" w:ascii="宋体" w:hAnsi="宋体"/>
                <w:color w:val="auto"/>
                <w:szCs w:val="21"/>
                <w:highlight w:val="none"/>
              </w:rPr>
            </w:pPr>
          </w:p>
        </w:tc>
        <w:tc>
          <w:tcPr>
            <w:tcW w:w="3210" w:type="dxa"/>
            <w:gridSpan w:val="3"/>
            <w:vMerge w:val="restart"/>
            <w:tcBorders>
              <w:right w:val="single" w:color="auto" w:sz="2" w:space="0"/>
            </w:tcBorders>
            <w:vAlign w:val="center"/>
          </w:tcPr>
          <w:p w14:paraId="62E0A93B">
            <w:pPr>
              <w:snapToGrid w:val="0"/>
              <w:jc w:val="left"/>
              <w:rPr>
                <w:rFonts w:hint="eastAsia" w:ascii="宋体" w:hAnsi="宋体"/>
                <w:color w:val="auto"/>
                <w:szCs w:val="21"/>
                <w:highlight w:val="none"/>
              </w:rPr>
            </w:pPr>
            <w:r>
              <w:rPr>
                <w:rFonts w:hint="eastAsia" w:ascii="宋体" w:hAnsi="宋体"/>
                <w:color w:val="auto"/>
                <w:szCs w:val="21"/>
                <w:highlight w:val="none"/>
              </w:rPr>
              <w:t>项目经理不良信用信息（20分）</w:t>
            </w:r>
          </w:p>
        </w:tc>
        <w:tc>
          <w:tcPr>
            <w:tcW w:w="2693" w:type="dxa"/>
            <w:tcBorders>
              <w:left w:val="single" w:color="auto" w:sz="4" w:space="0"/>
              <w:bottom w:val="single" w:color="auto" w:sz="4" w:space="0"/>
              <w:right w:val="single" w:color="auto" w:sz="4" w:space="0"/>
            </w:tcBorders>
            <w:vAlign w:val="center"/>
          </w:tcPr>
          <w:p w14:paraId="232ED41A">
            <w:pPr>
              <w:snapToGrid w:val="0"/>
              <w:jc w:val="left"/>
              <w:rPr>
                <w:rFonts w:hint="eastAsia" w:ascii="宋体" w:hAnsi="宋体"/>
                <w:color w:val="auto"/>
                <w:szCs w:val="21"/>
                <w:highlight w:val="none"/>
              </w:rPr>
            </w:pPr>
            <w:r>
              <w:rPr>
                <w:rFonts w:hint="eastAsia" w:ascii="宋体" w:hAnsi="宋体"/>
                <w:color w:val="auto"/>
                <w:szCs w:val="21"/>
                <w:highlight w:val="none"/>
              </w:rPr>
              <w:t>无不良信用信息的，计20分</w:t>
            </w:r>
          </w:p>
        </w:tc>
        <w:tc>
          <w:tcPr>
            <w:tcW w:w="1418" w:type="dxa"/>
            <w:vMerge w:val="restart"/>
            <w:tcBorders>
              <w:left w:val="single" w:color="auto" w:sz="4" w:space="0"/>
              <w:right w:val="single" w:color="auto" w:sz="4" w:space="0"/>
            </w:tcBorders>
            <w:vAlign w:val="center"/>
          </w:tcPr>
          <w:p w14:paraId="73CE4CC2">
            <w:pPr>
              <w:snapToGrid w:val="0"/>
              <w:jc w:val="left"/>
              <w:rPr>
                <w:rFonts w:hint="eastAsia" w:ascii="宋体" w:hAnsi="宋体"/>
                <w:color w:val="auto"/>
                <w:szCs w:val="21"/>
                <w:highlight w:val="none"/>
              </w:rPr>
            </w:pPr>
            <w:r>
              <w:rPr>
                <w:rFonts w:hint="eastAsia" w:ascii="宋体" w:hAnsi="宋体"/>
                <w:color w:val="auto"/>
                <w:szCs w:val="21"/>
                <w:highlight w:val="none"/>
              </w:rPr>
              <w:t>必选项</w:t>
            </w:r>
          </w:p>
        </w:tc>
        <w:tc>
          <w:tcPr>
            <w:tcW w:w="821" w:type="dxa"/>
            <w:vMerge w:val="restart"/>
            <w:tcBorders>
              <w:left w:val="single" w:color="auto" w:sz="4" w:space="0"/>
            </w:tcBorders>
            <w:vAlign w:val="center"/>
          </w:tcPr>
          <w:p w14:paraId="086CB861">
            <w:pPr>
              <w:tabs>
                <w:tab w:val="left" w:pos="420"/>
              </w:tabs>
              <w:snapToGrid w:val="0"/>
              <w:jc w:val="left"/>
              <w:rPr>
                <w:rFonts w:hint="eastAsia" w:ascii="宋体" w:hAnsi="宋体"/>
                <w:color w:val="auto"/>
                <w:szCs w:val="21"/>
                <w:highlight w:val="none"/>
              </w:rPr>
            </w:pPr>
            <w:r>
              <w:rPr>
                <w:rFonts w:hint="eastAsia" w:ascii="宋体" w:hAnsi="宋体"/>
                <w:color w:val="auto"/>
                <w:szCs w:val="21"/>
                <w:highlight w:val="none"/>
              </w:rPr>
              <w:t>扣分制</w:t>
            </w:r>
          </w:p>
        </w:tc>
      </w:tr>
      <w:tr w14:paraId="6EF06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755" w:type="dxa"/>
            <w:vMerge w:val="continue"/>
            <w:tcBorders>
              <w:right w:val="single" w:color="auto" w:sz="4" w:space="0"/>
            </w:tcBorders>
            <w:vAlign w:val="center"/>
          </w:tcPr>
          <w:p w14:paraId="68D1B86D">
            <w:pPr>
              <w:snapToGrid w:val="0"/>
              <w:ind w:firstLine="560"/>
              <w:jc w:val="center"/>
              <w:rPr>
                <w:rFonts w:hint="eastAsia" w:ascii="宋体" w:hAnsi="宋体"/>
                <w:color w:val="auto"/>
                <w:szCs w:val="21"/>
                <w:highlight w:val="none"/>
              </w:rPr>
            </w:pPr>
          </w:p>
        </w:tc>
        <w:tc>
          <w:tcPr>
            <w:tcW w:w="840" w:type="dxa"/>
            <w:vMerge w:val="continue"/>
            <w:tcBorders>
              <w:left w:val="single" w:color="auto" w:sz="4" w:space="0"/>
            </w:tcBorders>
            <w:vAlign w:val="center"/>
          </w:tcPr>
          <w:p w14:paraId="13B9711A">
            <w:pPr>
              <w:snapToGrid w:val="0"/>
              <w:ind w:firstLine="560"/>
              <w:rPr>
                <w:rFonts w:hint="eastAsia" w:ascii="宋体" w:hAnsi="宋体"/>
                <w:color w:val="auto"/>
                <w:szCs w:val="21"/>
                <w:highlight w:val="none"/>
              </w:rPr>
            </w:pPr>
          </w:p>
        </w:tc>
        <w:tc>
          <w:tcPr>
            <w:tcW w:w="3210" w:type="dxa"/>
            <w:gridSpan w:val="3"/>
            <w:vMerge w:val="continue"/>
            <w:tcBorders>
              <w:right w:val="single" w:color="auto" w:sz="2" w:space="0"/>
            </w:tcBorders>
            <w:vAlign w:val="center"/>
          </w:tcPr>
          <w:p w14:paraId="3DDB4A11">
            <w:pPr>
              <w:snapToGrid w:val="0"/>
              <w:ind w:firstLine="560"/>
              <w:jc w:val="left"/>
              <w:rPr>
                <w:rFonts w:hint="eastAsia" w:ascii="宋体" w:hAnsi="宋体"/>
                <w:color w:val="auto"/>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14:paraId="485A5386">
            <w:pPr>
              <w:snapToGrid w:val="0"/>
              <w:jc w:val="left"/>
              <w:rPr>
                <w:rFonts w:hint="eastAsia" w:ascii="宋体" w:hAnsi="宋体"/>
                <w:color w:val="auto"/>
                <w:szCs w:val="21"/>
                <w:highlight w:val="none"/>
              </w:rPr>
            </w:pPr>
            <w:r>
              <w:rPr>
                <w:rFonts w:hint="eastAsia" w:ascii="宋体" w:hAnsi="宋体"/>
                <w:color w:val="auto"/>
                <w:szCs w:val="21"/>
                <w:highlight w:val="none"/>
              </w:rPr>
              <w:t>有不良信用信息的，根据不良信用信息类型，按照表后注解对应的分值进行扣分，扣完为止。</w:t>
            </w:r>
          </w:p>
        </w:tc>
        <w:tc>
          <w:tcPr>
            <w:tcW w:w="1418" w:type="dxa"/>
            <w:vMerge w:val="continue"/>
            <w:tcBorders>
              <w:left w:val="single" w:color="auto" w:sz="4" w:space="0"/>
              <w:right w:val="single" w:color="auto" w:sz="4" w:space="0"/>
            </w:tcBorders>
            <w:vAlign w:val="center"/>
          </w:tcPr>
          <w:p w14:paraId="11FC34CE">
            <w:pPr>
              <w:snapToGrid w:val="0"/>
              <w:ind w:firstLine="560"/>
              <w:jc w:val="left"/>
              <w:rPr>
                <w:rFonts w:hint="eastAsia" w:ascii="宋体" w:hAnsi="宋体"/>
                <w:color w:val="auto"/>
                <w:szCs w:val="21"/>
                <w:highlight w:val="none"/>
              </w:rPr>
            </w:pPr>
          </w:p>
        </w:tc>
        <w:tc>
          <w:tcPr>
            <w:tcW w:w="821" w:type="dxa"/>
            <w:vMerge w:val="continue"/>
            <w:tcBorders>
              <w:left w:val="single" w:color="auto" w:sz="4" w:space="0"/>
            </w:tcBorders>
            <w:vAlign w:val="center"/>
          </w:tcPr>
          <w:p w14:paraId="4D5DF7EC">
            <w:pPr>
              <w:tabs>
                <w:tab w:val="left" w:pos="420"/>
              </w:tabs>
              <w:snapToGrid w:val="0"/>
              <w:ind w:firstLine="560"/>
              <w:jc w:val="left"/>
              <w:rPr>
                <w:rFonts w:hint="eastAsia" w:ascii="宋体" w:hAnsi="宋体"/>
                <w:color w:val="auto"/>
                <w:szCs w:val="21"/>
                <w:highlight w:val="none"/>
              </w:rPr>
            </w:pPr>
          </w:p>
        </w:tc>
      </w:tr>
      <w:tr w14:paraId="6F0DA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755" w:type="dxa"/>
            <w:vMerge w:val="continue"/>
            <w:tcBorders>
              <w:right w:val="single" w:color="auto" w:sz="4" w:space="0"/>
            </w:tcBorders>
            <w:vAlign w:val="center"/>
          </w:tcPr>
          <w:p w14:paraId="704EE6B1">
            <w:pPr>
              <w:snapToGrid w:val="0"/>
              <w:ind w:firstLine="560"/>
              <w:jc w:val="center"/>
              <w:rPr>
                <w:rFonts w:hint="eastAsia" w:ascii="宋体" w:hAnsi="宋体"/>
                <w:color w:val="auto"/>
                <w:szCs w:val="21"/>
                <w:highlight w:val="none"/>
              </w:rPr>
            </w:pPr>
          </w:p>
        </w:tc>
        <w:tc>
          <w:tcPr>
            <w:tcW w:w="8982" w:type="dxa"/>
            <w:gridSpan w:val="7"/>
            <w:vAlign w:val="center"/>
          </w:tcPr>
          <w:p w14:paraId="558F44EA">
            <w:pPr>
              <w:spacing w:line="280" w:lineRule="exact"/>
              <w:jc w:val="left"/>
              <w:rPr>
                <w:rFonts w:hint="eastAsia" w:ascii="宋体" w:hAnsi="宋体"/>
                <w:color w:val="auto"/>
                <w:szCs w:val="21"/>
                <w:highlight w:val="none"/>
              </w:rPr>
            </w:pPr>
            <w:r>
              <w:rPr>
                <w:rFonts w:hint="eastAsia" w:ascii="宋体" w:hAnsi="宋体"/>
                <w:color w:val="auto"/>
                <w:szCs w:val="21"/>
                <w:highlight w:val="none"/>
              </w:rPr>
              <w:t>注：</w:t>
            </w:r>
          </w:p>
          <w:p w14:paraId="61FC9B04">
            <w:pPr>
              <w:spacing w:line="280" w:lineRule="exact"/>
              <w:jc w:val="left"/>
              <w:rPr>
                <w:rFonts w:hint="eastAsia" w:ascii="宋体" w:hAnsi="宋体"/>
                <w:color w:val="auto"/>
                <w:szCs w:val="21"/>
                <w:highlight w:val="none"/>
              </w:rPr>
            </w:pPr>
            <w:r>
              <w:rPr>
                <w:rFonts w:hint="eastAsia" w:ascii="宋体" w:hAnsi="宋体"/>
                <w:color w:val="auto"/>
                <w:szCs w:val="21"/>
                <w:highlight w:val="none"/>
              </w:rPr>
              <w:t>1、银行授信额度：资格预审申请文件中提供由独立法人银行或者市（州）以上级别银行分行出具的包含授信有效期、授信额度，且标注为非低风险等内容的证明材料复印件，申请截止时间应在证明材料中注明的授信有效期内，申请人提供多份证明材料的，不进行累加，以符合上述要求的单份最高授信额度为准。</w:t>
            </w:r>
          </w:p>
          <w:p w14:paraId="3C38DC8C">
            <w:pPr>
              <w:spacing w:line="280" w:lineRule="exact"/>
              <w:jc w:val="left"/>
              <w:rPr>
                <w:rFonts w:hint="eastAsia" w:ascii="宋体" w:hAnsi="宋体"/>
                <w:color w:val="auto"/>
                <w:szCs w:val="21"/>
                <w:highlight w:val="none"/>
              </w:rPr>
            </w:pPr>
            <w:r>
              <w:rPr>
                <w:rFonts w:hint="eastAsia" w:ascii="宋体" w:hAnsi="宋体"/>
                <w:color w:val="auto"/>
                <w:szCs w:val="21"/>
                <w:highlight w:val="none"/>
              </w:rPr>
              <w:t>2、奖项评审依据（下</w:t>
            </w:r>
            <w:r>
              <w:rPr>
                <w:rFonts w:hint="eastAsia" w:ascii="宋体" w:hAnsi="宋体" w:cs="宋体"/>
                <w:color w:val="auto"/>
                <w:szCs w:val="21"/>
                <w:highlight w:val="none"/>
              </w:rPr>
              <w:t>表内容为示例，具体规定由招标人根据项目情况依法依规在资格预审文件中明确</w:t>
            </w:r>
            <w:r>
              <w:rPr>
                <w:rFonts w:hint="eastAsia" w:ascii="宋体" w:hAnsi="宋体" w:cs="宋体"/>
                <w:color w:val="auto"/>
                <w:szCs w:val="21"/>
                <w:highlight w:val="none"/>
                <w:lang w:eastAsia="zh-CN"/>
              </w:rPr>
              <w:t>。</w:t>
            </w:r>
            <w:r>
              <w:rPr>
                <w:rFonts w:hint="eastAsia" w:ascii="宋体" w:hAnsi="宋体"/>
                <w:color w:val="auto"/>
                <w:szCs w:val="21"/>
                <w:highlight w:val="none"/>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485"/>
              <w:gridCol w:w="3969"/>
              <w:gridCol w:w="866"/>
            </w:tblGrid>
            <w:tr w14:paraId="20A1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tcPr>
                <w:p w14:paraId="0EB61696">
                  <w:pPr>
                    <w:jc w:val="left"/>
                    <w:rPr>
                      <w:rFonts w:hint="eastAsia" w:ascii="宋体" w:hAnsi="宋体"/>
                      <w:color w:val="auto"/>
                      <w:szCs w:val="21"/>
                      <w:highlight w:val="none"/>
                    </w:rPr>
                  </w:pPr>
                  <w:r>
                    <w:rPr>
                      <w:rFonts w:hint="eastAsia" w:ascii="宋体" w:hAnsi="宋体"/>
                      <w:color w:val="auto"/>
                      <w:szCs w:val="21"/>
                      <w:highlight w:val="none"/>
                    </w:rPr>
                    <w:t>奖项名称</w:t>
                  </w:r>
                </w:p>
              </w:tc>
              <w:tc>
                <w:tcPr>
                  <w:tcW w:w="1485" w:type="dxa"/>
                </w:tcPr>
                <w:p w14:paraId="0808CECE">
                  <w:pPr>
                    <w:jc w:val="left"/>
                    <w:rPr>
                      <w:rFonts w:hint="eastAsia" w:ascii="宋体" w:hAnsi="宋体"/>
                      <w:color w:val="auto"/>
                      <w:szCs w:val="21"/>
                      <w:highlight w:val="none"/>
                    </w:rPr>
                  </w:pPr>
                  <w:r>
                    <w:rPr>
                      <w:rFonts w:hint="eastAsia" w:ascii="宋体" w:hAnsi="宋体"/>
                      <w:color w:val="auto"/>
                      <w:szCs w:val="21"/>
                      <w:highlight w:val="none"/>
                    </w:rPr>
                    <w:t>颁奖单位</w:t>
                  </w:r>
                </w:p>
              </w:tc>
              <w:tc>
                <w:tcPr>
                  <w:tcW w:w="3969" w:type="dxa"/>
                </w:tcPr>
                <w:p w14:paraId="55CAAC75">
                  <w:pPr>
                    <w:jc w:val="left"/>
                    <w:rPr>
                      <w:rFonts w:hint="eastAsia" w:ascii="宋体" w:hAnsi="宋体"/>
                      <w:color w:val="auto"/>
                      <w:szCs w:val="21"/>
                      <w:highlight w:val="none"/>
                    </w:rPr>
                  </w:pPr>
                  <w:r>
                    <w:rPr>
                      <w:rFonts w:hint="eastAsia" w:ascii="宋体" w:hAnsi="宋体"/>
                      <w:color w:val="auto"/>
                      <w:szCs w:val="21"/>
                      <w:highlight w:val="none"/>
                    </w:rPr>
                    <w:t>考核依据</w:t>
                  </w:r>
                </w:p>
              </w:tc>
              <w:tc>
                <w:tcPr>
                  <w:tcW w:w="866" w:type="dxa"/>
                </w:tcPr>
                <w:p w14:paraId="574F00A3">
                  <w:pPr>
                    <w:jc w:val="left"/>
                    <w:rPr>
                      <w:rFonts w:hint="eastAsia" w:ascii="宋体" w:hAnsi="宋体"/>
                      <w:color w:val="auto"/>
                      <w:szCs w:val="21"/>
                      <w:highlight w:val="none"/>
                    </w:rPr>
                  </w:pPr>
                  <w:r>
                    <w:rPr>
                      <w:rFonts w:hint="eastAsia" w:ascii="宋体" w:hAnsi="宋体"/>
                      <w:color w:val="auto"/>
                      <w:szCs w:val="21"/>
                      <w:highlight w:val="none"/>
                    </w:rPr>
                    <w:t>备注</w:t>
                  </w:r>
                </w:p>
              </w:tc>
            </w:tr>
            <w:tr w14:paraId="30E0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35C02514">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鲁班奖</w:t>
                  </w:r>
                </w:p>
              </w:tc>
              <w:tc>
                <w:tcPr>
                  <w:tcW w:w="1485" w:type="dxa"/>
                  <w:vAlign w:val="center"/>
                </w:tcPr>
                <w:p w14:paraId="30B267A9">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中国建筑业协会</w:t>
                  </w:r>
                </w:p>
              </w:tc>
              <w:tc>
                <w:tcPr>
                  <w:tcW w:w="3969" w:type="dxa"/>
                  <w:vAlign w:val="center"/>
                </w:tcPr>
                <w:p w14:paraId="471C9181">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（1）《关于公布〈20XX～20XX年度第X批中国建设工程鲁班奖（国家优质工程）入选名单〉的通知》</w:t>
                  </w:r>
                </w:p>
                <w:p w14:paraId="70603681">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（2）《关于颁发〈20XX～20XX年度中国建设工程鲁班奖（国家优质工程）〉的决定》</w:t>
                  </w:r>
                </w:p>
              </w:tc>
              <w:tc>
                <w:tcPr>
                  <w:tcW w:w="866" w:type="dxa"/>
                  <w:vAlign w:val="center"/>
                </w:tcPr>
                <w:p w14:paraId="4B5B03E5">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1881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0FB2263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国家优质工程奖</w:t>
                  </w:r>
                </w:p>
              </w:tc>
              <w:tc>
                <w:tcPr>
                  <w:tcW w:w="1485" w:type="dxa"/>
                  <w:vAlign w:val="center"/>
                </w:tcPr>
                <w:p w14:paraId="21E86590">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中国施工企业管理协会</w:t>
                  </w:r>
                </w:p>
              </w:tc>
              <w:tc>
                <w:tcPr>
                  <w:tcW w:w="3969" w:type="dxa"/>
                  <w:vAlign w:val="center"/>
                </w:tcPr>
                <w:p w14:paraId="46D7B175">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（1）《20XX-20XX年度第X批国家优质工程奖入选工程名单公告》</w:t>
                  </w:r>
                </w:p>
                <w:p w14:paraId="64BDFE1A">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（2）《关于表彰20XX-20XX年度国家优质工程奖的决定》</w:t>
                  </w:r>
                </w:p>
              </w:tc>
              <w:tc>
                <w:tcPr>
                  <w:tcW w:w="866" w:type="dxa"/>
                  <w:vAlign w:val="center"/>
                </w:tcPr>
                <w:p w14:paraId="17F2031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296F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09AE46F6">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建设工程项目施工工地安全生产标准化学习交流项目</w:t>
                  </w:r>
                </w:p>
              </w:tc>
              <w:tc>
                <w:tcPr>
                  <w:tcW w:w="1485" w:type="dxa"/>
                  <w:vAlign w:val="center"/>
                </w:tcPr>
                <w:p w14:paraId="5D8DAB8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中国建筑业协会建筑安全与机械分会</w:t>
                  </w:r>
                </w:p>
              </w:tc>
              <w:tc>
                <w:tcPr>
                  <w:tcW w:w="3969" w:type="dxa"/>
                  <w:vAlign w:val="center"/>
                </w:tcPr>
                <w:p w14:paraId="576E03D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《关于公布20XX年建设工程项目施工工地安全生产标准化学习交流项目名单的通知》</w:t>
                  </w:r>
                </w:p>
              </w:tc>
              <w:tc>
                <w:tcPr>
                  <w:tcW w:w="866" w:type="dxa"/>
                  <w:vAlign w:val="center"/>
                </w:tcPr>
                <w:p w14:paraId="726B0C62">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64D0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3B3433AB">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省级综合工程质量奖</w:t>
                  </w:r>
                </w:p>
              </w:tc>
              <w:tc>
                <w:tcPr>
                  <w:tcW w:w="1485" w:type="dxa"/>
                  <w:vAlign w:val="center"/>
                </w:tcPr>
                <w:p w14:paraId="7469B163">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省级建设行政主管部门或省级建筑业协会</w:t>
                  </w:r>
                </w:p>
              </w:tc>
              <w:tc>
                <w:tcPr>
                  <w:tcW w:w="3969" w:type="dxa"/>
                  <w:vAlign w:val="center"/>
                </w:tcPr>
                <w:p w14:paraId="00E41D99">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866" w:type="dxa"/>
                  <w:vAlign w:val="center"/>
                </w:tcPr>
                <w:p w14:paraId="65C8A43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680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2052F16D">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三星绿色建筑</w:t>
                  </w:r>
                </w:p>
              </w:tc>
              <w:tc>
                <w:tcPr>
                  <w:tcW w:w="1485" w:type="dxa"/>
                  <w:vAlign w:val="center"/>
                </w:tcPr>
                <w:p w14:paraId="26B6DAF3">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住房和城乡建设部</w:t>
                  </w:r>
                </w:p>
              </w:tc>
              <w:tc>
                <w:tcPr>
                  <w:tcW w:w="3969" w:type="dxa"/>
                  <w:vAlign w:val="center"/>
                </w:tcPr>
                <w:p w14:paraId="070188FC">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以住房和城乡建设部授予的星级绿色建筑设计标识证书为准</w:t>
                  </w:r>
                </w:p>
              </w:tc>
              <w:tc>
                <w:tcPr>
                  <w:tcW w:w="866" w:type="dxa"/>
                  <w:vAlign w:val="center"/>
                </w:tcPr>
                <w:p w14:paraId="3CB3ED8F">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3238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6BDEBE87">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二星绿色建筑</w:t>
                  </w:r>
                </w:p>
              </w:tc>
              <w:tc>
                <w:tcPr>
                  <w:tcW w:w="1485" w:type="dxa"/>
                  <w:vAlign w:val="center"/>
                </w:tcPr>
                <w:p w14:paraId="0F98090F">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省级住房和城乡建设部门</w:t>
                  </w:r>
                </w:p>
              </w:tc>
              <w:tc>
                <w:tcPr>
                  <w:tcW w:w="3969" w:type="dxa"/>
                  <w:vAlign w:val="center"/>
                </w:tcPr>
                <w:p w14:paraId="3CBB22F0">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866" w:type="dxa"/>
                  <w:vAlign w:val="center"/>
                </w:tcPr>
                <w:p w14:paraId="41CC8CF4">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6B77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12D514D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AAA级装配式建筑</w:t>
                  </w:r>
                </w:p>
              </w:tc>
              <w:tc>
                <w:tcPr>
                  <w:tcW w:w="1485" w:type="dxa"/>
                  <w:vAlign w:val="center"/>
                </w:tcPr>
                <w:p w14:paraId="662FF63F">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住房和城乡建设部</w:t>
                  </w:r>
                </w:p>
              </w:tc>
              <w:tc>
                <w:tcPr>
                  <w:tcW w:w="3969" w:type="dxa"/>
                  <w:vAlign w:val="center"/>
                </w:tcPr>
                <w:p w14:paraId="3917A5C1">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866" w:type="dxa"/>
                  <w:vAlign w:val="center"/>
                </w:tcPr>
                <w:p w14:paraId="34BBCC78">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r w14:paraId="0F17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6" w:type="dxa"/>
                  <w:vAlign w:val="center"/>
                </w:tcPr>
                <w:p w14:paraId="663D8C18">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AA级装配式建筑</w:t>
                  </w:r>
                </w:p>
              </w:tc>
              <w:tc>
                <w:tcPr>
                  <w:tcW w:w="1485" w:type="dxa"/>
                  <w:vAlign w:val="center"/>
                </w:tcPr>
                <w:p w14:paraId="223E02C2">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省级住房和城乡建设部门</w:t>
                  </w:r>
                </w:p>
              </w:tc>
              <w:tc>
                <w:tcPr>
                  <w:tcW w:w="3969" w:type="dxa"/>
                  <w:vAlign w:val="center"/>
                </w:tcPr>
                <w:p w14:paraId="6FC22BDA">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866" w:type="dxa"/>
                  <w:vAlign w:val="center"/>
                </w:tcPr>
                <w:p w14:paraId="3761CFD0">
                  <w:pPr>
                    <w:keepNext w:val="0"/>
                    <w:keepLines w:val="0"/>
                    <w:pageBreakBefore w:val="0"/>
                    <w:widowControl w:val="0"/>
                    <w:kinsoku/>
                    <w:wordWrap/>
                    <w:overflowPunct/>
                    <w:topLinePunct w:val="0"/>
                    <w:autoSpaceDE/>
                    <w:autoSpaceDN/>
                    <w:bidi w:val="0"/>
                    <w:adjustRightInd/>
                    <w:snapToGrid/>
                    <w:ind w:firstLine="0"/>
                    <w:jc w:val="center"/>
                    <w:textAlignment w:val="auto"/>
                    <w:rPr>
                      <w:rFonts w:hint="eastAsia" w:ascii="宋体" w:hAnsi="宋体"/>
                      <w:color w:val="auto"/>
                      <w:szCs w:val="21"/>
                      <w:highlight w:val="none"/>
                    </w:rPr>
                  </w:pPr>
                </w:p>
              </w:tc>
            </w:tr>
          </w:tbl>
          <w:p w14:paraId="3C1045BB">
            <w:pPr>
              <w:jc w:val="left"/>
              <w:rPr>
                <w:rFonts w:hint="eastAsia" w:ascii="宋体" w:hAnsi="宋体"/>
                <w:color w:val="auto"/>
                <w:szCs w:val="21"/>
                <w:highlight w:val="none"/>
              </w:rPr>
            </w:pPr>
            <w:r>
              <w:rPr>
                <w:rFonts w:hint="eastAsia" w:ascii="宋体" w:hAnsi="宋体"/>
                <w:color w:val="auto"/>
                <w:szCs w:val="21"/>
                <w:highlight w:val="none"/>
              </w:rPr>
              <w:t>奖项考核期限：3年，以申请截止时间为时间节点，自获奖文件发文次日计算起、止时间。</w:t>
            </w:r>
          </w:p>
          <w:p w14:paraId="1F3BEA60">
            <w:pPr>
              <w:jc w:val="left"/>
              <w:rPr>
                <w:rFonts w:hint="eastAsia" w:ascii="宋体" w:hAnsi="宋体"/>
                <w:color w:val="auto"/>
                <w:szCs w:val="21"/>
                <w:highlight w:val="none"/>
              </w:rPr>
            </w:pPr>
            <w:r>
              <w:rPr>
                <w:rFonts w:hint="eastAsia" w:ascii="宋体" w:hAnsi="宋体"/>
                <w:color w:val="auto"/>
                <w:szCs w:val="21"/>
                <w:highlight w:val="none"/>
              </w:rPr>
              <w:t>鲁班奖的公布文件和决定文件存在重复项目的，该项目获得鲁班奖的考核期限应当从公布文件发布时间开始计算；国家优质工程奖的入选文件和决定文件存在重复项目的，该项目获得国家优质工程奖的考核期限应当从入选文件发布时间开始计算。其他奖项如出现上述情形的，亦按照该原则执行。</w:t>
            </w:r>
          </w:p>
          <w:p w14:paraId="1DC105EA">
            <w:pPr>
              <w:jc w:val="left"/>
              <w:rPr>
                <w:rFonts w:hint="eastAsia" w:ascii="宋体" w:hAnsi="宋体"/>
                <w:color w:val="auto"/>
                <w:szCs w:val="21"/>
                <w:highlight w:val="none"/>
              </w:rPr>
            </w:pPr>
            <w:r>
              <w:rPr>
                <w:rFonts w:hint="eastAsia" w:ascii="宋体" w:hAnsi="宋体"/>
                <w:color w:val="auto"/>
                <w:szCs w:val="21"/>
                <w:highlight w:val="none"/>
              </w:rPr>
              <w:t>3、质量安全评价评审依据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126"/>
              <w:gridCol w:w="3105"/>
              <w:gridCol w:w="771"/>
            </w:tblGrid>
            <w:tr w14:paraId="7C2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tcPr>
                <w:p w14:paraId="181C56EE">
                  <w:pPr>
                    <w:jc w:val="left"/>
                    <w:rPr>
                      <w:rFonts w:hint="eastAsia" w:ascii="宋体" w:hAnsi="宋体"/>
                      <w:color w:val="auto"/>
                      <w:szCs w:val="21"/>
                      <w:highlight w:val="none"/>
                    </w:rPr>
                  </w:pPr>
                  <w:r>
                    <w:rPr>
                      <w:rFonts w:hint="eastAsia" w:ascii="宋体" w:hAnsi="宋体"/>
                      <w:color w:val="auto"/>
                      <w:szCs w:val="21"/>
                      <w:highlight w:val="none"/>
                    </w:rPr>
                    <w:t>奖项名称</w:t>
                  </w:r>
                </w:p>
              </w:tc>
              <w:tc>
                <w:tcPr>
                  <w:tcW w:w="2126" w:type="dxa"/>
                </w:tcPr>
                <w:p w14:paraId="146BE388">
                  <w:pPr>
                    <w:jc w:val="left"/>
                    <w:rPr>
                      <w:rFonts w:hint="eastAsia" w:ascii="宋体" w:hAnsi="宋体"/>
                      <w:color w:val="auto"/>
                      <w:szCs w:val="21"/>
                      <w:highlight w:val="none"/>
                    </w:rPr>
                  </w:pPr>
                  <w:r>
                    <w:rPr>
                      <w:rFonts w:hint="eastAsia" w:ascii="宋体" w:hAnsi="宋体"/>
                      <w:color w:val="auto"/>
                      <w:szCs w:val="21"/>
                      <w:highlight w:val="none"/>
                    </w:rPr>
                    <w:t>颁奖单位</w:t>
                  </w:r>
                </w:p>
              </w:tc>
              <w:tc>
                <w:tcPr>
                  <w:tcW w:w="3105" w:type="dxa"/>
                </w:tcPr>
                <w:p w14:paraId="76835778">
                  <w:pPr>
                    <w:jc w:val="left"/>
                    <w:rPr>
                      <w:rFonts w:hint="eastAsia" w:ascii="宋体" w:hAnsi="宋体"/>
                      <w:color w:val="auto"/>
                      <w:szCs w:val="21"/>
                      <w:highlight w:val="none"/>
                    </w:rPr>
                  </w:pPr>
                  <w:r>
                    <w:rPr>
                      <w:rFonts w:hint="eastAsia" w:ascii="宋体" w:hAnsi="宋体"/>
                      <w:color w:val="auto"/>
                      <w:szCs w:val="21"/>
                      <w:highlight w:val="none"/>
                    </w:rPr>
                    <w:t>考核依据</w:t>
                  </w:r>
                </w:p>
              </w:tc>
              <w:tc>
                <w:tcPr>
                  <w:tcW w:w="771" w:type="dxa"/>
                </w:tcPr>
                <w:p w14:paraId="6AC8286D">
                  <w:pPr>
                    <w:jc w:val="left"/>
                    <w:rPr>
                      <w:rFonts w:hint="eastAsia" w:ascii="宋体" w:hAnsi="宋体"/>
                      <w:color w:val="auto"/>
                      <w:szCs w:val="21"/>
                      <w:highlight w:val="none"/>
                    </w:rPr>
                  </w:pPr>
                  <w:r>
                    <w:rPr>
                      <w:rFonts w:hint="eastAsia" w:ascii="宋体" w:hAnsi="宋体"/>
                      <w:color w:val="auto"/>
                      <w:szCs w:val="21"/>
                      <w:highlight w:val="none"/>
                    </w:rPr>
                    <w:t>备注</w:t>
                  </w:r>
                </w:p>
              </w:tc>
            </w:tr>
            <w:tr w14:paraId="6539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818" w:type="dxa"/>
                </w:tcPr>
                <w:p w14:paraId="6159AC0E">
                  <w:pPr>
                    <w:jc w:val="left"/>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省级建筑施工安全质量标准化考评合格企业、优良企业</w:t>
                  </w:r>
                </w:p>
              </w:tc>
              <w:tc>
                <w:tcPr>
                  <w:tcW w:w="2126" w:type="dxa"/>
                </w:tcPr>
                <w:p w14:paraId="782E963C">
                  <w:pPr>
                    <w:jc w:val="left"/>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省级住房和城乡建设部门</w:t>
                  </w:r>
                </w:p>
              </w:tc>
              <w:tc>
                <w:tcPr>
                  <w:tcW w:w="3105" w:type="dxa"/>
                </w:tcPr>
                <w:p w14:paraId="79501505">
                  <w:pPr>
                    <w:spacing w:line="200" w:lineRule="exact"/>
                    <w:jc w:val="left"/>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公布文件，省外取得的“省级建筑施工安全质量标准化考评合格企业、优良企业”还须提供由当地省级住房和城乡建设部门制定的合格企业、优良企业考评标准的公布文件，且该文件中须体现“根据《住房城乡建设部关于印发&lt;建筑施工安全生产标准化考评暂行办法&gt;的通知》（建质[2014]111号）”的字样。</w:t>
                  </w:r>
                </w:p>
              </w:tc>
              <w:tc>
                <w:tcPr>
                  <w:tcW w:w="771" w:type="dxa"/>
                </w:tcPr>
                <w:p w14:paraId="281EAB00">
                  <w:pPr>
                    <w:ind w:firstLine="400"/>
                    <w:jc w:val="left"/>
                    <w:rPr>
                      <w:rFonts w:hint="eastAsia" w:ascii="宋体" w:hAnsi="宋体" w:cs="宋体"/>
                      <w:color w:val="auto"/>
                      <w:kern w:val="0"/>
                      <w:sz w:val="20"/>
                      <w:szCs w:val="22"/>
                      <w:highlight w:val="none"/>
                    </w:rPr>
                  </w:pPr>
                </w:p>
              </w:tc>
            </w:tr>
            <w:tr w14:paraId="7DAB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8" w:type="dxa"/>
                </w:tcPr>
                <w:p w14:paraId="4F0D7677">
                  <w:pPr>
                    <w:jc w:val="left"/>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省级建筑施工安全质量标准化考评优良项目</w:t>
                  </w:r>
                </w:p>
              </w:tc>
              <w:tc>
                <w:tcPr>
                  <w:tcW w:w="2126" w:type="dxa"/>
                </w:tcPr>
                <w:p w14:paraId="24C27542">
                  <w:pPr>
                    <w:jc w:val="left"/>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省级住房和城乡建设部门</w:t>
                  </w:r>
                </w:p>
              </w:tc>
              <w:tc>
                <w:tcPr>
                  <w:tcW w:w="3105" w:type="dxa"/>
                </w:tcPr>
                <w:p w14:paraId="0C704AAF">
                  <w:pPr>
                    <w:jc w:val="left"/>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公布文件，省外取得的“省级建筑施工安全质量标准化考评优良</w:t>
                  </w:r>
                  <w:r>
                    <w:rPr>
                      <w:rFonts w:hint="eastAsia" w:ascii="宋体" w:hAnsi="宋体" w:cs="宋体"/>
                      <w:color w:val="auto"/>
                      <w:kern w:val="0"/>
                      <w:sz w:val="20"/>
                      <w:szCs w:val="22"/>
                      <w:highlight w:val="none"/>
                      <w:lang w:val="en-US" w:eastAsia="zh-CN"/>
                    </w:rPr>
                    <w:t>项目</w:t>
                  </w:r>
                  <w:r>
                    <w:rPr>
                      <w:rFonts w:hint="eastAsia" w:ascii="宋体" w:hAnsi="宋体" w:cs="宋体"/>
                      <w:color w:val="auto"/>
                      <w:kern w:val="0"/>
                      <w:sz w:val="20"/>
                      <w:szCs w:val="22"/>
                      <w:highlight w:val="none"/>
                    </w:rPr>
                    <w:t>”还须提供由当地省级住房和城乡建设部门制定的优良工地考评标准的公布文件，且该文件中须体现“根据《住房城乡建设部关于印发&lt;建筑施工安全生产标准化考评暂行办法&gt;的通知》（建质[2014]111号）”的字样。</w:t>
                  </w:r>
                </w:p>
              </w:tc>
              <w:tc>
                <w:tcPr>
                  <w:tcW w:w="771" w:type="dxa"/>
                </w:tcPr>
                <w:p w14:paraId="5DA0FDB1">
                  <w:pPr>
                    <w:ind w:firstLine="560"/>
                    <w:jc w:val="left"/>
                    <w:rPr>
                      <w:rFonts w:hint="eastAsia" w:ascii="宋体" w:hAnsi="宋体"/>
                      <w:color w:val="auto"/>
                      <w:szCs w:val="21"/>
                      <w:highlight w:val="none"/>
                    </w:rPr>
                  </w:pPr>
                </w:p>
              </w:tc>
            </w:tr>
          </w:tbl>
          <w:p w14:paraId="48C5CFA6">
            <w:pPr>
              <w:jc w:val="left"/>
              <w:rPr>
                <w:rFonts w:hint="eastAsia" w:ascii="宋体" w:hAnsi="宋体"/>
                <w:color w:val="auto"/>
                <w:szCs w:val="21"/>
                <w:highlight w:val="none"/>
              </w:rPr>
            </w:pPr>
            <w:r>
              <w:rPr>
                <w:rFonts w:hint="eastAsia" w:ascii="宋体" w:hAnsi="宋体"/>
                <w:color w:val="auto"/>
                <w:szCs w:val="21"/>
                <w:highlight w:val="none"/>
              </w:rPr>
              <w:t>省级建筑施工安全质量标准化考评合格企业、优良企业考核期限：3年，省级建筑施工安全质量标准化考评优良</w:t>
            </w:r>
            <w:r>
              <w:rPr>
                <w:rFonts w:hint="eastAsia" w:ascii="宋体" w:hAnsi="宋体"/>
                <w:color w:val="auto"/>
                <w:szCs w:val="21"/>
                <w:highlight w:val="none"/>
                <w:lang w:val="en-US" w:eastAsia="zh-CN"/>
              </w:rPr>
              <w:t>项目</w:t>
            </w:r>
            <w:r>
              <w:rPr>
                <w:rFonts w:hint="eastAsia" w:ascii="宋体" w:hAnsi="宋体"/>
                <w:color w:val="auto"/>
                <w:szCs w:val="21"/>
                <w:highlight w:val="none"/>
              </w:rPr>
              <w:t>考核期限：1年，以申请截止时间为时间节点，自公布文件发文次日计算起、止时间。</w:t>
            </w:r>
          </w:p>
          <w:p w14:paraId="3742BA64">
            <w:pPr>
              <w:jc w:val="left"/>
              <w:rPr>
                <w:rFonts w:hint="eastAsia" w:ascii="宋体" w:hAnsi="宋体"/>
                <w:color w:val="auto"/>
                <w:szCs w:val="21"/>
                <w:highlight w:val="none"/>
              </w:rPr>
            </w:pPr>
            <w:r>
              <w:rPr>
                <w:rFonts w:hint="eastAsia" w:ascii="宋体" w:hAnsi="宋体"/>
                <w:color w:val="auto"/>
                <w:szCs w:val="21"/>
                <w:highlight w:val="none"/>
              </w:rPr>
              <w:t>4、拟任项目经理不良信用信息</w:t>
            </w:r>
          </w:p>
          <w:p w14:paraId="157C2066">
            <w:pPr>
              <w:snapToGrid w:val="0"/>
              <w:rPr>
                <w:rFonts w:hint="eastAsia" w:ascii="宋体" w:hAnsi="宋体" w:cs="仿宋_GB2312"/>
                <w:color w:val="auto"/>
                <w:highlight w:val="none"/>
              </w:rPr>
            </w:pPr>
            <w:r>
              <w:rPr>
                <w:rFonts w:hint="eastAsia" w:ascii="宋体" w:hAnsi="宋体"/>
                <w:color w:val="auto"/>
                <w:szCs w:val="21"/>
                <w:highlight w:val="none"/>
              </w:rPr>
              <w:t>4.1按照以下不良信用信息扣分标准扣分，</w:t>
            </w:r>
            <w:r>
              <w:rPr>
                <w:rFonts w:hint="eastAsia" w:ascii="宋体" w:hAnsi="宋体" w:cs="仿宋_GB2312"/>
                <w:color w:val="auto"/>
                <w:highlight w:val="none"/>
              </w:rPr>
              <w:t>严重失信行为名单(含失信黑名单，下同)每次扣16分、刑事处罚每次扣4分、失信被执行人每次扣2分、行政处罚每次扣1分（其中警告、通报批评、罚款每次扣0.5分）、严重不良行为记录每次扣1分、一般不良行为记录每次扣0.6分，扣完为止。</w:t>
            </w:r>
          </w:p>
          <w:p w14:paraId="0B473104">
            <w:pPr>
              <w:jc w:val="left"/>
              <w:rPr>
                <w:rFonts w:hint="eastAsia" w:ascii="宋体" w:hAnsi="宋体"/>
                <w:color w:val="auto"/>
                <w:szCs w:val="21"/>
                <w:highlight w:val="none"/>
              </w:rPr>
            </w:pPr>
            <w:r>
              <w:rPr>
                <w:rFonts w:hint="eastAsia" w:ascii="宋体" w:hAnsi="宋体"/>
                <w:color w:val="auto"/>
                <w:szCs w:val="21"/>
                <w:highlight w:val="none"/>
              </w:rPr>
              <w:t>4.2评审依据及扣分有效期</w:t>
            </w:r>
          </w:p>
          <w:p w14:paraId="58A7A21C">
            <w:pPr>
              <w:snapToGrid w:val="0"/>
              <w:rPr>
                <w:rFonts w:hint="eastAsia" w:ascii="宋体" w:hAnsi="宋体" w:cs="仿宋_GB2312"/>
                <w:color w:val="auto"/>
                <w:highlight w:val="none"/>
              </w:rPr>
            </w:pPr>
            <w:r>
              <w:rPr>
                <w:rFonts w:hint="eastAsia" w:ascii="宋体" w:hAnsi="宋体" w:cs="仿宋_GB2312"/>
                <w:color w:val="auto"/>
                <w:highlight w:val="none"/>
              </w:rPr>
              <w:t>(1)失信被执行人:以中国执行信息公开网公布的信息为准，自结果公布之日起6个月有效；</w:t>
            </w:r>
          </w:p>
          <w:p w14:paraId="6E547A05">
            <w:pPr>
              <w:snapToGrid w:val="0"/>
              <w:rPr>
                <w:rFonts w:hint="eastAsia" w:ascii="宋体" w:hAnsi="宋体" w:cs="仿宋_GB2312"/>
                <w:color w:val="auto"/>
                <w:highlight w:val="none"/>
              </w:rPr>
            </w:pPr>
            <w:r>
              <w:rPr>
                <w:rFonts w:hint="eastAsia" w:ascii="宋体" w:hAnsi="宋体" w:cs="仿宋_GB2312"/>
                <w:color w:val="auto"/>
                <w:highlight w:val="none"/>
              </w:rPr>
              <w:t>(2)不良行为记录:湖南省行政区域内的不良行为记录以湖南省住房和城乡建设厅公布的结果为准，有效期按照《湖南省建筑市场责任主体不良行为记录》规定执行；湖南省行政区域外的不良行为记录以全国建筑市场监管公共服务平台公布的信息为准，按严重不良行为记录扣分，有效期按照平台中注明的有效期执行。</w:t>
            </w:r>
          </w:p>
          <w:p w14:paraId="05F6BD1A">
            <w:pPr>
              <w:snapToGrid w:val="0"/>
              <w:rPr>
                <w:rFonts w:hint="eastAsia" w:ascii="宋体" w:hAnsi="宋体" w:cs="仿宋_GB2312"/>
                <w:color w:val="auto"/>
                <w:highlight w:val="none"/>
              </w:rPr>
            </w:pPr>
            <w:r>
              <w:rPr>
                <w:rFonts w:hint="eastAsia" w:ascii="宋体" w:hAnsi="宋体" w:cs="仿宋_GB2312"/>
                <w:color w:val="auto"/>
                <w:highlight w:val="none"/>
              </w:rPr>
              <w:t>(3)行政处罚:我省企业以我省省本级行政监督部门或综合监管部门的</w:t>
            </w:r>
            <w:r>
              <w:rPr>
                <w:rFonts w:hint="eastAsia" w:ascii="宋体" w:hAnsi="宋体"/>
                <w:color w:val="auto"/>
                <w:szCs w:val="21"/>
                <w:highlight w:val="none"/>
              </w:rPr>
              <w:t>行政处罚决定书为准</w:t>
            </w:r>
            <w:r>
              <w:rPr>
                <w:rFonts w:hint="eastAsia" w:ascii="宋体" w:hAnsi="宋体" w:cs="仿宋_GB2312"/>
                <w:color w:val="auto"/>
                <w:highlight w:val="none"/>
              </w:rPr>
              <w:t>；外省企业以该企业注册地省本级行政监督部门或综合监管部门的</w:t>
            </w:r>
            <w:r>
              <w:rPr>
                <w:rFonts w:hint="eastAsia" w:ascii="宋体" w:hAnsi="宋体"/>
                <w:color w:val="auto"/>
                <w:szCs w:val="21"/>
                <w:highlight w:val="none"/>
              </w:rPr>
              <w:t>行政处罚决定书为准</w:t>
            </w:r>
            <w:r>
              <w:rPr>
                <w:rFonts w:hint="eastAsia" w:ascii="宋体" w:hAnsi="宋体" w:cs="仿宋_GB2312"/>
                <w:color w:val="auto"/>
                <w:highlight w:val="none"/>
              </w:rPr>
              <w:t>，自结果公布之日起6个月有效，其中警告、通报批评、罚款行政处罚的，自结果公布之日起3个月有效;</w:t>
            </w:r>
          </w:p>
          <w:p w14:paraId="77E0D199">
            <w:pPr>
              <w:snapToGrid w:val="0"/>
              <w:rPr>
                <w:rFonts w:hint="eastAsia" w:ascii="宋体" w:hAnsi="宋体" w:cs="仿宋_GB2312"/>
                <w:color w:val="auto"/>
                <w:highlight w:val="none"/>
              </w:rPr>
            </w:pPr>
            <w:r>
              <w:rPr>
                <w:rFonts w:hint="eastAsia" w:ascii="宋体" w:hAnsi="宋体" w:cs="仿宋_GB2312"/>
                <w:color w:val="auto"/>
                <w:highlight w:val="none"/>
              </w:rPr>
              <w:t>(4)刑事处罚:以刑事处罚决定书为准，自结果公布之日起1年有效;</w:t>
            </w:r>
          </w:p>
          <w:p w14:paraId="4D81BA1A">
            <w:pPr>
              <w:snapToGrid w:val="0"/>
              <w:rPr>
                <w:rFonts w:hint="eastAsia" w:ascii="宋体" w:hAnsi="宋体" w:cs="仿宋_GB2312"/>
                <w:color w:val="auto"/>
                <w:highlight w:val="none"/>
              </w:rPr>
            </w:pPr>
            <w:r>
              <w:rPr>
                <w:rFonts w:hint="eastAsia" w:ascii="宋体" w:hAnsi="宋体" w:cs="仿宋_GB2312"/>
                <w:color w:val="auto"/>
                <w:highlight w:val="none"/>
              </w:rPr>
              <w:t>(5)严重失信行为名单: 湖南省行政区域内的严重失信行为名单以湖南省</w:t>
            </w:r>
            <w:r>
              <w:rPr>
                <w:rFonts w:hint="eastAsia" w:ascii="宋体" w:hAnsi="宋体"/>
                <w:color w:val="auto"/>
                <w:szCs w:val="21"/>
                <w:highlight w:val="none"/>
              </w:rPr>
              <w:t>住房和城乡建设厅公布的相关文件为准，</w:t>
            </w:r>
            <w:r>
              <w:rPr>
                <w:rFonts w:hint="eastAsia" w:ascii="宋体" w:hAnsi="宋体" w:cs="仿宋_GB2312"/>
                <w:color w:val="auto"/>
                <w:highlight w:val="none"/>
              </w:rPr>
              <w:t>湖南省行政区域外的严重失信行为名单以企业注册地省级</w:t>
            </w:r>
            <w:r>
              <w:rPr>
                <w:rFonts w:hint="eastAsia" w:ascii="宋体" w:hAnsi="宋体"/>
                <w:color w:val="auto"/>
                <w:szCs w:val="21"/>
                <w:highlight w:val="none"/>
              </w:rPr>
              <w:t>住房和城乡建设部门公布的相关文件为准</w:t>
            </w:r>
            <w:r>
              <w:rPr>
                <w:rFonts w:hint="eastAsia" w:ascii="宋体" w:hAnsi="宋体" w:cs="仿宋_GB2312"/>
                <w:color w:val="auto"/>
                <w:highlight w:val="none"/>
              </w:rPr>
              <w:t>，自结果公布之日起1年有效。</w:t>
            </w:r>
          </w:p>
          <w:p w14:paraId="39719825">
            <w:pPr>
              <w:snapToGrid w:val="0"/>
              <w:rPr>
                <w:rFonts w:hint="eastAsia" w:ascii="宋体" w:hAnsi="宋体" w:cs="仿宋_GB2312"/>
                <w:color w:val="auto"/>
                <w:highlight w:val="none"/>
              </w:rPr>
            </w:pPr>
            <w:r>
              <w:rPr>
                <w:rFonts w:hint="eastAsia" w:ascii="宋体" w:hAnsi="宋体" w:cs="仿宋_GB2312"/>
                <w:color w:val="auto"/>
                <w:highlight w:val="none"/>
              </w:rPr>
              <w:t>上述</w:t>
            </w:r>
            <w:r>
              <w:rPr>
                <w:rFonts w:hint="eastAsia" w:ascii="宋体" w:hAnsi="宋体" w:cs="宋体"/>
                <w:color w:val="auto"/>
                <w:szCs w:val="21"/>
                <w:highlight w:val="none"/>
              </w:rPr>
              <w:t>刑事处罚、行政处罚是指申请人因工程建设违法行为受到的相关处罚。</w:t>
            </w:r>
            <w:r>
              <w:rPr>
                <w:rFonts w:hint="eastAsia" w:ascii="宋体" w:hAnsi="宋体" w:cs="仿宋_GB2312"/>
                <w:color w:val="auto"/>
                <w:highlight w:val="none"/>
              </w:rPr>
              <w:t>同一违法违规事项受到刑事处罚、行政处罚、不良行为记录的，按照最高处罚决定的分值扣分。</w:t>
            </w:r>
          </w:p>
          <w:p w14:paraId="7B21770A">
            <w:pPr>
              <w:rPr>
                <w:rFonts w:hint="eastAsia" w:ascii="宋体" w:hAnsi="宋体" w:cs="仿宋_GB2312"/>
                <w:color w:val="auto"/>
                <w:highlight w:val="none"/>
              </w:rPr>
            </w:pPr>
            <w:r>
              <w:rPr>
                <w:rFonts w:hint="eastAsia" w:ascii="宋体" w:hAnsi="宋体" w:cs="仿宋_GB2312"/>
                <w:color w:val="auto"/>
                <w:highlight w:val="none"/>
              </w:rPr>
              <w:t>(6)因未如实填写造成异议、投诉，经调查属实且对其有利的，将取消其中标候选人资格或中标资格，并依法认定为失信行为。</w:t>
            </w:r>
          </w:p>
          <w:p w14:paraId="5D1B2CBC">
            <w:pPr>
              <w:jc w:val="left"/>
              <w:rPr>
                <w:rFonts w:hint="eastAsia" w:ascii="宋体" w:hAnsi="宋体"/>
                <w:color w:val="auto"/>
                <w:szCs w:val="21"/>
                <w:highlight w:val="none"/>
              </w:rPr>
            </w:pPr>
            <w:r>
              <w:rPr>
                <w:rFonts w:hint="eastAsia" w:ascii="宋体" w:hAnsi="宋体" w:cs="仿宋_GB2312"/>
                <w:color w:val="auto"/>
                <w:highlight w:val="none"/>
              </w:rPr>
              <w:t>5、其他：</w:t>
            </w:r>
            <w:r>
              <w:rPr>
                <w:rFonts w:hint="eastAsia" w:ascii="宋体" w:hAnsi="宋体" w:cs="仿宋_GB2312"/>
                <w:color w:val="auto"/>
                <w:highlight w:val="none"/>
                <w:u w:val="single"/>
              </w:rPr>
              <w:t xml:space="preserve">      </w:t>
            </w:r>
            <w:r>
              <w:rPr>
                <w:rFonts w:hint="eastAsia" w:ascii="宋体" w:hAnsi="宋体" w:cs="仿宋_GB2312"/>
                <w:color w:val="auto"/>
                <w:highlight w:val="none"/>
              </w:rPr>
              <w:t>（由招标人根据项目情况依法依规在资格预审文件中明确</w:t>
            </w:r>
            <w:r>
              <w:rPr>
                <w:rFonts w:hint="eastAsia" w:ascii="宋体" w:hAnsi="宋体" w:cs="仿宋_GB2312"/>
                <w:color w:val="auto"/>
                <w:highlight w:val="none"/>
                <w:lang w:eastAsia="zh-CN"/>
              </w:rPr>
              <w:t>。</w:t>
            </w:r>
            <w:r>
              <w:rPr>
                <w:rFonts w:hint="eastAsia" w:ascii="宋体" w:hAnsi="宋体" w:cs="仿宋_GB2312"/>
                <w:color w:val="auto"/>
                <w:highlight w:val="none"/>
              </w:rPr>
              <w:t>）</w:t>
            </w:r>
          </w:p>
        </w:tc>
      </w:tr>
      <w:tr w14:paraId="273CE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755" w:type="dxa"/>
            <w:vAlign w:val="center"/>
          </w:tcPr>
          <w:p w14:paraId="49E1DF70">
            <w:pPr>
              <w:snapToGrid w:val="0"/>
              <w:jc w:val="center"/>
              <w:rPr>
                <w:rFonts w:hint="eastAsia" w:ascii="宋体" w:hAnsi="宋体"/>
                <w:color w:val="auto"/>
                <w:szCs w:val="21"/>
                <w:highlight w:val="none"/>
              </w:rPr>
            </w:pPr>
            <w:r>
              <w:rPr>
                <w:rFonts w:hint="eastAsia" w:ascii="宋体" w:hAnsi="宋体"/>
                <w:color w:val="auto"/>
                <w:szCs w:val="21"/>
                <w:highlight w:val="none"/>
              </w:rPr>
              <w:t>3</w:t>
            </w:r>
          </w:p>
        </w:tc>
        <w:tc>
          <w:tcPr>
            <w:tcW w:w="3683" w:type="dxa"/>
            <w:gridSpan w:val="3"/>
            <w:tcBorders>
              <w:right w:val="single" w:color="auto" w:sz="4" w:space="0"/>
            </w:tcBorders>
            <w:vAlign w:val="center"/>
          </w:tcPr>
          <w:p w14:paraId="5D44E068">
            <w:pPr>
              <w:tabs>
                <w:tab w:val="left" w:pos="420"/>
              </w:tabs>
              <w:snapToGrid w:val="0"/>
              <w:ind w:firstLine="560"/>
              <w:jc w:val="left"/>
              <w:rPr>
                <w:rFonts w:hint="eastAsia" w:ascii="宋体" w:hAnsi="宋体"/>
                <w:color w:val="auto"/>
                <w:szCs w:val="21"/>
                <w:highlight w:val="none"/>
              </w:rPr>
            </w:pPr>
            <w:r>
              <w:rPr>
                <w:rFonts w:hint="eastAsia" w:ascii="宋体" w:hAnsi="宋体"/>
                <w:color w:val="auto"/>
                <w:szCs w:val="21"/>
                <w:highlight w:val="none"/>
              </w:rPr>
              <w:t>审查程序</w:t>
            </w:r>
          </w:p>
        </w:tc>
        <w:tc>
          <w:tcPr>
            <w:tcW w:w="5299" w:type="dxa"/>
            <w:gridSpan w:val="4"/>
            <w:tcBorders>
              <w:left w:val="single" w:color="auto" w:sz="4" w:space="0"/>
            </w:tcBorders>
            <w:vAlign w:val="center"/>
          </w:tcPr>
          <w:p w14:paraId="69F71B9F">
            <w:pPr>
              <w:tabs>
                <w:tab w:val="left" w:pos="420"/>
              </w:tabs>
              <w:snapToGrid w:val="0"/>
              <w:ind w:firstLine="560"/>
              <w:jc w:val="left"/>
              <w:rPr>
                <w:rFonts w:hint="eastAsia" w:ascii="宋体" w:hAnsi="宋体"/>
                <w:color w:val="auto"/>
                <w:szCs w:val="21"/>
                <w:highlight w:val="none"/>
              </w:rPr>
            </w:pPr>
            <w:r>
              <w:rPr>
                <w:rFonts w:hint="eastAsia" w:ascii="宋体" w:hAnsi="宋体"/>
                <w:color w:val="auto"/>
                <w:szCs w:val="21"/>
                <w:highlight w:val="none"/>
              </w:rPr>
              <w:t>详见本章正文</w:t>
            </w:r>
          </w:p>
        </w:tc>
      </w:tr>
    </w:tbl>
    <w:p w14:paraId="5987E80E">
      <w:pPr>
        <w:ind w:firstLine="560"/>
        <w:rPr>
          <w:rFonts w:hint="eastAsia" w:ascii="黑体" w:hAnsi="宋体" w:eastAsia="黑体"/>
          <w:color w:val="auto"/>
          <w:sz w:val="28"/>
          <w:szCs w:val="28"/>
          <w:highlight w:val="none"/>
        </w:rPr>
      </w:pPr>
    </w:p>
    <w:p w14:paraId="5D158407">
      <w:pPr>
        <w:pStyle w:val="4"/>
        <w:ind w:firstLine="0" w:firstLineChars="0"/>
        <w:jc w:val="left"/>
        <w:rPr>
          <w:rFonts w:hint="eastAsia" w:ascii="黑体" w:hAnsi="宋体" w:eastAsia="黑体"/>
          <w:b w:val="0"/>
          <w:bCs w:val="0"/>
          <w:color w:val="auto"/>
          <w:sz w:val="28"/>
          <w:szCs w:val="28"/>
          <w:highlight w:val="none"/>
        </w:rPr>
      </w:pPr>
      <w:bookmarkStart w:id="131" w:name="_Toc22137"/>
      <w:r>
        <w:rPr>
          <w:rFonts w:hint="eastAsia" w:ascii="黑体" w:hAnsi="宋体" w:eastAsia="黑体"/>
          <w:b w:val="0"/>
          <w:bCs w:val="0"/>
          <w:color w:val="auto"/>
          <w:sz w:val="28"/>
          <w:szCs w:val="28"/>
          <w:highlight w:val="none"/>
        </w:rPr>
        <w:t>1.审查方法</w:t>
      </w:r>
      <w:bookmarkEnd w:id="131"/>
    </w:p>
    <w:p w14:paraId="52059587">
      <w:pPr>
        <w:spacing w:line="360" w:lineRule="auto"/>
        <w:ind w:firstLine="560"/>
        <w:rPr>
          <w:rFonts w:hint="eastAsia" w:ascii="宋体" w:hAnsi="宋体"/>
          <w:color w:val="auto"/>
          <w:highlight w:val="none"/>
        </w:rPr>
      </w:pPr>
      <w:r>
        <w:rPr>
          <w:rFonts w:hint="eastAsia" w:ascii="宋体" w:hAnsi="宋体"/>
          <w:color w:val="auto"/>
          <w:highlight w:val="none"/>
        </w:rPr>
        <w:t>本次资格预审采用的资格审查方法详见本章资格审查办法前附表规定。资格审查委员会依据本章规定的审查标准和程序，按资格审查办法前附表规定的方式和数量对申请人进行资格审查，并确定通过资格预审的申请人。</w:t>
      </w:r>
    </w:p>
    <w:p w14:paraId="50514AD1">
      <w:pPr>
        <w:pStyle w:val="4"/>
        <w:ind w:firstLine="0" w:firstLineChars="0"/>
        <w:jc w:val="left"/>
        <w:rPr>
          <w:rFonts w:hint="eastAsia" w:ascii="黑体" w:hAnsi="宋体" w:eastAsia="黑体"/>
          <w:b w:val="0"/>
          <w:bCs w:val="0"/>
          <w:color w:val="auto"/>
          <w:sz w:val="28"/>
          <w:szCs w:val="28"/>
          <w:highlight w:val="none"/>
        </w:rPr>
      </w:pPr>
      <w:bookmarkStart w:id="132" w:name="_Toc9502"/>
      <w:r>
        <w:rPr>
          <w:rFonts w:ascii="黑体" w:hAnsi="宋体" w:eastAsia="黑体"/>
          <w:b w:val="0"/>
          <w:bCs w:val="0"/>
          <w:color w:val="auto"/>
          <w:sz w:val="28"/>
          <w:szCs w:val="28"/>
          <w:highlight w:val="none"/>
        </w:rPr>
        <w:t>2</w:t>
      </w:r>
      <w:r>
        <w:rPr>
          <w:rFonts w:hint="eastAsia" w:ascii="黑体" w:hAnsi="宋体" w:eastAsia="黑体"/>
          <w:b w:val="0"/>
          <w:bCs w:val="0"/>
          <w:color w:val="auto"/>
          <w:sz w:val="28"/>
          <w:szCs w:val="28"/>
          <w:highlight w:val="none"/>
        </w:rPr>
        <w:t>.审查标准</w:t>
      </w:r>
      <w:bookmarkEnd w:id="132"/>
    </w:p>
    <w:p w14:paraId="7685BA7C">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ascii="黑体" w:hAnsi="宋体" w:eastAsia="黑体"/>
          <w:bCs/>
          <w:color w:val="auto"/>
          <w:kern w:val="2"/>
          <w:sz w:val="24"/>
          <w:szCs w:val="21"/>
          <w:highlight w:val="none"/>
        </w:rPr>
        <w:t xml:space="preserve">2.1 </w:t>
      </w:r>
      <w:r>
        <w:rPr>
          <w:rFonts w:hint="eastAsia" w:ascii="黑体" w:hAnsi="宋体" w:eastAsia="黑体"/>
          <w:bCs/>
          <w:color w:val="auto"/>
          <w:kern w:val="2"/>
          <w:sz w:val="24"/>
          <w:szCs w:val="21"/>
          <w:highlight w:val="none"/>
        </w:rPr>
        <w:t>初步审查</w:t>
      </w:r>
    </w:p>
    <w:p w14:paraId="289B9E5E">
      <w:pPr>
        <w:spacing w:line="360" w:lineRule="auto"/>
        <w:ind w:firstLine="560"/>
        <w:rPr>
          <w:rFonts w:hint="eastAsia" w:ascii="宋体" w:hAnsi="宋体"/>
          <w:color w:val="auto"/>
          <w:highlight w:val="none"/>
        </w:rPr>
      </w:pPr>
      <w:r>
        <w:rPr>
          <w:rFonts w:hint="eastAsia" w:ascii="宋体" w:hAnsi="宋体"/>
          <w:color w:val="auto"/>
          <w:highlight w:val="none"/>
        </w:rPr>
        <w:t>初步审查标准：见资格审查办法前附表。</w:t>
      </w:r>
    </w:p>
    <w:p w14:paraId="6E08FB55">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ascii="黑体" w:hAnsi="宋体" w:eastAsia="黑体"/>
          <w:bCs/>
          <w:color w:val="auto"/>
          <w:kern w:val="2"/>
          <w:sz w:val="24"/>
          <w:szCs w:val="21"/>
          <w:highlight w:val="none"/>
        </w:rPr>
        <w:t xml:space="preserve">2.2 </w:t>
      </w:r>
      <w:r>
        <w:rPr>
          <w:rFonts w:hint="eastAsia" w:ascii="黑体" w:hAnsi="宋体" w:eastAsia="黑体"/>
          <w:bCs/>
          <w:color w:val="auto"/>
          <w:kern w:val="2"/>
          <w:sz w:val="24"/>
          <w:szCs w:val="21"/>
          <w:highlight w:val="none"/>
        </w:rPr>
        <w:t>详细审查</w:t>
      </w:r>
    </w:p>
    <w:p w14:paraId="4124A5BB">
      <w:pPr>
        <w:spacing w:line="360" w:lineRule="auto"/>
        <w:ind w:firstLine="560"/>
        <w:rPr>
          <w:rFonts w:hint="eastAsia" w:ascii="宋体" w:hAnsi="宋体"/>
          <w:color w:val="auto"/>
          <w:highlight w:val="none"/>
        </w:rPr>
      </w:pPr>
      <w:r>
        <w:rPr>
          <w:rFonts w:hint="eastAsia" w:ascii="宋体" w:hAnsi="宋体"/>
          <w:color w:val="auto"/>
          <w:highlight w:val="none"/>
        </w:rPr>
        <w:t>详细审查标准：见资格审查办法前附表。</w:t>
      </w:r>
    </w:p>
    <w:p w14:paraId="2E6F7216">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ascii="黑体" w:hAnsi="宋体" w:eastAsia="黑体"/>
          <w:bCs/>
          <w:color w:val="auto"/>
          <w:kern w:val="2"/>
          <w:sz w:val="24"/>
          <w:szCs w:val="21"/>
          <w:highlight w:val="none"/>
        </w:rPr>
        <w:t>2.</w:t>
      </w:r>
      <w:r>
        <w:rPr>
          <w:rFonts w:hint="eastAsia" w:ascii="黑体" w:hAnsi="宋体" w:eastAsia="黑体"/>
          <w:bCs/>
          <w:color w:val="auto"/>
          <w:kern w:val="2"/>
          <w:sz w:val="24"/>
          <w:szCs w:val="21"/>
          <w:highlight w:val="none"/>
        </w:rPr>
        <w:t>3</w:t>
      </w:r>
      <w:r>
        <w:rPr>
          <w:rFonts w:ascii="黑体" w:hAnsi="宋体" w:eastAsia="黑体"/>
          <w:bCs/>
          <w:color w:val="auto"/>
          <w:kern w:val="2"/>
          <w:sz w:val="24"/>
          <w:szCs w:val="21"/>
          <w:highlight w:val="none"/>
        </w:rPr>
        <w:t xml:space="preserve"> </w:t>
      </w:r>
      <w:r>
        <w:rPr>
          <w:rFonts w:hint="eastAsia" w:ascii="黑体" w:hAnsi="宋体" w:eastAsia="黑体"/>
          <w:bCs/>
          <w:color w:val="auto"/>
          <w:kern w:val="2"/>
          <w:sz w:val="24"/>
          <w:szCs w:val="21"/>
          <w:highlight w:val="none"/>
        </w:rPr>
        <w:t>评分标准</w:t>
      </w:r>
    </w:p>
    <w:p w14:paraId="3AC11F24">
      <w:pPr>
        <w:spacing w:line="360" w:lineRule="auto"/>
        <w:ind w:firstLine="560"/>
        <w:rPr>
          <w:rFonts w:hint="eastAsia" w:ascii="宋体" w:hAnsi="宋体"/>
          <w:color w:val="auto"/>
          <w:highlight w:val="none"/>
        </w:rPr>
      </w:pPr>
      <w:r>
        <w:rPr>
          <w:rFonts w:hint="eastAsia" w:ascii="宋体" w:hAnsi="宋体"/>
          <w:color w:val="auto"/>
          <w:highlight w:val="none"/>
        </w:rPr>
        <w:t>评分标准：见资格审查办法前附表。</w:t>
      </w:r>
    </w:p>
    <w:p w14:paraId="20E4D2C7">
      <w:pPr>
        <w:pStyle w:val="4"/>
        <w:ind w:firstLine="0" w:firstLineChars="0"/>
        <w:jc w:val="left"/>
        <w:rPr>
          <w:rFonts w:hint="eastAsia" w:ascii="黑体" w:hAnsi="宋体" w:eastAsia="黑体"/>
          <w:b w:val="0"/>
          <w:bCs w:val="0"/>
          <w:color w:val="auto"/>
          <w:sz w:val="28"/>
          <w:szCs w:val="28"/>
          <w:highlight w:val="none"/>
        </w:rPr>
      </w:pPr>
      <w:bookmarkStart w:id="133" w:name="_Toc15252"/>
      <w:r>
        <w:rPr>
          <w:rFonts w:ascii="黑体" w:hAnsi="宋体" w:eastAsia="黑体"/>
          <w:b w:val="0"/>
          <w:bCs w:val="0"/>
          <w:color w:val="auto"/>
          <w:sz w:val="28"/>
          <w:szCs w:val="28"/>
          <w:highlight w:val="none"/>
        </w:rPr>
        <w:t>3</w:t>
      </w:r>
      <w:r>
        <w:rPr>
          <w:rFonts w:hint="eastAsia" w:ascii="黑体" w:hAnsi="宋体" w:eastAsia="黑体"/>
          <w:b w:val="0"/>
          <w:bCs w:val="0"/>
          <w:color w:val="auto"/>
          <w:sz w:val="28"/>
          <w:szCs w:val="28"/>
          <w:highlight w:val="none"/>
        </w:rPr>
        <w:t>.审查程序</w:t>
      </w:r>
      <w:bookmarkEnd w:id="133"/>
    </w:p>
    <w:p w14:paraId="0A5ABD17">
      <w:pPr>
        <w:pStyle w:val="49"/>
        <w:spacing w:line="360" w:lineRule="auto"/>
        <w:ind w:firstLine="420" w:firstLineChars="200"/>
        <w:rPr>
          <w:rFonts w:hint="eastAsia" w:ascii="宋体" w:hAnsi="宋体" w:eastAsiaTheme="minorEastAsia"/>
          <w:bCs/>
          <w:color w:val="auto"/>
          <w:szCs w:val="21"/>
          <w:highlight w:val="none"/>
        </w:rPr>
      </w:pPr>
      <w:r>
        <w:rPr>
          <w:rFonts w:ascii="宋体" w:hAnsi="宋体" w:eastAsiaTheme="minorEastAsia"/>
          <w:bCs/>
          <w:color w:val="auto"/>
          <w:szCs w:val="21"/>
          <w:highlight w:val="none"/>
        </w:rPr>
        <w:t xml:space="preserve">3.1 </w:t>
      </w:r>
      <w:r>
        <w:rPr>
          <w:rFonts w:hint="eastAsia" w:ascii="宋体" w:hAnsi="宋体" w:eastAsiaTheme="minorEastAsia"/>
          <w:bCs/>
          <w:color w:val="auto"/>
          <w:szCs w:val="21"/>
          <w:highlight w:val="none"/>
        </w:rPr>
        <w:t>初步审查；</w:t>
      </w:r>
    </w:p>
    <w:p w14:paraId="351DC5C6">
      <w:pPr>
        <w:pStyle w:val="49"/>
        <w:spacing w:line="360" w:lineRule="auto"/>
        <w:ind w:firstLine="420" w:firstLineChars="200"/>
        <w:rPr>
          <w:rFonts w:hint="eastAsia" w:ascii="宋体" w:hAnsi="宋体" w:eastAsiaTheme="minorEastAsia"/>
          <w:bCs/>
          <w:color w:val="auto"/>
          <w:szCs w:val="21"/>
          <w:highlight w:val="none"/>
        </w:rPr>
      </w:pPr>
      <w:r>
        <w:rPr>
          <w:rFonts w:ascii="宋体" w:hAnsi="宋体" w:eastAsiaTheme="minorEastAsia"/>
          <w:bCs/>
          <w:color w:val="auto"/>
          <w:szCs w:val="21"/>
          <w:highlight w:val="none"/>
        </w:rPr>
        <w:t xml:space="preserve">3.2 </w:t>
      </w:r>
      <w:r>
        <w:rPr>
          <w:rFonts w:hint="eastAsia" w:ascii="宋体" w:hAnsi="宋体" w:eastAsiaTheme="minorEastAsia"/>
          <w:bCs/>
          <w:color w:val="auto"/>
          <w:szCs w:val="21"/>
          <w:highlight w:val="none"/>
        </w:rPr>
        <w:t>详细审查；</w:t>
      </w:r>
    </w:p>
    <w:p w14:paraId="5873F5D4">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3.3 评分；</w:t>
      </w:r>
    </w:p>
    <w:p w14:paraId="5B3DA39D">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3.4 资格审查委员会复核；</w:t>
      </w:r>
    </w:p>
    <w:p w14:paraId="3D4C59AA">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3.5 资格审查委员会邀请招标人、招标代理机构进行复核，并提出复核意见，资格审查委员会对复核意见进行讨论，并记录采纳和不采纳情况及不采纳理由；</w:t>
      </w:r>
    </w:p>
    <w:p w14:paraId="0AFAF146">
      <w:pPr>
        <w:pStyle w:val="49"/>
        <w:spacing w:line="360" w:lineRule="auto"/>
        <w:ind w:firstLine="420" w:firstLineChars="200"/>
        <w:rPr>
          <w:rFonts w:hint="eastAsia" w:ascii="宋体" w:hAnsi="宋体" w:eastAsiaTheme="minorEastAsia"/>
          <w:bCs/>
          <w:color w:val="auto"/>
          <w:szCs w:val="21"/>
          <w:highlight w:val="none"/>
        </w:rPr>
      </w:pPr>
      <w:r>
        <w:rPr>
          <w:rFonts w:hint="eastAsia" w:ascii="宋体" w:hAnsi="宋体" w:eastAsiaTheme="minorEastAsia"/>
          <w:bCs/>
          <w:color w:val="auto"/>
          <w:szCs w:val="21"/>
          <w:highlight w:val="none"/>
        </w:rPr>
        <w:t>3.6 确定通过资格审查的投标人。</w:t>
      </w:r>
    </w:p>
    <w:p w14:paraId="546C3670">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4.</w:t>
      </w:r>
      <w:r>
        <w:rPr>
          <w:rFonts w:ascii="黑体" w:hAnsi="宋体" w:eastAsia="黑体"/>
          <w:bCs/>
          <w:color w:val="auto"/>
          <w:kern w:val="2"/>
          <w:sz w:val="24"/>
          <w:szCs w:val="21"/>
          <w:highlight w:val="none"/>
        </w:rPr>
        <w:t xml:space="preserve"> </w:t>
      </w:r>
      <w:r>
        <w:rPr>
          <w:rFonts w:hint="eastAsia" w:ascii="黑体" w:hAnsi="宋体" w:eastAsia="黑体"/>
          <w:bCs/>
          <w:color w:val="auto"/>
          <w:kern w:val="2"/>
          <w:sz w:val="24"/>
          <w:szCs w:val="21"/>
          <w:highlight w:val="none"/>
        </w:rPr>
        <w:t>初步审查</w:t>
      </w:r>
    </w:p>
    <w:p w14:paraId="68AA7420">
      <w:pPr>
        <w:spacing w:line="360" w:lineRule="auto"/>
        <w:ind w:firstLine="420" w:firstLineChars="200"/>
        <w:rPr>
          <w:rFonts w:hint="eastAsia" w:ascii="宋体" w:hAnsi="宋体"/>
          <w:color w:val="auto"/>
          <w:highlight w:val="none"/>
        </w:rPr>
      </w:pPr>
      <w:r>
        <w:rPr>
          <w:rFonts w:hint="eastAsia" w:ascii="宋体" w:hAnsi="宋体"/>
          <w:color w:val="auto"/>
          <w:highlight w:val="none"/>
        </w:rPr>
        <w:t>交易系统依据资格审查办法的规定对资格预审申请文件进行初步审查。有一项不符合审查标准的，申请人资格预审不通过。</w:t>
      </w:r>
    </w:p>
    <w:p w14:paraId="33296EDD">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5</w:t>
      </w:r>
      <w:r>
        <w:rPr>
          <w:rFonts w:ascii="黑体" w:hAnsi="宋体" w:eastAsia="黑体"/>
          <w:bCs/>
          <w:color w:val="auto"/>
          <w:kern w:val="2"/>
          <w:sz w:val="24"/>
          <w:szCs w:val="21"/>
          <w:highlight w:val="none"/>
        </w:rPr>
        <w:t xml:space="preserve">. </w:t>
      </w:r>
      <w:r>
        <w:rPr>
          <w:rFonts w:hint="eastAsia" w:ascii="黑体" w:hAnsi="宋体" w:eastAsia="黑体"/>
          <w:bCs/>
          <w:color w:val="auto"/>
          <w:kern w:val="2"/>
          <w:sz w:val="24"/>
          <w:szCs w:val="21"/>
          <w:highlight w:val="none"/>
        </w:rPr>
        <w:t>详细审查</w:t>
      </w:r>
    </w:p>
    <w:p w14:paraId="63F677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只有通过了初步审查的申请人可进入详细审查。</w:t>
      </w:r>
    </w:p>
    <w:p w14:paraId="610CC3D9">
      <w:pPr>
        <w:spacing w:line="360" w:lineRule="auto"/>
        <w:ind w:firstLine="420" w:firstLineChars="200"/>
        <w:rPr>
          <w:rFonts w:hint="eastAsia" w:ascii="宋体" w:hAnsi="宋体"/>
          <w:color w:val="auto"/>
          <w:highlight w:val="none"/>
        </w:rPr>
      </w:pPr>
      <w:r>
        <w:rPr>
          <w:rFonts w:hint="eastAsia" w:ascii="宋体" w:hAnsi="宋体"/>
          <w:color w:val="auto"/>
          <w:highlight w:val="none"/>
        </w:rPr>
        <w:t>5.1交易系统依据资格审查办法的规定对资格预审申请文件进行详细审查。有一项不符合审查标准的，申请人资格预审不通过。</w:t>
      </w:r>
    </w:p>
    <w:p w14:paraId="7372B1CC">
      <w:pPr>
        <w:spacing w:line="360" w:lineRule="auto"/>
        <w:ind w:firstLine="420" w:firstLineChars="200"/>
        <w:rPr>
          <w:rFonts w:hint="eastAsia" w:ascii="宋体" w:hAnsi="宋体"/>
          <w:color w:val="auto"/>
          <w:highlight w:val="none"/>
        </w:rPr>
      </w:pPr>
      <w:r>
        <w:rPr>
          <w:rFonts w:hint="eastAsia" w:ascii="宋体" w:hAnsi="宋体"/>
          <w:color w:val="auto"/>
          <w:highlight w:val="none"/>
        </w:rPr>
        <w:t>5.2不能通过资格预审</w:t>
      </w:r>
    </w:p>
    <w:p w14:paraId="7955C5C6">
      <w:pPr>
        <w:spacing w:line="360" w:lineRule="auto"/>
        <w:ind w:firstLine="420" w:firstLineChars="200"/>
        <w:rPr>
          <w:rFonts w:hint="eastAsia" w:ascii="宋体" w:hAnsi="宋体"/>
          <w:color w:val="auto"/>
          <w:highlight w:val="none"/>
        </w:rPr>
      </w:pPr>
      <w:r>
        <w:rPr>
          <w:rFonts w:hint="eastAsia" w:ascii="宋体" w:hAnsi="宋体"/>
          <w:color w:val="auto"/>
          <w:highlight w:val="none"/>
        </w:rPr>
        <w:t>交易系统依据第二章附件</w:t>
      </w:r>
      <w:r>
        <w:rPr>
          <w:rFonts w:ascii="宋体" w:hAnsi="宋体"/>
          <w:color w:val="auto"/>
          <w:highlight w:val="none"/>
        </w:rPr>
        <w:t>2-</w:t>
      </w:r>
      <w:r>
        <w:rPr>
          <w:rFonts w:hint="eastAsia" w:ascii="宋体" w:hAnsi="宋体"/>
          <w:color w:val="auto"/>
          <w:highlight w:val="none"/>
        </w:rPr>
        <w:t>1中规定的不能通过资格预审情形，判断是否对申请人提出的资格预审申请作出不能通过的结论。</w:t>
      </w:r>
    </w:p>
    <w:p w14:paraId="578151E6">
      <w:pPr>
        <w:pStyle w:val="51"/>
        <w:spacing w:line="360" w:lineRule="auto"/>
        <w:rPr>
          <w:color w:val="auto"/>
          <w:highlight w:val="none"/>
        </w:rPr>
      </w:pPr>
      <w:bookmarkStart w:id="134" w:name="_Toc17710"/>
      <w:r>
        <w:rPr>
          <w:rFonts w:hint="eastAsia"/>
          <w:color w:val="auto"/>
          <w:highlight w:val="none"/>
        </w:rPr>
        <w:t>6 评分</w:t>
      </w:r>
      <w:bookmarkEnd w:id="134"/>
    </w:p>
    <w:p w14:paraId="43016664">
      <w:pPr>
        <w:spacing w:line="360" w:lineRule="auto"/>
        <w:ind w:firstLine="560"/>
        <w:rPr>
          <w:color w:val="auto"/>
          <w:highlight w:val="none"/>
        </w:rPr>
      </w:pPr>
      <w:r>
        <w:rPr>
          <w:color w:val="auto"/>
          <w:highlight w:val="none"/>
        </w:rPr>
        <w:t>6.1</w:t>
      </w:r>
      <w:r>
        <w:rPr>
          <w:rFonts w:hint="eastAsia"/>
          <w:color w:val="auto"/>
          <w:highlight w:val="none"/>
        </w:rPr>
        <w:t>通过初步审查和详细审查的合格申请人不少于3个且符合本章第1条规定的，均通过资格预审，不再进行评分。</w:t>
      </w:r>
    </w:p>
    <w:p w14:paraId="55DEA2B2">
      <w:pPr>
        <w:spacing w:line="360" w:lineRule="auto"/>
        <w:ind w:firstLine="560"/>
        <w:rPr>
          <w:color w:val="auto"/>
          <w:highlight w:val="none"/>
        </w:rPr>
      </w:pPr>
      <w:r>
        <w:rPr>
          <w:rFonts w:hint="eastAsia"/>
          <w:color w:val="auto"/>
          <w:highlight w:val="none"/>
        </w:rPr>
        <w:t>6.2通过初步审查和详细审查的合格申请人数量超过本章第1条规定数量的，交易系统依据本章第2.3款评分标准进行评分，按得分由高到低的顺序进行排序。</w:t>
      </w:r>
    </w:p>
    <w:p w14:paraId="5641CD55">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6.2.1</w:t>
      </w:r>
      <w:r>
        <w:rPr>
          <w:rFonts w:ascii="宋体" w:hAnsi="宋体"/>
          <w:color w:val="auto"/>
          <w:szCs w:val="21"/>
          <w:highlight w:val="none"/>
        </w:rPr>
        <w:t xml:space="preserve"> </w:t>
      </w:r>
      <w:r>
        <w:rPr>
          <w:rFonts w:hint="eastAsia" w:ascii="宋体" w:hAnsi="宋体"/>
          <w:color w:val="auto"/>
          <w:szCs w:val="21"/>
          <w:highlight w:val="none"/>
        </w:rPr>
        <w:t>进行评分的对象</w:t>
      </w:r>
      <w:r>
        <w:rPr>
          <w:rFonts w:ascii="宋体" w:hAnsi="宋体"/>
          <w:color w:val="auto"/>
          <w:szCs w:val="21"/>
          <w:highlight w:val="none"/>
        </w:rPr>
        <w:t xml:space="preserve"> </w:t>
      </w:r>
    </w:p>
    <w:p w14:paraId="6A29F4DC">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只对通过详细审查的申请人进行评分。</w:t>
      </w:r>
      <w:r>
        <w:rPr>
          <w:rFonts w:ascii="宋体" w:hAnsi="宋体"/>
          <w:color w:val="auto"/>
          <w:szCs w:val="21"/>
          <w:highlight w:val="none"/>
        </w:rPr>
        <w:t xml:space="preserve"> </w:t>
      </w:r>
    </w:p>
    <w:p w14:paraId="2C1AEC13">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6.2.2评分分值计算保留小数点后两位，小数点后第三位四舍五入。</w:t>
      </w:r>
      <w:r>
        <w:rPr>
          <w:rFonts w:ascii="宋体" w:hAnsi="宋体"/>
          <w:color w:val="auto"/>
          <w:szCs w:val="21"/>
          <w:highlight w:val="none"/>
        </w:rPr>
        <w:t xml:space="preserve"> </w:t>
      </w:r>
    </w:p>
    <w:p w14:paraId="05039E35">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6.2.3根据评分汇总结果，按申请人得分由高到低的顺序进行排序。</w:t>
      </w:r>
    </w:p>
    <w:p w14:paraId="363B2BD4">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7. 资格审查委员会复核</w:t>
      </w:r>
    </w:p>
    <w:p w14:paraId="183750DB">
      <w:pPr>
        <w:spacing w:line="360" w:lineRule="auto"/>
        <w:ind w:firstLine="420" w:firstLineChars="200"/>
        <w:rPr>
          <w:rFonts w:hint="eastAsia" w:ascii="宋体" w:hAnsi="宋体"/>
          <w:color w:val="auto"/>
          <w:highlight w:val="none"/>
        </w:rPr>
      </w:pPr>
      <w:r>
        <w:rPr>
          <w:rFonts w:hint="eastAsia" w:ascii="宋体" w:hAnsi="宋体"/>
          <w:color w:val="auto"/>
          <w:highlight w:val="none"/>
        </w:rPr>
        <w:t>资格审查委员会主任应组织资格审查委员会成员认真研究资格预审文件，了解和熟悉招标目的、招标范围、质量标准和工期要求等，掌握审查标准和方法。未在资格预审文件中规定的标准和方法不得作为复核确认的依据。</w:t>
      </w:r>
    </w:p>
    <w:p w14:paraId="186ED5B4">
      <w:pPr>
        <w:spacing w:line="360" w:lineRule="auto"/>
        <w:ind w:firstLine="560"/>
        <w:rPr>
          <w:rFonts w:hint="eastAsia" w:ascii="宋体" w:hAnsi="宋体"/>
          <w:color w:val="auto"/>
          <w:highlight w:val="none"/>
        </w:rPr>
      </w:pPr>
      <w:r>
        <w:rPr>
          <w:rFonts w:hint="eastAsia" w:ascii="宋体" w:hAnsi="宋体"/>
          <w:color w:val="auto"/>
          <w:highlight w:val="none"/>
        </w:rPr>
        <w:t>资格审查委员会完成复核确认工作后，邀请招标人、招标代理机构进行复核，并提出复核意见，资格审查评标委员会对复核意见进行讨论，并记录采纳和不采纳情况及不采纳理由。</w:t>
      </w:r>
    </w:p>
    <w:p w14:paraId="6121FCAC">
      <w:pPr>
        <w:pStyle w:val="5"/>
        <w:keepNext/>
        <w:keepLines/>
        <w:overflowPunct w:val="0"/>
        <w:topLinePunct/>
        <w:autoSpaceDE/>
        <w:autoSpaceDN/>
        <w:adjustRightInd/>
        <w:spacing w:line="360" w:lineRule="auto"/>
        <w:ind w:left="0" w:firstLine="480"/>
        <w:jc w:val="both"/>
        <w:rPr>
          <w:rFonts w:hint="eastAsia" w:ascii="黑体" w:hAnsi="宋体" w:eastAsia="黑体"/>
          <w:bCs/>
          <w:color w:val="auto"/>
          <w:kern w:val="2"/>
          <w:sz w:val="24"/>
          <w:szCs w:val="21"/>
          <w:highlight w:val="none"/>
        </w:rPr>
      </w:pPr>
      <w:r>
        <w:rPr>
          <w:rFonts w:hint="eastAsia" w:ascii="黑体" w:hAnsi="宋体" w:eastAsia="黑体"/>
          <w:bCs/>
          <w:color w:val="auto"/>
          <w:kern w:val="2"/>
          <w:sz w:val="24"/>
          <w:szCs w:val="21"/>
          <w:highlight w:val="none"/>
        </w:rPr>
        <w:t>8.资格预审申请文件的澄清和补正</w:t>
      </w:r>
    </w:p>
    <w:p w14:paraId="561D4E7D">
      <w:pPr>
        <w:spacing w:line="360" w:lineRule="auto"/>
        <w:ind w:firstLine="420" w:firstLineChars="200"/>
        <w:rPr>
          <w:rFonts w:hint="eastAsia" w:ascii="宋体" w:hAnsi="宋体"/>
          <w:color w:val="auto"/>
          <w:highlight w:val="none"/>
        </w:rPr>
      </w:pPr>
      <w:r>
        <w:rPr>
          <w:rFonts w:hint="eastAsia" w:ascii="宋体" w:hAnsi="宋体"/>
          <w:color w:val="auto"/>
          <w:highlight w:val="none"/>
        </w:rPr>
        <w:t>8</w:t>
      </w:r>
      <w:r>
        <w:rPr>
          <w:rFonts w:ascii="宋体" w:hAnsi="宋体"/>
          <w:color w:val="auto"/>
          <w:highlight w:val="none"/>
        </w:rPr>
        <w:t xml:space="preserve">.1 </w:t>
      </w:r>
      <w:r>
        <w:rPr>
          <w:rFonts w:hint="eastAsia" w:ascii="宋体" w:hAnsi="宋体"/>
          <w:color w:val="auto"/>
          <w:highlight w:val="none"/>
        </w:rPr>
        <w:t>资格审查委员会可以书面形式要求申请人对所提交的资格预审申请文件中不明确的内容进行书面澄清、说明或者补正。资格审查委员会不接受申请人主动提出的澄清、说明或补正。</w:t>
      </w:r>
    </w:p>
    <w:p w14:paraId="46C31B4C">
      <w:pPr>
        <w:spacing w:line="360" w:lineRule="auto"/>
        <w:ind w:firstLine="420" w:firstLineChars="200"/>
        <w:rPr>
          <w:rFonts w:hint="eastAsia" w:ascii="宋体" w:hAnsi="宋体"/>
          <w:color w:val="auto"/>
          <w:highlight w:val="none"/>
        </w:rPr>
      </w:pPr>
      <w:r>
        <w:rPr>
          <w:rFonts w:hint="eastAsia" w:ascii="宋体" w:hAnsi="宋体"/>
          <w:color w:val="auto"/>
          <w:highlight w:val="none"/>
        </w:rPr>
        <w:t>8</w:t>
      </w:r>
      <w:r>
        <w:rPr>
          <w:rFonts w:ascii="宋体" w:hAnsi="宋体"/>
          <w:color w:val="auto"/>
          <w:highlight w:val="none"/>
        </w:rPr>
        <w:t xml:space="preserve">.2 </w:t>
      </w:r>
      <w:r>
        <w:rPr>
          <w:rFonts w:hint="eastAsia" w:ascii="宋体" w:hAnsi="宋体"/>
          <w:color w:val="auto"/>
          <w:highlight w:val="none"/>
        </w:rPr>
        <w:t>澄清、说明和补正不得改变资格预审申请文件的实质性内容。申请人的书面澄清、说明和补正属于资格预审申请文件的组成部分。</w:t>
      </w:r>
    </w:p>
    <w:p w14:paraId="53B7B1A3">
      <w:pPr>
        <w:spacing w:line="360" w:lineRule="auto"/>
        <w:ind w:firstLine="420" w:firstLineChars="200"/>
        <w:rPr>
          <w:rFonts w:hint="eastAsia" w:ascii="宋体" w:hAnsi="宋体"/>
          <w:color w:val="auto"/>
          <w:highlight w:val="none"/>
        </w:rPr>
      </w:pPr>
      <w:r>
        <w:rPr>
          <w:rFonts w:hint="eastAsia" w:ascii="宋体" w:hAnsi="宋体"/>
          <w:color w:val="auto"/>
          <w:highlight w:val="none"/>
        </w:rPr>
        <w:t>8</w:t>
      </w:r>
      <w:r>
        <w:rPr>
          <w:rFonts w:ascii="宋体" w:hAnsi="宋体"/>
          <w:color w:val="auto"/>
          <w:highlight w:val="none"/>
        </w:rPr>
        <w:t xml:space="preserve">.3 </w:t>
      </w:r>
      <w:r>
        <w:rPr>
          <w:rFonts w:hint="eastAsia" w:ascii="宋体" w:hAnsi="宋体"/>
          <w:color w:val="auto"/>
          <w:highlight w:val="none"/>
        </w:rPr>
        <w:t>资格审查委员会对申请人提交的澄清、说明或补正有疑问的，可以要求申请人进一步澄清、说明或补正。</w:t>
      </w:r>
    </w:p>
    <w:p w14:paraId="3E6A58FA">
      <w:pPr>
        <w:spacing w:line="360" w:lineRule="auto"/>
        <w:ind w:firstLine="420" w:firstLineChars="200"/>
        <w:rPr>
          <w:rFonts w:hint="eastAsia" w:ascii="宋体" w:hAnsi="宋体"/>
          <w:color w:val="auto"/>
          <w:highlight w:val="none"/>
        </w:rPr>
      </w:pPr>
      <w:r>
        <w:rPr>
          <w:rFonts w:hint="eastAsia" w:ascii="宋体" w:hAnsi="宋体"/>
          <w:color w:val="auto"/>
          <w:highlight w:val="none"/>
        </w:rPr>
        <w:t>8.4 资格审查过程中，资格审查委员会拟作出不能通过资格预审决定的，应要求申请人进行书面澄清、说明或补正，未进行该程序的，不得作出不能通过资格预审决定，申请人未按要求进行回复的除外。</w:t>
      </w:r>
    </w:p>
    <w:p w14:paraId="68D88D4A">
      <w:pPr>
        <w:pStyle w:val="51"/>
        <w:spacing w:line="360" w:lineRule="auto"/>
        <w:rPr>
          <w:color w:val="auto"/>
          <w:highlight w:val="none"/>
        </w:rPr>
      </w:pPr>
      <w:bookmarkStart w:id="135" w:name="_Toc1250"/>
      <w:r>
        <w:rPr>
          <w:rFonts w:hint="eastAsia"/>
          <w:color w:val="auto"/>
          <w:highlight w:val="none"/>
        </w:rPr>
        <w:t>9</w:t>
      </w:r>
      <w:r>
        <w:rPr>
          <w:color w:val="auto"/>
          <w:highlight w:val="none"/>
        </w:rPr>
        <w:t>.</w:t>
      </w:r>
      <w:r>
        <w:rPr>
          <w:rFonts w:hint="eastAsia"/>
          <w:color w:val="auto"/>
          <w:highlight w:val="none"/>
        </w:rPr>
        <w:t>确定通过资格审查的投标人</w:t>
      </w:r>
      <w:bookmarkEnd w:id="135"/>
      <w:r>
        <w:rPr>
          <w:color w:val="auto"/>
          <w:highlight w:val="none"/>
        </w:rPr>
        <w:t xml:space="preserve"> </w:t>
      </w:r>
    </w:p>
    <w:p w14:paraId="3DBB4F4E">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 xml:space="preserve">.1 </w:t>
      </w:r>
      <w:r>
        <w:rPr>
          <w:rFonts w:hint="eastAsia" w:ascii="宋体" w:hAnsi="宋体"/>
          <w:color w:val="auto"/>
          <w:szCs w:val="21"/>
          <w:highlight w:val="none"/>
        </w:rPr>
        <w:t xml:space="preserve"> 确定通过资格审查的投标人</w:t>
      </w:r>
    </w:p>
    <w:p w14:paraId="41BD5F94">
      <w:pPr>
        <w:spacing w:line="360" w:lineRule="auto"/>
        <w:ind w:firstLine="560"/>
        <w:rPr>
          <w:color w:val="auto"/>
          <w:highlight w:val="none"/>
        </w:rPr>
      </w:pPr>
      <w:r>
        <w:rPr>
          <w:rFonts w:hint="eastAsia"/>
          <w:color w:val="auto"/>
          <w:highlight w:val="none"/>
        </w:rPr>
        <w:t>通过初步审查和详细审查的申请人不少于3个且符合本章第1条规定数量的，均通过资格预审。</w:t>
      </w:r>
    </w:p>
    <w:p w14:paraId="34F1745C">
      <w:pPr>
        <w:spacing w:line="360" w:lineRule="auto"/>
        <w:ind w:firstLine="560"/>
        <w:rPr>
          <w:rFonts w:hint="eastAsia" w:ascii="宋体" w:hAnsi="宋体"/>
          <w:color w:val="auto"/>
          <w:szCs w:val="21"/>
          <w:highlight w:val="none"/>
        </w:rPr>
      </w:pPr>
      <w:r>
        <w:rPr>
          <w:rFonts w:hint="eastAsia"/>
          <w:color w:val="auto"/>
          <w:highlight w:val="none"/>
        </w:rPr>
        <w:t>通过初步审查和详细审查的申请人数量超过本章第1条规定数量的，</w:t>
      </w:r>
      <w:r>
        <w:rPr>
          <w:rFonts w:hint="eastAsia" w:ascii="宋体" w:hAnsi="宋体"/>
          <w:color w:val="auto"/>
          <w:szCs w:val="21"/>
          <w:highlight w:val="none"/>
        </w:rPr>
        <w:t xml:space="preserve">资格审查委员会应当根据投标人排序和本章前附表第1目的规定，按申请人得分由高到低顺序，确定通过资格审查的投标人名单。 </w:t>
      </w:r>
    </w:p>
    <w:p w14:paraId="5D037713">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w:t>
      </w:r>
      <w:r>
        <w:rPr>
          <w:rFonts w:hint="eastAsia" w:ascii="宋体" w:hAnsi="宋体"/>
          <w:color w:val="auto"/>
          <w:szCs w:val="21"/>
          <w:highlight w:val="none"/>
        </w:rPr>
        <w:t xml:space="preserve">2 </w:t>
      </w:r>
      <w:r>
        <w:rPr>
          <w:rFonts w:ascii="宋体" w:hAnsi="宋体"/>
          <w:color w:val="auto"/>
          <w:szCs w:val="21"/>
          <w:highlight w:val="none"/>
        </w:rPr>
        <w:t xml:space="preserve"> </w:t>
      </w:r>
      <w:r>
        <w:rPr>
          <w:rFonts w:hint="eastAsia" w:ascii="宋体" w:hAnsi="宋体"/>
          <w:color w:val="auto"/>
          <w:szCs w:val="21"/>
          <w:highlight w:val="none"/>
        </w:rPr>
        <w:t>编制及提交审查报告</w:t>
      </w:r>
      <w:r>
        <w:rPr>
          <w:rFonts w:ascii="宋体" w:hAnsi="宋体"/>
          <w:color w:val="auto"/>
          <w:szCs w:val="21"/>
          <w:highlight w:val="none"/>
        </w:rPr>
        <w:t xml:space="preserve"> </w:t>
      </w:r>
    </w:p>
    <w:p w14:paraId="38A51B83">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资格审查委员会向招标人提交审查报告。审查报告应当由全体资格审查委员会成员签字，审查报告应当包括以下内容：</w:t>
      </w:r>
      <w:r>
        <w:rPr>
          <w:rFonts w:ascii="宋体" w:hAnsi="宋体"/>
          <w:color w:val="auto"/>
          <w:szCs w:val="21"/>
          <w:highlight w:val="none"/>
        </w:rPr>
        <w:t xml:space="preserve"> </w:t>
      </w:r>
    </w:p>
    <w:p w14:paraId="70D7677C">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（1）基本情况和数据表；</w:t>
      </w:r>
    </w:p>
    <w:p w14:paraId="68717995">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）资格审查委员会成员名单；</w:t>
      </w:r>
    </w:p>
    <w:p w14:paraId="5E6291CE">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）初步审查记录表；</w:t>
      </w:r>
    </w:p>
    <w:p w14:paraId="2503FFE3">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）详细审查记录表；</w:t>
      </w:r>
    </w:p>
    <w:p w14:paraId="0BDEEE61">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）初步、详细审查结果汇总表；</w:t>
      </w:r>
    </w:p>
    <w:p w14:paraId="39F3E56B">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）不能通过资格预审的情况记录表；</w:t>
      </w:r>
    </w:p>
    <w:p w14:paraId="32C4264D">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（7）评分表；</w:t>
      </w:r>
    </w:p>
    <w:p w14:paraId="03D92405">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（8）评分汇总记录表；</w:t>
      </w:r>
    </w:p>
    <w:p w14:paraId="70F590B1">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（9）申请人排序表；</w:t>
      </w:r>
    </w:p>
    <w:p w14:paraId="682BA547">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（10）通过资格预审申请人名单；</w:t>
      </w:r>
    </w:p>
    <w:p w14:paraId="7A8DB2C1">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（11）澄清、说明或补正事项纪要。</w:t>
      </w:r>
    </w:p>
    <w:p w14:paraId="10E52B51">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9.3重新招标</w:t>
      </w:r>
    </w:p>
    <w:p w14:paraId="5B60ACAB">
      <w:pPr>
        <w:spacing w:line="360" w:lineRule="auto"/>
        <w:ind w:firstLine="560"/>
        <w:rPr>
          <w:color w:val="auto"/>
          <w:highlight w:val="none"/>
        </w:rPr>
      </w:pPr>
      <w:r>
        <w:rPr>
          <w:rFonts w:hint="eastAsia" w:ascii="宋体" w:hAnsi="宋体"/>
          <w:color w:val="auto"/>
          <w:highlight w:val="none"/>
        </w:rPr>
        <w:t>通过资格预审申请人的数量不足</w:t>
      </w:r>
      <w:r>
        <w:rPr>
          <w:rFonts w:ascii="宋体" w:hAnsi="宋体"/>
          <w:color w:val="auto"/>
          <w:highlight w:val="none"/>
        </w:rPr>
        <w:t>3</w:t>
      </w:r>
      <w:r>
        <w:rPr>
          <w:rFonts w:hint="eastAsia" w:ascii="宋体" w:hAnsi="宋体"/>
          <w:color w:val="auto"/>
          <w:highlight w:val="none"/>
        </w:rPr>
        <w:t>个的，</w:t>
      </w:r>
      <w:r>
        <w:rPr>
          <w:rFonts w:hint="eastAsia"/>
          <w:color w:val="auto"/>
          <w:highlight w:val="none"/>
        </w:rPr>
        <w:t>招标人应重新招标。</w:t>
      </w:r>
    </w:p>
    <w:p w14:paraId="74722C60">
      <w:pPr>
        <w:spacing w:line="360" w:lineRule="auto"/>
        <w:ind w:firstLine="560"/>
        <w:rPr>
          <w:rFonts w:hint="eastAsia" w:ascii="黑体" w:hAnsi="宋体" w:eastAsia="黑体"/>
          <w:color w:val="auto"/>
          <w:sz w:val="24"/>
          <w:highlight w:val="none"/>
        </w:rPr>
      </w:pPr>
      <w:r>
        <w:rPr>
          <w:rFonts w:hint="eastAsia" w:ascii="宋体" w:hAnsi="宋体"/>
          <w:color w:val="auto"/>
          <w:szCs w:val="21"/>
          <w:highlight w:val="none"/>
        </w:rPr>
        <w:t>10</w:t>
      </w:r>
      <w:r>
        <w:rPr>
          <w:rFonts w:hint="eastAsia" w:ascii="黑体" w:hAnsi="宋体" w:eastAsia="黑体"/>
          <w:color w:val="auto"/>
          <w:sz w:val="24"/>
          <w:highlight w:val="none"/>
        </w:rPr>
        <w:t>.特殊情况的处置程序</w:t>
      </w:r>
    </w:p>
    <w:p w14:paraId="0336BE56">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10.1  关于资格预审活动暂停</w:t>
      </w:r>
    </w:p>
    <w:p w14:paraId="1CE0669F">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10.1.1  资格审查委员会应当执行连续资格审查的原则，按审查办法中规定的程序、内容、方法、标准完成全部资格预审工作。除特殊情况外，资格预审活动不得暂停。</w:t>
      </w:r>
    </w:p>
    <w:p w14:paraId="5F65FA17">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10.1.2  发生资格预审暂停情况时，资格审查委员会应当封存全部申请文件和审查记录，</w:t>
      </w:r>
      <w:r>
        <w:rPr>
          <w:rFonts w:ascii="宋体" w:hAnsi="宋体"/>
          <w:color w:val="auto"/>
          <w:szCs w:val="21"/>
          <w:highlight w:val="none"/>
        </w:rPr>
        <w:t>待特殊情况的影响结束且具备继续</w:t>
      </w:r>
      <w:r>
        <w:rPr>
          <w:rFonts w:hint="eastAsia" w:ascii="宋体" w:hAnsi="宋体"/>
          <w:color w:val="auto"/>
          <w:szCs w:val="21"/>
          <w:highlight w:val="none"/>
        </w:rPr>
        <w:t>资格预审</w:t>
      </w:r>
      <w:r>
        <w:rPr>
          <w:rFonts w:ascii="宋体" w:hAnsi="宋体"/>
          <w:color w:val="auto"/>
          <w:szCs w:val="21"/>
          <w:highlight w:val="none"/>
        </w:rPr>
        <w:t>的条件时，由原</w:t>
      </w:r>
      <w:r>
        <w:rPr>
          <w:rFonts w:hint="eastAsia" w:ascii="宋体" w:hAnsi="宋体"/>
          <w:color w:val="auto"/>
          <w:szCs w:val="21"/>
          <w:highlight w:val="none"/>
        </w:rPr>
        <w:t>资格审查委员会</w:t>
      </w:r>
      <w:r>
        <w:rPr>
          <w:rFonts w:ascii="宋体" w:hAnsi="宋体"/>
          <w:color w:val="auto"/>
          <w:szCs w:val="21"/>
          <w:highlight w:val="none"/>
        </w:rPr>
        <w:t>继续</w:t>
      </w:r>
      <w:r>
        <w:rPr>
          <w:rFonts w:hint="eastAsia" w:ascii="宋体" w:hAnsi="宋体"/>
          <w:color w:val="auto"/>
          <w:szCs w:val="21"/>
          <w:highlight w:val="none"/>
        </w:rPr>
        <w:t>资格预审</w:t>
      </w:r>
      <w:r>
        <w:rPr>
          <w:rFonts w:ascii="宋体" w:hAnsi="宋体"/>
          <w:color w:val="auto"/>
          <w:szCs w:val="21"/>
          <w:highlight w:val="none"/>
        </w:rPr>
        <w:t>。</w:t>
      </w:r>
    </w:p>
    <w:p w14:paraId="3B3E1F7C">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10.2  关于中途更换资格审查委员会成员</w:t>
      </w:r>
    </w:p>
    <w:p w14:paraId="017783B5">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10.2.1  除非发生下列情况之一，</w:t>
      </w:r>
      <w:r>
        <w:rPr>
          <w:rFonts w:ascii="宋体" w:hAnsi="宋体"/>
          <w:color w:val="auto"/>
          <w:szCs w:val="21"/>
          <w:highlight w:val="none"/>
        </w:rPr>
        <w:t>不得在</w:t>
      </w:r>
      <w:r>
        <w:rPr>
          <w:rFonts w:hint="eastAsia" w:ascii="宋体" w:hAnsi="宋体"/>
          <w:color w:val="auto"/>
          <w:szCs w:val="21"/>
          <w:highlight w:val="none"/>
        </w:rPr>
        <w:t>资格预审</w:t>
      </w:r>
      <w:r>
        <w:rPr>
          <w:rFonts w:ascii="宋体" w:hAnsi="宋体"/>
          <w:color w:val="auto"/>
          <w:szCs w:val="21"/>
          <w:highlight w:val="none"/>
        </w:rPr>
        <w:t>中途更换</w:t>
      </w:r>
      <w:r>
        <w:rPr>
          <w:rFonts w:hint="eastAsia" w:ascii="宋体" w:hAnsi="宋体"/>
          <w:color w:val="auto"/>
          <w:szCs w:val="21"/>
          <w:highlight w:val="none"/>
        </w:rPr>
        <w:t>资格审查委员会</w:t>
      </w:r>
      <w:r>
        <w:rPr>
          <w:rFonts w:ascii="宋体" w:hAnsi="宋体"/>
          <w:color w:val="auto"/>
          <w:szCs w:val="21"/>
          <w:highlight w:val="none"/>
        </w:rPr>
        <w:t>成员：</w:t>
      </w:r>
    </w:p>
    <w:p w14:paraId="65B58FC6">
      <w:pPr>
        <w:spacing w:line="360" w:lineRule="auto"/>
        <w:ind w:firstLine="560"/>
        <w:rPr>
          <w:rFonts w:hint="eastAsia" w:ascii="宋体" w:hAnsi="宋体"/>
          <w:color w:val="auto"/>
          <w:szCs w:val="21"/>
          <w:highlight w:val="none"/>
        </w:rPr>
      </w:pPr>
      <w:r>
        <w:rPr>
          <w:rFonts w:ascii="宋体" w:hAnsi="宋体"/>
          <w:color w:val="auto"/>
          <w:szCs w:val="21"/>
          <w:highlight w:val="none"/>
        </w:rPr>
        <w:t>（1）因不可抗拒的原因，</w:t>
      </w:r>
      <w:r>
        <w:rPr>
          <w:rFonts w:hint="eastAsia" w:ascii="宋体" w:hAnsi="宋体"/>
          <w:color w:val="auto"/>
          <w:szCs w:val="21"/>
          <w:highlight w:val="none"/>
        </w:rPr>
        <w:t>资格审查委员会</w:t>
      </w:r>
      <w:r>
        <w:rPr>
          <w:rFonts w:ascii="宋体" w:hAnsi="宋体"/>
          <w:color w:val="auto"/>
          <w:szCs w:val="21"/>
          <w:highlight w:val="none"/>
        </w:rPr>
        <w:t>成员不能到场或需在</w:t>
      </w:r>
      <w:r>
        <w:rPr>
          <w:rFonts w:hint="eastAsia" w:ascii="宋体" w:hAnsi="宋体"/>
          <w:color w:val="auto"/>
          <w:szCs w:val="21"/>
          <w:highlight w:val="none"/>
        </w:rPr>
        <w:t>资格预审</w:t>
      </w:r>
      <w:r>
        <w:rPr>
          <w:rFonts w:ascii="宋体" w:hAnsi="宋体"/>
          <w:color w:val="auto"/>
          <w:szCs w:val="21"/>
          <w:highlight w:val="none"/>
        </w:rPr>
        <w:t>中途退出</w:t>
      </w:r>
      <w:r>
        <w:rPr>
          <w:rFonts w:hint="eastAsia" w:ascii="宋体" w:hAnsi="宋体"/>
          <w:color w:val="auto"/>
          <w:szCs w:val="21"/>
          <w:highlight w:val="none"/>
        </w:rPr>
        <w:t>资格预审</w:t>
      </w:r>
      <w:r>
        <w:rPr>
          <w:rFonts w:ascii="宋体" w:hAnsi="宋体"/>
          <w:color w:val="auto"/>
          <w:szCs w:val="21"/>
          <w:highlight w:val="none"/>
        </w:rPr>
        <w:t>活动。</w:t>
      </w:r>
    </w:p>
    <w:p w14:paraId="40481CA4">
      <w:pPr>
        <w:spacing w:line="360" w:lineRule="auto"/>
        <w:ind w:firstLine="560"/>
        <w:rPr>
          <w:rFonts w:hint="eastAsia" w:ascii="宋体" w:hAnsi="宋体"/>
          <w:color w:val="auto"/>
          <w:szCs w:val="21"/>
          <w:highlight w:val="none"/>
        </w:rPr>
      </w:pPr>
      <w:r>
        <w:rPr>
          <w:rFonts w:ascii="宋体" w:hAnsi="宋体"/>
          <w:color w:val="auto"/>
          <w:szCs w:val="21"/>
          <w:highlight w:val="none"/>
        </w:rPr>
        <w:t>（2）根据法律法规规定，某个或某几个</w:t>
      </w:r>
      <w:r>
        <w:rPr>
          <w:rFonts w:hint="eastAsia" w:ascii="宋体" w:hAnsi="宋体"/>
          <w:color w:val="auto"/>
          <w:szCs w:val="21"/>
          <w:highlight w:val="none"/>
        </w:rPr>
        <w:t>资格审查委员会</w:t>
      </w:r>
      <w:r>
        <w:rPr>
          <w:rFonts w:ascii="宋体" w:hAnsi="宋体"/>
          <w:color w:val="auto"/>
          <w:szCs w:val="21"/>
          <w:highlight w:val="none"/>
        </w:rPr>
        <w:t>成员需要回避。</w:t>
      </w:r>
    </w:p>
    <w:p w14:paraId="0EB5AA87">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10.2.2  退出资格预审的资格审查委员会成员，其已完成的资格预审行为无效。由招标人根据有关规定另行确定替代者进行资格预审。</w:t>
      </w:r>
    </w:p>
    <w:p w14:paraId="0FAC2074">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10.3  记名投票</w:t>
      </w:r>
    </w:p>
    <w:p w14:paraId="0CBACDDB">
      <w:pPr>
        <w:spacing w:line="360" w:lineRule="auto"/>
        <w:ind w:firstLine="560"/>
        <w:rPr>
          <w:rFonts w:hint="eastAsia" w:ascii="宋体" w:hAnsi="宋体"/>
          <w:color w:val="auto"/>
          <w:szCs w:val="21"/>
          <w:highlight w:val="none"/>
        </w:rPr>
      </w:pPr>
      <w:r>
        <w:rPr>
          <w:rFonts w:hint="eastAsia" w:ascii="宋体" w:hAnsi="宋体"/>
          <w:color w:val="auto"/>
          <w:szCs w:val="21"/>
          <w:highlight w:val="none"/>
        </w:rPr>
        <w:t>在任何资格预审环节中，需资格审查委员会就某项定性的审查结论做出表决的，由资格审查委员会全体成员按照少数服从多数的原则，以记名投票方式表决。</w:t>
      </w:r>
    </w:p>
    <w:p w14:paraId="558D1F89">
      <w:pPr>
        <w:snapToGrid w:val="0"/>
        <w:spacing w:line="360" w:lineRule="auto"/>
        <w:ind w:firstLine="480"/>
        <w:rPr>
          <w:rFonts w:hint="eastAsia" w:ascii="黑体" w:hAnsi="宋体" w:eastAsia="黑体"/>
          <w:color w:val="auto"/>
          <w:sz w:val="24"/>
          <w:highlight w:val="none"/>
        </w:rPr>
      </w:pPr>
      <w:r>
        <w:rPr>
          <w:rFonts w:hint="eastAsia" w:ascii="黑体" w:hAnsi="宋体" w:eastAsia="黑体"/>
          <w:color w:val="auto"/>
          <w:sz w:val="24"/>
          <w:highlight w:val="none"/>
        </w:rPr>
        <w:t>11.补充条款</w:t>
      </w:r>
    </w:p>
    <w:p w14:paraId="1DD0BCAC">
      <w:pPr>
        <w:adjustRightInd w:val="0"/>
        <w:snapToGrid w:val="0"/>
        <w:spacing w:line="360" w:lineRule="auto"/>
        <w:ind w:firstLine="560"/>
        <w:rPr>
          <w:color w:val="auto"/>
          <w:szCs w:val="21"/>
          <w:highlight w:val="none"/>
        </w:rPr>
      </w:pPr>
      <w:r>
        <w:rPr>
          <w:rFonts w:hint="eastAsia"/>
          <w:color w:val="auto"/>
          <w:szCs w:val="21"/>
          <w:highlight w:val="none"/>
        </w:rPr>
        <w:t>11</w:t>
      </w:r>
      <w:r>
        <w:rPr>
          <w:color w:val="auto"/>
          <w:szCs w:val="21"/>
          <w:highlight w:val="none"/>
        </w:rPr>
        <w:t>.1</w:t>
      </w:r>
      <w:r>
        <w:rPr>
          <w:rFonts w:hint="eastAsia"/>
          <w:color w:val="auto"/>
          <w:szCs w:val="21"/>
          <w:highlight w:val="none"/>
        </w:rPr>
        <w:t>资格评审过程中，资格审查委员会成员对涉及《导则》相关内容理解不一致或者不熟悉的问题的，应当提请《导则》发文部门解释；对涉及行业法律法规及政策文件相关问题的，应当提请行政监管部门解释。对资格预审文件中存在的其他问题应当提请招标人澄清。</w:t>
      </w:r>
    </w:p>
    <w:p w14:paraId="2EC6B8FD">
      <w:pPr>
        <w:adjustRightInd w:val="0"/>
        <w:snapToGrid w:val="0"/>
        <w:spacing w:line="360" w:lineRule="auto"/>
        <w:ind w:firstLine="560"/>
        <w:rPr>
          <w:color w:val="auto"/>
          <w:szCs w:val="21"/>
          <w:highlight w:val="none"/>
        </w:rPr>
      </w:pPr>
      <w:r>
        <w:rPr>
          <w:rFonts w:hint="eastAsia"/>
          <w:color w:val="auto"/>
          <w:szCs w:val="21"/>
          <w:highlight w:val="none"/>
        </w:rPr>
        <w:t>对上述情形以外的问题，由资格审查委员会集体讨论决定。无法形成一致意见时，应当按照少数服从多数原则进行表决并予记录。</w:t>
      </w:r>
    </w:p>
    <w:p w14:paraId="6AE52CC0">
      <w:pPr>
        <w:adjustRightInd w:val="0"/>
        <w:snapToGrid w:val="0"/>
        <w:spacing w:line="360" w:lineRule="auto"/>
        <w:ind w:firstLine="560"/>
        <w:rPr>
          <w:color w:val="auto"/>
          <w:szCs w:val="21"/>
          <w:highlight w:val="none"/>
        </w:rPr>
      </w:pPr>
      <w:r>
        <w:rPr>
          <w:rFonts w:hint="eastAsia" w:ascii="宋体" w:hAnsi="宋体" w:cs="仿宋_GB2312"/>
          <w:color w:val="auto"/>
          <w:highlight w:val="none"/>
        </w:rPr>
        <w:t>11.2其他：</w:t>
      </w:r>
      <w:r>
        <w:rPr>
          <w:rFonts w:hint="eastAsia" w:ascii="宋体" w:hAnsi="宋体" w:cs="仿宋_GB2312"/>
          <w:color w:val="auto"/>
          <w:highlight w:val="none"/>
          <w:u w:val="single"/>
        </w:rPr>
        <w:t xml:space="preserve">      </w:t>
      </w:r>
      <w:r>
        <w:rPr>
          <w:rFonts w:hint="eastAsia" w:ascii="宋体" w:hAnsi="宋体" w:cs="仿宋_GB2312"/>
          <w:color w:val="auto"/>
          <w:highlight w:val="none"/>
        </w:rPr>
        <w:t>（由招标人根据项目情况依法依规在资格预审文件中明确</w:t>
      </w:r>
      <w:r>
        <w:rPr>
          <w:rFonts w:hint="eastAsia" w:ascii="宋体" w:hAnsi="宋体" w:cs="仿宋_GB2312"/>
          <w:color w:val="auto"/>
          <w:highlight w:val="none"/>
          <w:lang w:eastAsia="zh-CN"/>
        </w:rPr>
        <w:t>。</w:t>
      </w:r>
      <w:r>
        <w:rPr>
          <w:rFonts w:hint="eastAsia" w:ascii="宋体" w:hAnsi="宋体" w:cs="仿宋_GB2312"/>
          <w:color w:val="auto"/>
          <w:highlight w:val="none"/>
        </w:rPr>
        <w:t>）</w:t>
      </w:r>
    </w:p>
    <w:p w14:paraId="6CE61B01">
      <w:pPr>
        <w:ind w:firstLine="640"/>
        <w:jc w:val="left"/>
        <w:rPr>
          <w:rFonts w:hint="eastAsia" w:ascii="宋体" w:hAnsi="宋体"/>
          <w:color w:val="auto"/>
          <w:sz w:val="32"/>
          <w:szCs w:val="32"/>
          <w:highlight w:val="none"/>
        </w:rPr>
      </w:pPr>
      <w:r>
        <w:rPr>
          <w:rFonts w:hint="eastAsia" w:ascii="宋体" w:hAnsi="宋体"/>
          <w:color w:val="auto"/>
          <w:sz w:val="32"/>
          <w:szCs w:val="32"/>
          <w:highlight w:val="none"/>
        </w:rPr>
        <w:br w:type="page"/>
      </w:r>
    </w:p>
    <w:p w14:paraId="013D33F1">
      <w:pPr>
        <w:snapToGrid w:val="0"/>
        <w:ind w:firstLine="640"/>
        <w:jc w:val="center"/>
        <w:rPr>
          <w:rFonts w:hint="eastAsia" w:ascii="宋体" w:hAnsi="宋体"/>
          <w:color w:val="auto"/>
          <w:sz w:val="32"/>
          <w:szCs w:val="32"/>
          <w:highlight w:val="none"/>
        </w:rPr>
      </w:pPr>
    </w:p>
    <w:p w14:paraId="4807E352">
      <w:pPr>
        <w:snapToGrid w:val="0"/>
        <w:ind w:firstLine="640"/>
        <w:jc w:val="center"/>
        <w:rPr>
          <w:rFonts w:hint="eastAsia" w:ascii="宋体" w:hAnsi="宋体"/>
          <w:color w:val="auto"/>
          <w:sz w:val="32"/>
          <w:szCs w:val="32"/>
          <w:highlight w:val="none"/>
        </w:rPr>
      </w:pPr>
    </w:p>
    <w:p w14:paraId="7F4CF8E7">
      <w:pPr>
        <w:snapToGrid w:val="0"/>
        <w:ind w:firstLine="640"/>
        <w:jc w:val="center"/>
        <w:rPr>
          <w:rFonts w:hint="eastAsia" w:ascii="宋体" w:hAnsi="宋体"/>
          <w:color w:val="auto"/>
          <w:sz w:val="32"/>
          <w:szCs w:val="32"/>
          <w:highlight w:val="none"/>
        </w:rPr>
      </w:pPr>
    </w:p>
    <w:p w14:paraId="00D1DEF9">
      <w:pPr>
        <w:snapToGrid w:val="0"/>
        <w:ind w:firstLine="640"/>
        <w:jc w:val="center"/>
        <w:rPr>
          <w:rFonts w:hint="eastAsia" w:ascii="宋体" w:hAnsi="宋体"/>
          <w:color w:val="auto"/>
          <w:sz w:val="32"/>
          <w:szCs w:val="32"/>
          <w:highlight w:val="none"/>
        </w:rPr>
      </w:pPr>
    </w:p>
    <w:p w14:paraId="6E1C45BE">
      <w:pPr>
        <w:snapToGrid w:val="0"/>
        <w:ind w:firstLine="640"/>
        <w:jc w:val="center"/>
        <w:rPr>
          <w:rFonts w:hint="eastAsia" w:ascii="宋体" w:hAnsi="宋体"/>
          <w:color w:val="auto"/>
          <w:sz w:val="32"/>
          <w:szCs w:val="32"/>
          <w:highlight w:val="none"/>
        </w:rPr>
      </w:pPr>
    </w:p>
    <w:p w14:paraId="69DFC233">
      <w:pPr>
        <w:snapToGrid w:val="0"/>
        <w:ind w:firstLine="640"/>
        <w:jc w:val="center"/>
        <w:rPr>
          <w:rFonts w:hint="eastAsia" w:ascii="宋体" w:hAnsi="宋体"/>
          <w:color w:val="auto"/>
          <w:sz w:val="32"/>
          <w:szCs w:val="32"/>
          <w:highlight w:val="none"/>
        </w:rPr>
      </w:pPr>
    </w:p>
    <w:p w14:paraId="57166DAF">
      <w:pPr>
        <w:snapToGrid w:val="0"/>
        <w:ind w:firstLine="640"/>
        <w:jc w:val="center"/>
        <w:rPr>
          <w:rFonts w:hint="eastAsia" w:ascii="宋体" w:hAnsi="宋体"/>
          <w:color w:val="auto"/>
          <w:sz w:val="32"/>
          <w:szCs w:val="32"/>
          <w:highlight w:val="none"/>
        </w:rPr>
      </w:pPr>
    </w:p>
    <w:p w14:paraId="3F42D22C">
      <w:pPr>
        <w:snapToGrid w:val="0"/>
        <w:ind w:firstLine="640"/>
        <w:jc w:val="center"/>
        <w:rPr>
          <w:rFonts w:hint="eastAsia" w:ascii="宋体" w:hAnsi="宋体"/>
          <w:color w:val="auto"/>
          <w:sz w:val="32"/>
          <w:szCs w:val="32"/>
          <w:highlight w:val="none"/>
        </w:rPr>
      </w:pPr>
    </w:p>
    <w:p w14:paraId="2FDDFDFF">
      <w:pPr>
        <w:snapToGrid w:val="0"/>
        <w:ind w:firstLine="640"/>
        <w:jc w:val="center"/>
        <w:rPr>
          <w:rFonts w:hint="eastAsia" w:ascii="宋体" w:hAnsi="宋体"/>
          <w:color w:val="auto"/>
          <w:sz w:val="32"/>
          <w:szCs w:val="32"/>
          <w:highlight w:val="none"/>
        </w:rPr>
      </w:pPr>
    </w:p>
    <w:p w14:paraId="325CACB6">
      <w:pPr>
        <w:pStyle w:val="3"/>
        <w:overflowPunct w:val="0"/>
        <w:topLinePunct/>
        <w:adjustRightInd w:val="0"/>
        <w:snapToGrid w:val="0"/>
        <w:spacing w:line="240" w:lineRule="auto"/>
        <w:ind w:firstLine="640"/>
        <w:jc w:val="center"/>
        <w:rPr>
          <w:rFonts w:hint="eastAsia" w:ascii="黑体" w:hAnsi="宋体" w:eastAsia="黑体" w:cs="黑体"/>
          <w:b w:val="0"/>
          <w:color w:val="auto"/>
          <w:sz w:val="32"/>
          <w:highlight w:val="none"/>
        </w:rPr>
      </w:pPr>
      <w:bookmarkStart w:id="136" w:name="_Toc295196623"/>
      <w:bookmarkStart w:id="137" w:name="_Toc9713"/>
      <w:r>
        <w:rPr>
          <w:rFonts w:hint="eastAsia" w:ascii="黑体" w:hAnsi="宋体" w:eastAsia="黑体" w:cs="黑体"/>
          <w:b w:val="0"/>
          <w:color w:val="auto"/>
          <w:sz w:val="32"/>
          <w:highlight w:val="none"/>
        </w:rPr>
        <w:t>第四章  资格预审申请文件格式</w:t>
      </w:r>
      <w:bookmarkEnd w:id="136"/>
      <w:bookmarkEnd w:id="137"/>
    </w:p>
    <w:p w14:paraId="798D2BEB">
      <w:pPr>
        <w:snapToGrid w:val="0"/>
        <w:ind w:firstLine="640"/>
        <w:rPr>
          <w:rFonts w:hint="eastAsia" w:ascii="宋体" w:hAnsi="宋体"/>
          <w:color w:val="auto"/>
          <w:sz w:val="32"/>
          <w:szCs w:val="32"/>
          <w:highlight w:val="none"/>
        </w:rPr>
      </w:pPr>
      <w:r>
        <w:rPr>
          <w:rFonts w:ascii="宋体" w:hAnsi="宋体"/>
          <w:color w:val="auto"/>
          <w:sz w:val="32"/>
          <w:szCs w:val="32"/>
          <w:highlight w:val="none"/>
        </w:rPr>
        <w:br w:type="page"/>
      </w:r>
    </w:p>
    <w:p w14:paraId="3DAEEDDA">
      <w:pPr>
        <w:widowControl/>
        <w:ind w:firstLine="560"/>
        <w:rPr>
          <w:rFonts w:eastAsia="黑体"/>
          <w:color w:val="auto"/>
          <w:kern w:val="0"/>
          <w:sz w:val="28"/>
          <w:szCs w:val="21"/>
          <w:highlight w:val="none"/>
        </w:rPr>
      </w:pPr>
      <w:r>
        <w:rPr>
          <w:color w:val="auto"/>
          <w:sz w:val="28"/>
          <w:highlight w:val="none"/>
        </w:rPr>
        <mc:AlternateContent>
          <mc:Choice Requires="wps">
            <w:drawing>
              <wp:anchor distT="0" distB="0" distL="114300" distR="114300" simplePos="0" relativeHeight="251660288" behindDoc="0" locked="0" layoutInCell="1" allowOverlap="1">
                <wp:simplePos x="0" y="0"/>
                <wp:positionH relativeFrom="column">
                  <wp:posOffset>-126365</wp:posOffset>
                </wp:positionH>
                <wp:positionV relativeFrom="paragraph">
                  <wp:posOffset>69850</wp:posOffset>
                </wp:positionV>
                <wp:extent cx="971550" cy="476250"/>
                <wp:effectExtent l="4445" t="4445" r="14605" b="14605"/>
                <wp:wrapNone/>
                <wp:docPr id="1742221170" name="文本框 1742221170"/>
                <wp:cNvGraphicFramePr/>
                <a:graphic xmlns:a="http://schemas.openxmlformats.org/drawingml/2006/main">
                  <a:graphicData uri="http://schemas.microsoft.com/office/word/2010/wordprocessingShape">
                    <wps:wsp>
                      <wps:cNvSpPr txBox="1"/>
                      <wps:spPr>
                        <a:xfrm>
                          <a:off x="788035" y="727075"/>
                          <a:ext cx="97155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6381B8">
                            <w:pPr>
                              <w:rPr>
                                <w:rFonts w:hint="eastAsia" w:ascii="黑体" w:hAnsi="黑体" w:eastAsia="黑体" w:cs="黑体"/>
                                <w:b/>
                                <w:bCs/>
                                <w:sz w:val="44"/>
                                <w:szCs w:val="44"/>
                              </w:rPr>
                            </w:pPr>
                            <w:r>
                              <w:rPr>
                                <w:rFonts w:hint="eastAsia" w:ascii="黑体" w:hAnsi="黑体" w:eastAsia="黑体" w:cs="黑体"/>
                                <w:b/>
                                <w:bCs/>
                                <w:sz w:val="44"/>
                                <w:szCs w:val="44"/>
                              </w:rPr>
                              <w:t>封 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5.5pt;height:37.5pt;width:76.5pt;z-index:251660288;mso-width-relative:page;mso-height-relative:page;" fillcolor="#FFFFFF [3201]" filled="t" stroked="t" coordsize="21600,21600" o:gfxdata="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Wz0CvVAAAACQEAAA8AAAAAAAAAAQAgAAAAIgAAAGRycy9kb3ducmV2LnhtbFBLAQIU&#10;ABQAAAAIAIdO4kAb91K7aAIAANIEAAAOAAAAAAAAAAEAIAAAACQBAABkcnMvZTJvRG9jLnhtbFBL&#10;BQYAAAAABgAGAFkBAAD+BQAAAAA=&#10;">
                <v:fill on="t" focussize="0,0"/>
                <v:stroke weight="0.5pt" color="#000000 [3204]" joinstyle="round"/>
                <v:imagedata o:title=""/>
                <o:lock v:ext="edit" aspectratio="f"/>
                <v:textbox>
                  <w:txbxContent>
                    <w:p w14:paraId="706381B8">
                      <w:pPr>
                        <w:rPr>
                          <w:rFonts w:hint="eastAsia" w:ascii="黑体" w:hAnsi="黑体" w:eastAsia="黑体" w:cs="黑体"/>
                          <w:b/>
                          <w:bCs/>
                          <w:sz w:val="44"/>
                          <w:szCs w:val="44"/>
                        </w:rPr>
                      </w:pPr>
                      <w:r>
                        <w:rPr>
                          <w:rFonts w:hint="eastAsia" w:ascii="黑体" w:hAnsi="黑体" w:eastAsia="黑体" w:cs="黑体"/>
                          <w:b/>
                          <w:bCs/>
                          <w:sz w:val="44"/>
                          <w:szCs w:val="44"/>
                        </w:rPr>
                        <w:t>封 面</w:t>
                      </w:r>
                    </w:p>
                  </w:txbxContent>
                </v:textbox>
              </v:shape>
            </w:pict>
          </mc:Fallback>
        </mc:AlternateContent>
      </w:r>
    </w:p>
    <w:p w14:paraId="527721AF">
      <w:pPr>
        <w:widowControl/>
        <w:ind w:firstLine="560"/>
        <w:rPr>
          <w:rFonts w:eastAsia="黑体"/>
          <w:color w:val="auto"/>
          <w:kern w:val="0"/>
          <w:sz w:val="28"/>
          <w:szCs w:val="21"/>
          <w:highlight w:val="none"/>
        </w:rPr>
      </w:pPr>
    </w:p>
    <w:p w14:paraId="3E73FCEC">
      <w:pPr>
        <w:snapToGrid w:val="0"/>
        <w:ind w:firstLine="640"/>
        <w:rPr>
          <w:rFonts w:hint="eastAsia" w:ascii="宋体" w:hAnsi="宋体"/>
          <w:color w:val="auto"/>
          <w:sz w:val="32"/>
          <w:szCs w:val="32"/>
          <w:highlight w:val="none"/>
        </w:rPr>
      </w:pPr>
    </w:p>
    <w:p w14:paraId="47C56431">
      <w:pPr>
        <w:snapToGrid w:val="0"/>
        <w:ind w:firstLine="640"/>
        <w:jc w:val="center"/>
        <w:rPr>
          <w:rFonts w:hint="eastAsia" w:ascii="宋体" w:hAnsi="宋体"/>
          <w:color w:val="auto"/>
          <w:sz w:val="32"/>
          <w:szCs w:val="32"/>
          <w:highlight w:val="none"/>
        </w:rPr>
      </w:pPr>
    </w:p>
    <w:p w14:paraId="6820103C">
      <w:pPr>
        <w:snapToGrid w:val="0"/>
        <w:ind w:firstLine="640"/>
        <w:jc w:val="center"/>
        <w:rPr>
          <w:rFonts w:hint="eastAsia" w:ascii="宋体" w:hAnsi="宋体"/>
          <w:color w:val="auto"/>
          <w:sz w:val="32"/>
          <w:szCs w:val="32"/>
          <w:highlight w:val="none"/>
        </w:rPr>
      </w:pPr>
    </w:p>
    <w:p w14:paraId="1223DEF8">
      <w:pPr>
        <w:snapToGrid w:val="0"/>
        <w:ind w:firstLine="560"/>
        <w:jc w:val="center"/>
        <w:rPr>
          <w:rFonts w:hint="eastAsia" w:ascii="宋体" w:hAnsi="宋体"/>
          <w:color w:val="auto"/>
          <w:sz w:val="28"/>
          <w:szCs w:val="28"/>
          <w:highlight w:val="none"/>
        </w:rPr>
      </w:pPr>
      <w:r>
        <w:rPr>
          <w:rFonts w:hint="eastAsia" w:ascii="宋体" w:hAnsi="宋体"/>
          <w:color w:val="auto"/>
          <w:sz w:val="28"/>
          <w:szCs w:val="28"/>
          <w:highlight w:val="none"/>
          <w:u w:val="single"/>
        </w:rPr>
        <w:t xml:space="preserve">      （招标项目及标段）        </w:t>
      </w:r>
      <w:r>
        <w:rPr>
          <w:rFonts w:hint="eastAsia" w:ascii="宋体" w:hAnsi="宋体"/>
          <w:color w:val="auto"/>
          <w:sz w:val="28"/>
          <w:szCs w:val="28"/>
          <w:highlight w:val="none"/>
        </w:rPr>
        <w:t>施工招标</w:t>
      </w:r>
    </w:p>
    <w:p w14:paraId="05463E3E">
      <w:pPr>
        <w:snapToGrid w:val="0"/>
        <w:ind w:firstLine="560"/>
        <w:jc w:val="center"/>
        <w:rPr>
          <w:rFonts w:hint="eastAsia" w:ascii="宋体" w:hAnsi="宋体"/>
          <w:color w:val="auto"/>
          <w:sz w:val="28"/>
          <w:szCs w:val="28"/>
          <w:highlight w:val="none"/>
        </w:rPr>
      </w:pPr>
    </w:p>
    <w:p w14:paraId="29719FEE">
      <w:pPr>
        <w:snapToGrid w:val="0"/>
        <w:ind w:firstLine="560"/>
        <w:jc w:val="center"/>
        <w:rPr>
          <w:rFonts w:hint="eastAsia" w:ascii="宋体" w:hAnsi="宋体"/>
          <w:color w:val="auto"/>
          <w:sz w:val="28"/>
          <w:szCs w:val="28"/>
          <w:highlight w:val="none"/>
        </w:rPr>
      </w:pPr>
    </w:p>
    <w:p w14:paraId="06F9D517">
      <w:pPr>
        <w:snapToGrid w:val="0"/>
        <w:ind w:firstLine="560"/>
        <w:jc w:val="center"/>
        <w:rPr>
          <w:rFonts w:hint="eastAsia" w:ascii="宋体" w:hAnsi="宋体"/>
          <w:color w:val="auto"/>
          <w:sz w:val="28"/>
          <w:szCs w:val="28"/>
          <w:highlight w:val="none"/>
        </w:rPr>
      </w:pPr>
    </w:p>
    <w:p w14:paraId="3D82C162">
      <w:pPr>
        <w:ind w:firstLine="880"/>
        <w:jc w:val="center"/>
        <w:rPr>
          <w:rFonts w:ascii="黑体" w:eastAsia="黑体"/>
          <w:color w:val="auto"/>
          <w:sz w:val="44"/>
          <w:szCs w:val="44"/>
          <w:highlight w:val="none"/>
        </w:rPr>
      </w:pPr>
      <w:r>
        <w:rPr>
          <w:rFonts w:hint="eastAsia" w:ascii="黑体" w:eastAsia="黑体"/>
          <w:color w:val="auto"/>
          <w:sz w:val="44"/>
          <w:szCs w:val="44"/>
          <w:highlight w:val="none"/>
        </w:rPr>
        <w:t>资格预审申请文件</w:t>
      </w:r>
    </w:p>
    <w:p w14:paraId="111226C7">
      <w:pPr>
        <w:snapToGrid w:val="0"/>
        <w:ind w:firstLine="880"/>
        <w:jc w:val="center"/>
        <w:rPr>
          <w:rFonts w:hint="eastAsia" w:ascii="宋体" w:hAnsi="宋体"/>
          <w:color w:val="auto"/>
          <w:sz w:val="44"/>
          <w:szCs w:val="44"/>
          <w:highlight w:val="none"/>
        </w:rPr>
      </w:pPr>
    </w:p>
    <w:p w14:paraId="189B60B1">
      <w:pPr>
        <w:snapToGrid w:val="0"/>
        <w:ind w:firstLine="880"/>
        <w:jc w:val="center"/>
        <w:rPr>
          <w:rFonts w:hint="eastAsia" w:ascii="宋体" w:hAnsi="宋体"/>
          <w:color w:val="auto"/>
          <w:sz w:val="44"/>
          <w:szCs w:val="44"/>
          <w:highlight w:val="none"/>
        </w:rPr>
      </w:pPr>
    </w:p>
    <w:p w14:paraId="7CA74070">
      <w:pPr>
        <w:snapToGrid w:val="0"/>
        <w:ind w:firstLine="880"/>
        <w:jc w:val="center"/>
        <w:rPr>
          <w:rFonts w:hint="eastAsia" w:ascii="宋体" w:hAnsi="宋体"/>
          <w:color w:val="auto"/>
          <w:sz w:val="44"/>
          <w:szCs w:val="44"/>
          <w:highlight w:val="none"/>
        </w:rPr>
      </w:pPr>
    </w:p>
    <w:p w14:paraId="2B58EC34">
      <w:pPr>
        <w:snapToGrid w:val="0"/>
        <w:ind w:firstLine="880"/>
        <w:jc w:val="center"/>
        <w:rPr>
          <w:rFonts w:hint="eastAsia" w:ascii="宋体" w:hAnsi="宋体"/>
          <w:color w:val="auto"/>
          <w:sz w:val="44"/>
          <w:szCs w:val="44"/>
          <w:highlight w:val="none"/>
        </w:rPr>
      </w:pPr>
    </w:p>
    <w:p w14:paraId="449B2A0F">
      <w:pPr>
        <w:snapToGrid w:val="0"/>
        <w:ind w:firstLine="880"/>
        <w:jc w:val="center"/>
        <w:rPr>
          <w:rFonts w:hint="eastAsia" w:ascii="宋体" w:hAnsi="宋体"/>
          <w:color w:val="auto"/>
          <w:sz w:val="44"/>
          <w:szCs w:val="44"/>
          <w:highlight w:val="none"/>
        </w:rPr>
      </w:pPr>
    </w:p>
    <w:p w14:paraId="59540071">
      <w:pPr>
        <w:snapToGrid w:val="0"/>
        <w:ind w:firstLine="880"/>
        <w:jc w:val="center"/>
        <w:rPr>
          <w:rFonts w:hint="eastAsia" w:ascii="宋体" w:hAnsi="宋体"/>
          <w:color w:val="auto"/>
          <w:sz w:val="44"/>
          <w:szCs w:val="44"/>
          <w:highlight w:val="none"/>
        </w:rPr>
      </w:pPr>
    </w:p>
    <w:p w14:paraId="4E7F872F">
      <w:pPr>
        <w:snapToGrid w:val="0"/>
        <w:ind w:firstLine="880"/>
        <w:jc w:val="center"/>
        <w:rPr>
          <w:rFonts w:hint="eastAsia" w:ascii="宋体" w:hAnsi="宋体"/>
          <w:color w:val="auto"/>
          <w:sz w:val="44"/>
          <w:szCs w:val="44"/>
          <w:highlight w:val="none"/>
        </w:rPr>
      </w:pPr>
    </w:p>
    <w:p w14:paraId="6198AD36">
      <w:pPr>
        <w:snapToGrid w:val="0"/>
        <w:ind w:firstLine="880"/>
        <w:jc w:val="center"/>
        <w:rPr>
          <w:rFonts w:hint="eastAsia" w:ascii="宋体" w:hAnsi="宋体"/>
          <w:color w:val="auto"/>
          <w:sz w:val="44"/>
          <w:szCs w:val="44"/>
          <w:highlight w:val="none"/>
        </w:rPr>
      </w:pPr>
    </w:p>
    <w:p w14:paraId="3A87191B">
      <w:pPr>
        <w:snapToGrid w:val="0"/>
        <w:ind w:firstLine="880"/>
        <w:jc w:val="center"/>
        <w:rPr>
          <w:rFonts w:hint="eastAsia" w:ascii="宋体" w:hAnsi="宋体"/>
          <w:color w:val="auto"/>
          <w:sz w:val="44"/>
          <w:szCs w:val="44"/>
          <w:highlight w:val="none"/>
        </w:rPr>
      </w:pPr>
    </w:p>
    <w:p w14:paraId="73E6D4EA">
      <w:pPr>
        <w:snapToGrid w:val="0"/>
        <w:ind w:firstLine="880"/>
        <w:jc w:val="center"/>
        <w:rPr>
          <w:rFonts w:hint="eastAsia" w:ascii="宋体" w:hAnsi="宋体"/>
          <w:color w:val="auto"/>
          <w:sz w:val="44"/>
          <w:szCs w:val="44"/>
          <w:highlight w:val="none"/>
        </w:rPr>
      </w:pPr>
    </w:p>
    <w:p w14:paraId="0D8A2522">
      <w:pPr>
        <w:snapToGrid w:val="0"/>
        <w:ind w:firstLine="880"/>
        <w:jc w:val="center"/>
        <w:rPr>
          <w:rFonts w:hint="eastAsia" w:ascii="宋体" w:hAnsi="宋体"/>
          <w:color w:val="auto"/>
          <w:sz w:val="44"/>
          <w:szCs w:val="44"/>
          <w:highlight w:val="none"/>
        </w:rPr>
      </w:pPr>
    </w:p>
    <w:p w14:paraId="634A6680">
      <w:pPr>
        <w:snapToGrid w:val="0"/>
        <w:ind w:firstLine="640"/>
        <w:jc w:val="center"/>
        <w:rPr>
          <w:rFonts w:hint="eastAsia" w:ascii="宋体" w:hAnsi="宋体"/>
          <w:color w:val="auto"/>
          <w:sz w:val="32"/>
          <w:szCs w:val="32"/>
          <w:highlight w:val="none"/>
        </w:rPr>
      </w:pPr>
    </w:p>
    <w:p w14:paraId="221709EF">
      <w:pPr>
        <w:snapToGrid w:val="0"/>
        <w:ind w:firstLine="640"/>
        <w:jc w:val="center"/>
        <w:rPr>
          <w:rFonts w:hint="eastAsia" w:ascii="宋体" w:hAnsi="宋体"/>
          <w:color w:val="auto"/>
          <w:sz w:val="32"/>
          <w:szCs w:val="32"/>
          <w:highlight w:val="none"/>
        </w:rPr>
      </w:pPr>
    </w:p>
    <w:p w14:paraId="49DD228B">
      <w:pPr>
        <w:snapToGrid w:val="0"/>
        <w:ind w:firstLine="640"/>
        <w:jc w:val="center"/>
        <w:rPr>
          <w:rFonts w:hint="eastAsia" w:ascii="宋体" w:hAnsi="宋体"/>
          <w:color w:val="auto"/>
          <w:sz w:val="32"/>
          <w:szCs w:val="32"/>
          <w:highlight w:val="none"/>
        </w:rPr>
      </w:pPr>
    </w:p>
    <w:p w14:paraId="6D334E24">
      <w:pPr>
        <w:snapToGrid w:val="0"/>
        <w:spacing w:line="360" w:lineRule="auto"/>
        <w:ind w:firstLine="560"/>
        <w:jc w:val="left"/>
        <w:rPr>
          <w:rFonts w:hint="eastAsia" w:ascii="黑体" w:hAnsi="宋体" w:eastAsia="黑体"/>
          <w:color w:val="auto"/>
          <w:sz w:val="28"/>
          <w:szCs w:val="28"/>
          <w:highlight w:val="none"/>
        </w:rPr>
      </w:pPr>
      <w:r>
        <w:rPr>
          <w:rFonts w:hint="eastAsia" w:ascii="黑体" w:hAnsi="宋体" w:eastAsia="黑体"/>
          <w:color w:val="auto"/>
          <w:sz w:val="28"/>
          <w:szCs w:val="28"/>
          <w:highlight w:val="none"/>
        </w:rPr>
        <w:t xml:space="preserve">申 </w:t>
      </w:r>
      <w:r>
        <w:rPr>
          <w:rFonts w:ascii="黑体" w:hAnsi="宋体" w:eastAsia="黑体"/>
          <w:color w:val="auto"/>
          <w:sz w:val="28"/>
          <w:szCs w:val="28"/>
          <w:highlight w:val="none"/>
        </w:rPr>
        <w:t xml:space="preserve">   </w:t>
      </w:r>
      <w:r>
        <w:rPr>
          <w:rFonts w:hint="eastAsia" w:ascii="黑体" w:hAnsi="宋体" w:eastAsia="黑体"/>
          <w:color w:val="auto"/>
          <w:sz w:val="28"/>
          <w:szCs w:val="28"/>
          <w:highlight w:val="none"/>
        </w:rPr>
        <w:t xml:space="preserve">请 </w:t>
      </w:r>
      <w:r>
        <w:rPr>
          <w:rFonts w:ascii="黑体" w:hAnsi="宋体" w:eastAsia="黑体"/>
          <w:color w:val="auto"/>
          <w:sz w:val="28"/>
          <w:szCs w:val="28"/>
          <w:highlight w:val="none"/>
        </w:rPr>
        <w:t xml:space="preserve">   </w:t>
      </w:r>
      <w:r>
        <w:rPr>
          <w:rFonts w:hint="eastAsia" w:ascii="黑体" w:hAnsi="宋体" w:eastAsia="黑体"/>
          <w:color w:val="auto"/>
          <w:sz w:val="28"/>
          <w:szCs w:val="28"/>
          <w:highlight w:val="none"/>
        </w:rPr>
        <w:t>人：</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（盖单位电子公章）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r>
        <w:rPr>
          <w:rFonts w:ascii="黑体" w:hAnsi="宋体" w:eastAsia="黑体"/>
          <w:color w:val="auto"/>
          <w:sz w:val="28"/>
          <w:szCs w:val="28"/>
          <w:highlight w:val="none"/>
          <w:u w:val="single"/>
        </w:rPr>
        <w:t xml:space="preserve"> </w:t>
      </w:r>
      <w:r>
        <w:rPr>
          <w:rFonts w:hint="eastAsia" w:ascii="黑体" w:hAnsi="宋体" w:eastAsia="黑体"/>
          <w:color w:val="auto"/>
          <w:sz w:val="28"/>
          <w:szCs w:val="28"/>
          <w:highlight w:val="none"/>
          <w:u w:val="single"/>
        </w:rPr>
        <w:t xml:space="preserve">  </w:t>
      </w:r>
    </w:p>
    <w:p w14:paraId="7128B22D">
      <w:pPr>
        <w:snapToGrid w:val="0"/>
        <w:spacing w:line="360" w:lineRule="auto"/>
        <w:ind w:firstLine="560"/>
        <w:rPr>
          <w:rFonts w:hint="eastAsia" w:ascii="黑体" w:hAnsi="宋体" w:eastAsia="黑体"/>
          <w:color w:val="auto"/>
          <w:sz w:val="28"/>
          <w:szCs w:val="28"/>
          <w:highlight w:val="none"/>
          <w:u w:val="single"/>
        </w:rPr>
      </w:pPr>
      <w:r>
        <w:rPr>
          <w:rFonts w:hint="eastAsia" w:ascii="黑体" w:hAnsi="宋体" w:eastAsia="黑体"/>
          <w:color w:val="auto"/>
          <w:sz w:val="28"/>
          <w:szCs w:val="28"/>
          <w:highlight w:val="none"/>
        </w:rPr>
        <w:t>法定代表人：</w:t>
      </w:r>
      <w:r>
        <w:rPr>
          <w:rFonts w:hint="eastAsia" w:ascii="黑体" w:hAnsi="宋体" w:eastAsia="黑体"/>
          <w:color w:val="auto"/>
          <w:sz w:val="28"/>
          <w:szCs w:val="28"/>
          <w:highlight w:val="none"/>
          <w:u w:val="single"/>
        </w:rPr>
        <w:t xml:space="preserve">         （签字或盖章）             </w:t>
      </w:r>
    </w:p>
    <w:p w14:paraId="12F669B1">
      <w:pPr>
        <w:snapToGrid w:val="0"/>
        <w:spacing w:line="360" w:lineRule="auto"/>
        <w:ind w:firstLine="560"/>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委托代理人（如委托）：</w:t>
      </w:r>
      <w:r>
        <w:rPr>
          <w:rFonts w:hint="eastAsia" w:ascii="黑体" w:hAnsi="宋体" w:eastAsia="黑体"/>
          <w:color w:val="auto"/>
          <w:sz w:val="28"/>
          <w:szCs w:val="28"/>
          <w:highlight w:val="none"/>
          <w:u w:val="single"/>
        </w:rPr>
        <w:t xml:space="preserve">        （签字或盖章）    </w:t>
      </w:r>
    </w:p>
    <w:p w14:paraId="7D26D9FA">
      <w:pPr>
        <w:snapToGrid w:val="0"/>
        <w:spacing w:line="360" w:lineRule="auto"/>
        <w:ind w:firstLine="560"/>
        <w:rPr>
          <w:rFonts w:hint="eastAsia" w:ascii="黑体" w:hAnsi="宋体" w:eastAsia="黑体"/>
          <w:color w:val="auto"/>
          <w:sz w:val="28"/>
          <w:szCs w:val="28"/>
          <w:highlight w:val="none"/>
        </w:rPr>
      </w:pPr>
    </w:p>
    <w:p w14:paraId="29C1C084">
      <w:pPr>
        <w:snapToGrid w:val="0"/>
        <w:spacing w:line="360" w:lineRule="auto"/>
        <w:ind w:firstLine="1439" w:firstLineChars="514"/>
        <w:rPr>
          <w:rFonts w:hint="eastAsia" w:ascii="黑体" w:hAnsi="宋体" w:eastAsia="黑体"/>
          <w:color w:val="auto"/>
          <w:sz w:val="28"/>
          <w:szCs w:val="28"/>
          <w:highlight w:val="none"/>
        </w:rPr>
      </w:pPr>
      <w:r>
        <w:rPr>
          <w:rFonts w:hint="eastAsia" w:ascii="黑体" w:hAnsi="宋体" w:eastAsia="黑体"/>
          <w:color w:val="auto"/>
          <w:sz w:val="28"/>
          <w:szCs w:val="28"/>
          <w:highlight w:val="none"/>
        </w:rPr>
        <w:t xml:space="preserve">            </w:t>
      </w:r>
    </w:p>
    <w:p w14:paraId="0AC859F3">
      <w:pPr>
        <w:snapToGrid w:val="0"/>
        <w:ind w:firstLine="560"/>
        <w:rPr>
          <w:rFonts w:hint="eastAsia" w:ascii="宋体" w:hAnsi="宋体"/>
          <w:color w:val="auto"/>
          <w:sz w:val="28"/>
          <w:szCs w:val="28"/>
          <w:highlight w:val="none"/>
        </w:rPr>
      </w:pPr>
    </w:p>
    <w:p w14:paraId="3C08BA17">
      <w:pPr>
        <w:snapToGrid w:val="0"/>
        <w:ind w:firstLine="643"/>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14:paraId="40F95153">
      <w:pPr>
        <w:snapToGrid w:val="0"/>
        <w:ind w:firstLine="640"/>
        <w:rPr>
          <w:rFonts w:hint="eastAsia" w:ascii="宋体" w:hAnsi="宋体"/>
          <w:color w:val="auto"/>
          <w:sz w:val="32"/>
          <w:szCs w:val="32"/>
          <w:highlight w:val="none"/>
        </w:rPr>
      </w:pPr>
    </w:p>
    <w:p w14:paraId="52AE4B3A">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一、资格预审申请函</w:t>
      </w:r>
    </w:p>
    <w:p w14:paraId="1B66AC32">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二、法定代表人身份证明</w:t>
      </w:r>
    </w:p>
    <w:p w14:paraId="45A41849">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三、授权委托书（如委托）</w:t>
      </w:r>
    </w:p>
    <w:p w14:paraId="0A2B682C">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四、联合体协议书（如有）</w:t>
      </w:r>
    </w:p>
    <w:p w14:paraId="652CA2E1">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五、申请人基本情况表</w:t>
      </w:r>
    </w:p>
    <w:p w14:paraId="075A1B27">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六、项目管理机构</w:t>
      </w:r>
    </w:p>
    <w:p w14:paraId="786C189F">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七、近年完成的类似工程业绩情况表</w:t>
      </w:r>
    </w:p>
    <w:p w14:paraId="3697BA53">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八、承诺书</w:t>
      </w:r>
    </w:p>
    <w:p w14:paraId="07F38A8B">
      <w:pPr>
        <w:snapToGrid w:val="0"/>
        <w:spacing w:line="480" w:lineRule="auto"/>
        <w:ind w:firstLine="480" w:firstLineChars="200"/>
        <w:rPr>
          <w:rFonts w:hint="eastAsia" w:ascii="宋体" w:hAnsi="宋体"/>
          <w:color w:val="auto"/>
          <w:sz w:val="24"/>
          <w:highlight w:val="none"/>
        </w:rPr>
      </w:pPr>
      <w:r>
        <w:rPr>
          <w:rFonts w:hint="eastAsia" w:ascii="宋体" w:hAnsi="宋体"/>
          <w:color w:val="auto"/>
          <w:sz w:val="24"/>
          <w:highlight w:val="none"/>
        </w:rPr>
        <w:t>九、其他材料</w:t>
      </w:r>
    </w:p>
    <w:p w14:paraId="29856529">
      <w:pPr>
        <w:ind w:firstLine="420" w:firstLineChars="200"/>
        <w:rPr>
          <w:rFonts w:hint="eastAsia" w:ascii="宋体" w:hAnsi="宋体" w:cs="Arial"/>
          <w:color w:val="auto"/>
          <w:szCs w:val="21"/>
          <w:highlight w:val="none"/>
        </w:rPr>
      </w:pPr>
    </w:p>
    <w:p w14:paraId="6971BC36">
      <w:pPr>
        <w:snapToGrid w:val="0"/>
        <w:ind w:firstLine="560"/>
        <w:rPr>
          <w:rFonts w:hint="eastAsia" w:ascii="宋体" w:hAnsi="宋体"/>
          <w:color w:val="auto"/>
          <w:szCs w:val="21"/>
          <w:highlight w:val="none"/>
        </w:rPr>
      </w:pPr>
      <w:r>
        <w:rPr>
          <w:rFonts w:ascii="宋体" w:hAnsi="宋体"/>
          <w:color w:val="auto"/>
          <w:szCs w:val="21"/>
          <w:highlight w:val="none"/>
        </w:rPr>
        <w:br w:type="page"/>
      </w:r>
    </w:p>
    <w:p w14:paraId="3448004C">
      <w:pPr>
        <w:snapToGrid w:val="0"/>
        <w:spacing w:line="360" w:lineRule="auto"/>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一、资格预审申请函</w:t>
      </w:r>
    </w:p>
    <w:p w14:paraId="6EB85BEC">
      <w:pPr>
        <w:spacing w:line="400" w:lineRule="exact"/>
        <w:ind w:firstLine="480"/>
        <w:rPr>
          <w:rFonts w:hint="eastAsia" w:ascii="宋体" w:hAnsi="宋体" w:cs="宋体"/>
          <w:color w:val="auto"/>
          <w:sz w:val="24"/>
          <w:highlight w:val="none"/>
        </w:rPr>
      </w:pPr>
    </w:p>
    <w:p w14:paraId="2AE5FF1C">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u w:val="single"/>
        </w:rPr>
        <w:t>（招标人名称）</w:t>
      </w:r>
      <w:r>
        <w:rPr>
          <w:rFonts w:hint="eastAsia" w:ascii="宋体" w:hAnsi="宋体" w:cs="宋体"/>
          <w:color w:val="auto"/>
          <w:sz w:val="24"/>
          <w:highlight w:val="none"/>
        </w:rPr>
        <w:t>：</w:t>
      </w:r>
    </w:p>
    <w:p w14:paraId="0E2B059F">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1、按照资格预审文件要求，我方</w:t>
      </w:r>
      <w:r>
        <w:rPr>
          <w:rFonts w:hint="eastAsia" w:ascii="宋体" w:hAnsi="宋体" w:cs="宋体"/>
          <w:color w:val="auto"/>
          <w:sz w:val="24"/>
          <w:highlight w:val="none"/>
          <w:u w:val="single"/>
        </w:rPr>
        <w:t>（申请人）</w:t>
      </w:r>
      <w:r>
        <w:rPr>
          <w:rFonts w:hint="eastAsia" w:ascii="宋体" w:hAnsi="宋体" w:cs="宋体"/>
          <w:color w:val="auto"/>
          <w:sz w:val="24"/>
          <w:highlight w:val="none"/>
        </w:rPr>
        <w:t>递交的资格预审申请文件及有关资料，用于你方</w:t>
      </w:r>
      <w:r>
        <w:rPr>
          <w:rFonts w:hint="eastAsia" w:ascii="宋体" w:hAnsi="宋体" w:cs="宋体"/>
          <w:color w:val="auto"/>
          <w:sz w:val="24"/>
          <w:highlight w:val="none"/>
          <w:u w:val="single"/>
        </w:rPr>
        <w:t>（招标人）</w:t>
      </w:r>
      <w:r>
        <w:rPr>
          <w:rFonts w:hint="eastAsia" w:ascii="宋体" w:hAnsi="宋体" w:cs="宋体"/>
          <w:color w:val="auto"/>
          <w:sz w:val="24"/>
          <w:highlight w:val="none"/>
        </w:rPr>
        <w:t>审查我方参加</w:t>
      </w:r>
      <w:r>
        <w:rPr>
          <w:rFonts w:hint="eastAsia" w:ascii="宋体" w:hAnsi="宋体" w:cs="宋体"/>
          <w:color w:val="auto"/>
          <w:sz w:val="24"/>
          <w:highlight w:val="none"/>
          <w:u w:val="single"/>
        </w:rPr>
        <w:t>（招标项目及标段）</w:t>
      </w:r>
      <w:r>
        <w:rPr>
          <w:rFonts w:hint="eastAsia" w:ascii="宋体" w:hAnsi="宋体" w:cs="宋体"/>
          <w:color w:val="auto"/>
          <w:sz w:val="24"/>
          <w:highlight w:val="none"/>
        </w:rPr>
        <w:t>施工招标的投标资格。</w:t>
      </w:r>
    </w:p>
    <w:p w14:paraId="68ED00DE">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2、我方的资格预审申请文件包含第二章“申请人须知”第3.1款规定的全部内容。</w:t>
      </w:r>
    </w:p>
    <w:p w14:paraId="21B33F35">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3、我方接受你方的授权代表进行调查，以审核我方提交的文件和资料，并通过我方的客户，澄清资格预审申请文件中有关财务和技术方面的情况。</w:t>
      </w:r>
    </w:p>
    <w:p w14:paraId="7270549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4、你方授权代表可通过下列人员得到进一步的资料：</w:t>
      </w:r>
    </w:p>
    <w:tbl>
      <w:tblPr>
        <w:tblStyle w:val="2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4870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vAlign w:val="center"/>
          </w:tcPr>
          <w:p w14:paraId="5D01A548">
            <w:pPr>
              <w:spacing w:line="400" w:lineRule="exact"/>
              <w:ind w:firstLine="480"/>
              <w:jc w:val="center"/>
              <w:rPr>
                <w:rFonts w:hint="eastAsia" w:ascii="宋体" w:hAnsi="宋体" w:cs="宋体"/>
                <w:color w:val="auto"/>
                <w:sz w:val="24"/>
                <w:highlight w:val="none"/>
              </w:rPr>
            </w:pPr>
            <w:r>
              <w:rPr>
                <w:rFonts w:hint="eastAsia" w:ascii="宋体" w:hAnsi="宋体" w:cs="宋体"/>
                <w:color w:val="auto"/>
                <w:sz w:val="24"/>
                <w:highlight w:val="none"/>
              </w:rPr>
              <w:t>一般情况和经营、管理方面</w:t>
            </w:r>
          </w:p>
        </w:tc>
      </w:tr>
      <w:tr w14:paraId="343B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7ACA4FA0">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联系人1：</w:t>
            </w:r>
          </w:p>
        </w:tc>
        <w:tc>
          <w:tcPr>
            <w:tcW w:w="4643" w:type="dxa"/>
          </w:tcPr>
          <w:p w14:paraId="689FFE6E">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59F8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1AF689B5">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联系人2：</w:t>
            </w:r>
          </w:p>
        </w:tc>
        <w:tc>
          <w:tcPr>
            <w:tcW w:w="4643" w:type="dxa"/>
          </w:tcPr>
          <w:p w14:paraId="3BD6A00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5C14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vAlign w:val="bottom"/>
          </w:tcPr>
          <w:p w14:paraId="01D39FAC">
            <w:pPr>
              <w:spacing w:line="400" w:lineRule="exact"/>
              <w:ind w:firstLine="480"/>
              <w:jc w:val="center"/>
              <w:rPr>
                <w:rFonts w:hint="eastAsia" w:ascii="宋体" w:hAnsi="宋体" w:cs="宋体"/>
                <w:color w:val="auto"/>
                <w:sz w:val="24"/>
                <w:highlight w:val="none"/>
              </w:rPr>
            </w:pPr>
            <w:r>
              <w:rPr>
                <w:rFonts w:hint="eastAsia" w:ascii="宋体" w:hAnsi="宋体" w:cs="宋体"/>
                <w:color w:val="auto"/>
                <w:sz w:val="24"/>
                <w:highlight w:val="none"/>
              </w:rPr>
              <w:t>有关人员方面</w:t>
            </w:r>
          </w:p>
        </w:tc>
      </w:tr>
      <w:tr w14:paraId="3C37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05ABE402">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联系人1：</w:t>
            </w:r>
          </w:p>
        </w:tc>
        <w:tc>
          <w:tcPr>
            <w:tcW w:w="4643" w:type="dxa"/>
          </w:tcPr>
          <w:p w14:paraId="2AA8020C">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37E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2C9A3765">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联系人2：</w:t>
            </w:r>
          </w:p>
        </w:tc>
        <w:tc>
          <w:tcPr>
            <w:tcW w:w="4643" w:type="dxa"/>
          </w:tcPr>
          <w:p w14:paraId="625D51F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3CF2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vAlign w:val="center"/>
          </w:tcPr>
          <w:p w14:paraId="20E0FA6B">
            <w:pPr>
              <w:spacing w:line="400" w:lineRule="exact"/>
              <w:ind w:firstLine="480"/>
              <w:jc w:val="center"/>
              <w:rPr>
                <w:rFonts w:hint="eastAsia" w:ascii="宋体" w:hAnsi="宋体" w:cs="宋体"/>
                <w:color w:val="auto"/>
                <w:sz w:val="24"/>
                <w:highlight w:val="none"/>
              </w:rPr>
            </w:pPr>
            <w:r>
              <w:rPr>
                <w:rFonts w:hint="eastAsia" w:ascii="宋体" w:hAnsi="宋体" w:cs="宋体"/>
                <w:color w:val="auto"/>
                <w:sz w:val="24"/>
                <w:highlight w:val="none"/>
              </w:rPr>
              <w:t>有关技术方面</w:t>
            </w:r>
          </w:p>
        </w:tc>
      </w:tr>
      <w:tr w14:paraId="606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7E1CE22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联系人1：</w:t>
            </w:r>
          </w:p>
        </w:tc>
        <w:tc>
          <w:tcPr>
            <w:tcW w:w="4643" w:type="dxa"/>
          </w:tcPr>
          <w:p w14:paraId="568CEE9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4CA1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2CD9F4F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联系人2：</w:t>
            </w:r>
          </w:p>
        </w:tc>
        <w:tc>
          <w:tcPr>
            <w:tcW w:w="4643" w:type="dxa"/>
          </w:tcPr>
          <w:p w14:paraId="13EC865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2385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6" w:type="dxa"/>
            <w:gridSpan w:val="2"/>
            <w:vAlign w:val="center"/>
          </w:tcPr>
          <w:p w14:paraId="4C01ED05">
            <w:pPr>
              <w:spacing w:line="400" w:lineRule="exact"/>
              <w:ind w:firstLine="480"/>
              <w:jc w:val="center"/>
              <w:rPr>
                <w:rFonts w:hint="eastAsia" w:ascii="宋体" w:hAnsi="宋体" w:cs="宋体"/>
                <w:color w:val="auto"/>
                <w:sz w:val="24"/>
                <w:highlight w:val="none"/>
              </w:rPr>
            </w:pPr>
            <w:r>
              <w:rPr>
                <w:rFonts w:hint="eastAsia" w:ascii="宋体" w:hAnsi="宋体" w:cs="宋体"/>
                <w:color w:val="auto"/>
                <w:sz w:val="24"/>
                <w:highlight w:val="none"/>
              </w:rPr>
              <w:t>有关财务方面</w:t>
            </w:r>
          </w:p>
        </w:tc>
      </w:tr>
      <w:tr w14:paraId="6EE4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30EF2C1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联系人1：</w:t>
            </w:r>
          </w:p>
        </w:tc>
        <w:tc>
          <w:tcPr>
            <w:tcW w:w="4643" w:type="dxa"/>
          </w:tcPr>
          <w:p w14:paraId="7183C1E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r w14:paraId="106B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14:paraId="399C3856">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联系人2：</w:t>
            </w:r>
          </w:p>
        </w:tc>
        <w:tc>
          <w:tcPr>
            <w:tcW w:w="4643" w:type="dxa"/>
          </w:tcPr>
          <w:p w14:paraId="35122FDE">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电话：</w:t>
            </w:r>
          </w:p>
        </w:tc>
      </w:tr>
    </w:tbl>
    <w:p w14:paraId="310236C6">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、我方在此声明，所递交的资格预审申请文件及有关资料内容完整、真实和准确。</w:t>
      </w:r>
    </w:p>
    <w:p w14:paraId="1CCD955E">
      <w:pPr>
        <w:spacing w:line="360" w:lineRule="auto"/>
        <w:ind w:right="600" w:firstLine="3240" w:firstLineChars="1350"/>
        <w:rPr>
          <w:rFonts w:hint="eastAsia" w:ascii="宋体" w:hAnsi="宋体" w:cs="宋体"/>
          <w:color w:val="auto"/>
          <w:sz w:val="24"/>
          <w:highlight w:val="none"/>
        </w:rPr>
      </w:pPr>
    </w:p>
    <w:p w14:paraId="57F83A37">
      <w:pPr>
        <w:spacing w:line="360" w:lineRule="auto"/>
        <w:ind w:right="-172" w:firstLine="480"/>
        <w:rPr>
          <w:rFonts w:hint="eastAsia" w:ascii="宋体" w:hAnsi="宋体" w:cs="宋体"/>
          <w:color w:val="auto"/>
          <w:sz w:val="24"/>
          <w:highlight w:val="none"/>
        </w:rPr>
      </w:pPr>
      <w:r>
        <w:rPr>
          <w:rFonts w:hint="eastAsia" w:ascii="宋体" w:hAnsi="宋体" w:cs="宋体"/>
          <w:color w:val="auto"/>
          <w:sz w:val="24"/>
          <w:highlight w:val="none"/>
        </w:rPr>
        <w:t>申请人：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8DEF506">
      <w:pPr>
        <w:spacing w:line="360" w:lineRule="auto"/>
        <w:ind w:right="-172" w:firstLine="48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31123C">
      <w:pPr>
        <w:spacing w:line="360" w:lineRule="auto"/>
        <w:ind w:right="-172" w:firstLine="48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14:paraId="7D6488EC">
      <w:pPr>
        <w:ind w:firstLine="540"/>
        <w:rPr>
          <w:rFonts w:hint="eastAsia" w:ascii="宋体" w:hAnsi="宋体"/>
          <w:color w:val="auto"/>
          <w:sz w:val="27"/>
          <w:szCs w:val="27"/>
          <w:highlight w:val="none"/>
        </w:rPr>
      </w:pPr>
      <w:r>
        <w:rPr>
          <w:rFonts w:ascii="宋体" w:hAnsi="宋体"/>
          <w:color w:val="auto"/>
          <w:sz w:val="27"/>
          <w:szCs w:val="27"/>
          <w:highlight w:val="none"/>
        </w:rPr>
        <w:br w:type="page"/>
      </w:r>
      <w:bookmarkStart w:id="138" w:name="_Toc294186060"/>
      <w:bookmarkStart w:id="139" w:name="_Toc294206743"/>
    </w:p>
    <w:p w14:paraId="2EEC2A1A">
      <w:pPr>
        <w:snapToGrid w:val="0"/>
        <w:spacing w:line="360" w:lineRule="auto"/>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二、法定代表人身份证明</w:t>
      </w:r>
      <w:bookmarkEnd w:id="138"/>
      <w:bookmarkEnd w:id="139"/>
    </w:p>
    <w:p w14:paraId="4CAD6E07">
      <w:pPr>
        <w:snapToGrid w:val="0"/>
        <w:spacing w:line="480" w:lineRule="auto"/>
        <w:ind w:firstLine="560"/>
        <w:rPr>
          <w:rFonts w:hint="eastAsia" w:ascii="宋体" w:hAnsi="宋体"/>
          <w:color w:val="auto"/>
          <w:szCs w:val="21"/>
          <w:highlight w:val="none"/>
        </w:rPr>
      </w:pPr>
    </w:p>
    <w:p w14:paraId="496113EB">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申 请 人：</w:t>
      </w:r>
      <w:r>
        <w:rPr>
          <w:rFonts w:hint="eastAsia" w:ascii="宋体" w:hAnsi="宋体"/>
          <w:color w:val="auto"/>
          <w:szCs w:val="21"/>
          <w:highlight w:val="none"/>
          <w:u w:val="single"/>
        </w:rPr>
        <w:t xml:space="preserve">                                                       </w:t>
      </w:r>
    </w:p>
    <w:p w14:paraId="483E59DD">
      <w:pPr>
        <w:snapToGrid w:val="0"/>
        <w:spacing w:line="480" w:lineRule="auto"/>
        <w:ind w:firstLine="560"/>
        <w:rPr>
          <w:rFonts w:hint="eastAsia"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49642924">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58AC0F1">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0642C076">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07DB8B8E">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6C8106D9">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（申请人名称）的法定代表人。</w:t>
      </w:r>
    </w:p>
    <w:p w14:paraId="0A25EB8A">
      <w:pPr>
        <w:snapToGrid w:val="0"/>
        <w:spacing w:line="480" w:lineRule="auto"/>
        <w:ind w:firstLine="560"/>
        <w:rPr>
          <w:rFonts w:hint="eastAsia" w:ascii="宋体" w:hAnsi="宋体"/>
          <w:color w:val="auto"/>
          <w:szCs w:val="21"/>
          <w:highlight w:val="none"/>
        </w:rPr>
      </w:pPr>
      <w:r>
        <w:rPr>
          <w:rFonts w:hint="eastAsia" w:ascii="宋体" w:hAnsi="宋体"/>
          <w:color w:val="auto"/>
          <w:szCs w:val="21"/>
          <w:highlight w:val="none"/>
        </w:rPr>
        <w:t>特此证明。</w:t>
      </w:r>
    </w:p>
    <w:p w14:paraId="66AD493D">
      <w:pPr>
        <w:widowControl/>
        <w:topLinePunct/>
        <w:spacing w:line="460" w:lineRule="atLeast"/>
        <w:ind w:firstLine="420" w:firstLineChars="200"/>
        <w:rPr>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14:paraId="16C4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vAlign w:val="center"/>
          </w:tcPr>
          <w:p w14:paraId="79C88530">
            <w:pPr>
              <w:snapToGrid w:val="0"/>
              <w:spacing w:line="360" w:lineRule="auto"/>
              <w:ind w:firstLine="560"/>
              <w:jc w:val="center"/>
              <w:rPr>
                <w:color w:val="auto"/>
                <w:szCs w:val="21"/>
                <w:highlight w:val="none"/>
              </w:rPr>
            </w:pPr>
          </w:p>
        </w:tc>
      </w:tr>
    </w:tbl>
    <w:p w14:paraId="644FFB8C">
      <w:pPr>
        <w:snapToGrid w:val="0"/>
        <w:ind w:firstLine="560"/>
        <w:rPr>
          <w:rFonts w:hint="eastAsia" w:ascii="宋体" w:hAnsi="宋体"/>
          <w:color w:val="auto"/>
          <w:szCs w:val="21"/>
          <w:highlight w:val="none"/>
        </w:rPr>
      </w:pPr>
    </w:p>
    <w:p w14:paraId="66BD841C">
      <w:pPr>
        <w:snapToGrid w:val="0"/>
        <w:ind w:firstLine="560"/>
        <w:rPr>
          <w:rFonts w:hint="eastAsia" w:ascii="宋体" w:hAnsi="宋体"/>
          <w:color w:val="auto"/>
          <w:szCs w:val="21"/>
          <w:highlight w:val="none"/>
        </w:rPr>
      </w:pPr>
    </w:p>
    <w:p w14:paraId="08725BAF">
      <w:pPr>
        <w:snapToGrid w:val="0"/>
        <w:ind w:firstLine="560"/>
        <w:rPr>
          <w:rFonts w:hint="eastAsia" w:ascii="宋体" w:hAnsi="宋体"/>
          <w:color w:val="auto"/>
          <w:szCs w:val="21"/>
          <w:highlight w:val="none"/>
        </w:rPr>
      </w:pPr>
    </w:p>
    <w:p w14:paraId="75E4A54B">
      <w:pPr>
        <w:spacing w:line="360" w:lineRule="auto"/>
        <w:ind w:right="-172" w:firstLine="960" w:firstLineChars="400"/>
        <w:rPr>
          <w:rFonts w:hint="eastAsia" w:ascii="宋体" w:hAnsi="宋体" w:cs="宋体"/>
          <w:color w:val="auto"/>
          <w:sz w:val="24"/>
          <w:highlight w:val="none"/>
        </w:rPr>
      </w:pPr>
      <w:r>
        <w:rPr>
          <w:rFonts w:hint="eastAsia" w:ascii="宋体" w:hAnsi="宋体" w:cs="宋体"/>
          <w:color w:val="auto"/>
          <w:sz w:val="24"/>
          <w:highlight w:val="none"/>
        </w:rPr>
        <w:t>申请人：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8E63965">
      <w:pPr>
        <w:spacing w:line="360" w:lineRule="auto"/>
        <w:ind w:right="-172" w:firstLine="960" w:firstLineChars="4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502BA33">
      <w:pPr>
        <w:spacing w:line="360" w:lineRule="auto"/>
        <w:ind w:right="-172" w:firstLine="960" w:firstLineChars="4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14:paraId="67E87F3B">
      <w:pPr>
        <w:snapToGrid w:val="0"/>
        <w:ind w:firstLine="560"/>
        <w:rPr>
          <w:rFonts w:hint="eastAsia" w:ascii="宋体" w:hAnsi="宋体"/>
          <w:color w:val="auto"/>
          <w:szCs w:val="21"/>
          <w:highlight w:val="none"/>
        </w:rPr>
      </w:pPr>
    </w:p>
    <w:p w14:paraId="7388CBE5">
      <w:pPr>
        <w:widowControl/>
        <w:topLinePunct/>
        <w:spacing w:line="440" w:lineRule="atLeast"/>
        <w:ind w:firstLine="560"/>
        <w:jc w:val="left"/>
        <w:rPr>
          <w:color w:val="auto"/>
          <w:kern w:val="0"/>
          <w:highlight w:val="none"/>
        </w:rPr>
      </w:pPr>
    </w:p>
    <w:p w14:paraId="2608D57B">
      <w:pPr>
        <w:ind w:firstLine="560"/>
        <w:jc w:val="center"/>
        <w:rPr>
          <w:rFonts w:hint="eastAsia" w:ascii="黑体" w:hAnsi="宋体" w:eastAsia="黑体"/>
          <w:color w:val="auto"/>
          <w:sz w:val="28"/>
          <w:szCs w:val="28"/>
          <w:highlight w:val="none"/>
        </w:rPr>
      </w:pPr>
      <w:r>
        <w:rPr>
          <w:rFonts w:ascii="宋体" w:hAnsi="宋体"/>
          <w:color w:val="auto"/>
          <w:szCs w:val="21"/>
          <w:highlight w:val="none"/>
        </w:rPr>
        <w:br w:type="page"/>
      </w:r>
      <w:bookmarkStart w:id="140" w:name="_Toc294186061"/>
      <w:bookmarkStart w:id="141" w:name="_Toc294206744"/>
      <w:r>
        <w:rPr>
          <w:rFonts w:hint="eastAsia" w:ascii="黑体" w:hAnsi="宋体" w:eastAsia="黑体"/>
          <w:color w:val="auto"/>
          <w:sz w:val="28"/>
          <w:szCs w:val="28"/>
          <w:highlight w:val="none"/>
        </w:rPr>
        <w:t>三、授权委托书</w:t>
      </w:r>
      <w:bookmarkEnd w:id="140"/>
      <w:bookmarkEnd w:id="141"/>
      <w:r>
        <w:rPr>
          <w:rFonts w:hint="eastAsia" w:ascii="黑体" w:hAnsi="宋体" w:eastAsia="黑体"/>
          <w:color w:val="auto"/>
          <w:sz w:val="28"/>
          <w:szCs w:val="28"/>
          <w:highlight w:val="none"/>
        </w:rPr>
        <w:t>（如委托）</w:t>
      </w:r>
    </w:p>
    <w:p w14:paraId="48332400">
      <w:pPr>
        <w:ind w:firstLine="540"/>
        <w:rPr>
          <w:rFonts w:hint="eastAsia" w:ascii="宋体" w:hAnsi="宋体"/>
          <w:color w:val="auto"/>
          <w:sz w:val="27"/>
          <w:szCs w:val="27"/>
          <w:highlight w:val="none"/>
        </w:rPr>
      </w:pPr>
    </w:p>
    <w:p w14:paraId="12685A5B">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（申请人名称）的法定代表人，现委托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（招标项目及标段）施工招标资格预审申请文件，其法律后果由我方承担。</w:t>
      </w:r>
    </w:p>
    <w:p w14:paraId="63993DCE">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705C88E">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5B2EE542">
      <w:pPr>
        <w:widowControl/>
        <w:topLinePunct/>
        <w:spacing w:line="440" w:lineRule="exact"/>
        <w:ind w:firstLine="560"/>
        <w:rPr>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14:paraId="5F5D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307" w:type="dxa"/>
            <w:vAlign w:val="center"/>
          </w:tcPr>
          <w:p w14:paraId="7F53D00B">
            <w:pPr>
              <w:snapToGrid w:val="0"/>
              <w:spacing w:line="360" w:lineRule="auto"/>
              <w:ind w:firstLine="560"/>
              <w:jc w:val="center"/>
              <w:rPr>
                <w:color w:val="auto"/>
                <w:szCs w:val="21"/>
                <w:highlight w:val="none"/>
              </w:rPr>
            </w:pPr>
          </w:p>
        </w:tc>
      </w:tr>
    </w:tbl>
    <w:p w14:paraId="40CB8D86">
      <w:pPr>
        <w:widowControl/>
        <w:topLinePunct/>
        <w:spacing w:line="440" w:lineRule="atLeast"/>
        <w:ind w:firstLine="560"/>
        <w:rPr>
          <w:color w:val="auto"/>
          <w:kern w:val="0"/>
          <w:szCs w:val="21"/>
          <w:highlight w:val="none"/>
        </w:rPr>
      </w:pP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14:paraId="4C55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307" w:type="dxa"/>
            <w:vAlign w:val="center"/>
          </w:tcPr>
          <w:p w14:paraId="02E8D79E">
            <w:pPr>
              <w:snapToGrid w:val="0"/>
              <w:spacing w:line="360" w:lineRule="auto"/>
              <w:ind w:firstLine="560"/>
              <w:jc w:val="center"/>
              <w:rPr>
                <w:color w:val="auto"/>
                <w:szCs w:val="21"/>
                <w:highlight w:val="none"/>
              </w:rPr>
            </w:pPr>
          </w:p>
        </w:tc>
      </w:tr>
    </w:tbl>
    <w:p w14:paraId="5D67D715">
      <w:pPr>
        <w:snapToGrid w:val="0"/>
        <w:spacing w:line="360" w:lineRule="auto"/>
        <w:ind w:firstLine="420" w:firstLineChars="200"/>
        <w:rPr>
          <w:rFonts w:hint="eastAsia" w:ascii="宋体" w:hAnsi="宋体"/>
          <w:color w:val="auto"/>
          <w:szCs w:val="21"/>
          <w:highlight w:val="none"/>
        </w:rPr>
      </w:pPr>
    </w:p>
    <w:p w14:paraId="53B611D3">
      <w:pPr>
        <w:snapToGrid w:val="0"/>
        <w:spacing w:line="360" w:lineRule="auto"/>
        <w:ind w:right="420" w:firstLine="3675" w:firstLineChars="1750"/>
        <w:rPr>
          <w:rFonts w:hint="eastAsia" w:ascii="宋体" w:hAnsi="宋体"/>
          <w:color w:val="auto"/>
          <w:szCs w:val="21"/>
          <w:highlight w:val="none"/>
        </w:rPr>
      </w:pPr>
    </w:p>
    <w:p w14:paraId="44CD0678">
      <w:pPr>
        <w:spacing w:line="360" w:lineRule="auto"/>
        <w:ind w:right="-172" w:firstLine="960" w:firstLineChars="400"/>
        <w:rPr>
          <w:rFonts w:hint="eastAsia" w:ascii="宋体" w:hAnsi="宋体" w:cs="宋体"/>
          <w:color w:val="auto"/>
          <w:sz w:val="24"/>
          <w:highlight w:val="none"/>
        </w:rPr>
      </w:pPr>
      <w:r>
        <w:rPr>
          <w:rFonts w:hint="eastAsia" w:ascii="宋体" w:hAnsi="宋体" w:cs="宋体"/>
          <w:color w:val="auto"/>
          <w:sz w:val="24"/>
          <w:highlight w:val="none"/>
        </w:rPr>
        <w:t>申请人：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11BCBB3">
      <w:pPr>
        <w:spacing w:line="360" w:lineRule="auto"/>
        <w:ind w:right="-172" w:firstLine="960" w:firstLineChars="4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2305852">
      <w:pPr>
        <w:spacing w:line="360" w:lineRule="auto"/>
        <w:ind w:right="-172" w:firstLine="960" w:firstLineChars="400"/>
        <w:rPr>
          <w:rFonts w:hint="eastAsia"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p>
    <w:p w14:paraId="35DEB355">
      <w:pPr>
        <w:ind w:firstLine="562"/>
        <w:rPr>
          <w:rFonts w:hint="eastAsia" w:hAnsi="宋体" w:cs="Arial"/>
          <w:b/>
          <w:color w:val="auto"/>
          <w:szCs w:val="21"/>
          <w:highlight w:val="none"/>
        </w:rPr>
      </w:pPr>
    </w:p>
    <w:p w14:paraId="0501D910">
      <w:pPr>
        <w:ind w:firstLine="562"/>
        <w:rPr>
          <w:rFonts w:hint="eastAsia" w:hAnsi="宋体" w:cs="Arial"/>
          <w:b/>
          <w:color w:val="auto"/>
          <w:szCs w:val="21"/>
          <w:highlight w:val="none"/>
        </w:rPr>
      </w:pPr>
    </w:p>
    <w:p w14:paraId="6694B2A4">
      <w:pPr>
        <w:pStyle w:val="39"/>
        <w:spacing w:line="500" w:lineRule="exact"/>
        <w:ind w:firstLine="211" w:firstLineChars="100"/>
        <w:rPr>
          <w:rFonts w:ascii="Arial" w:hAnsi="Arial" w:eastAsia="新宋体" w:cs="Arial"/>
          <w:b/>
          <w:color w:val="auto"/>
          <w:sz w:val="21"/>
          <w:highlight w:val="none"/>
        </w:rPr>
      </w:pPr>
    </w:p>
    <w:p w14:paraId="07FE6F37">
      <w:pPr>
        <w:ind w:firstLine="560"/>
        <w:rPr>
          <w:rFonts w:hint="eastAsia" w:ascii="宋体" w:hAnsi="宋体"/>
          <w:color w:val="auto"/>
          <w:szCs w:val="21"/>
          <w:highlight w:val="none"/>
        </w:rPr>
      </w:pPr>
    </w:p>
    <w:p w14:paraId="3001486F">
      <w:pPr>
        <w:ind w:firstLine="560"/>
        <w:rPr>
          <w:rFonts w:hint="eastAsia" w:ascii="宋体" w:hAnsi="宋体"/>
          <w:color w:val="auto"/>
          <w:szCs w:val="21"/>
          <w:highlight w:val="none"/>
        </w:rPr>
      </w:pPr>
      <w:r>
        <w:rPr>
          <w:rFonts w:ascii="宋体" w:hAnsi="宋体"/>
          <w:color w:val="auto"/>
          <w:szCs w:val="21"/>
          <w:highlight w:val="none"/>
        </w:rPr>
        <w:br w:type="page"/>
      </w:r>
      <w:bookmarkStart w:id="142" w:name="_Toc294206745"/>
      <w:bookmarkStart w:id="143" w:name="_Toc294186062"/>
    </w:p>
    <w:p w14:paraId="13F67761">
      <w:pPr>
        <w:snapToGrid w:val="0"/>
        <w:spacing w:line="360" w:lineRule="auto"/>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四、</w:t>
      </w:r>
      <w:bookmarkEnd w:id="142"/>
      <w:bookmarkEnd w:id="143"/>
      <w:bookmarkStart w:id="144" w:name="_Hlk58188481"/>
      <w:r>
        <w:rPr>
          <w:rFonts w:hint="eastAsia" w:ascii="黑体" w:hAnsi="宋体" w:eastAsia="黑体"/>
          <w:color w:val="auto"/>
          <w:sz w:val="28"/>
          <w:szCs w:val="28"/>
          <w:highlight w:val="none"/>
        </w:rPr>
        <w:t>联合体协议书</w:t>
      </w:r>
      <w:r>
        <w:rPr>
          <w:rFonts w:hint="eastAsia" w:ascii="黑体" w:hAnsi="黑体" w:eastAsia="黑体"/>
          <w:color w:val="auto"/>
          <w:sz w:val="24"/>
          <w:highlight w:val="none"/>
        </w:rPr>
        <w:t>（联合体投标适用）</w:t>
      </w:r>
      <w:bookmarkEnd w:id="144"/>
    </w:p>
    <w:p w14:paraId="2A1B1958">
      <w:pPr>
        <w:spacing w:line="360" w:lineRule="auto"/>
        <w:ind w:firstLine="540"/>
        <w:rPr>
          <w:rFonts w:hint="eastAsia" w:ascii="宋体" w:hAnsi="宋体"/>
          <w:color w:val="auto"/>
          <w:sz w:val="27"/>
          <w:szCs w:val="27"/>
          <w:highlight w:val="none"/>
        </w:rPr>
      </w:pPr>
    </w:p>
    <w:p w14:paraId="523BE958">
      <w:pPr>
        <w:snapToGrid w:val="0"/>
        <w:spacing w:line="360" w:lineRule="auto"/>
        <w:ind w:firstLine="560"/>
        <w:rPr>
          <w:rFonts w:hint="eastAsia" w:ascii="宋体" w:hAnsi="宋体"/>
          <w:color w:val="auto"/>
          <w:szCs w:val="21"/>
          <w:highlight w:val="none"/>
        </w:rPr>
      </w:pPr>
      <w:r>
        <w:rPr>
          <w:rFonts w:hint="eastAsia" w:ascii="宋体" w:hAnsi="宋体"/>
          <w:color w:val="auto"/>
          <w:szCs w:val="21"/>
          <w:highlight w:val="none"/>
        </w:rPr>
        <w:t>牵头人名称：</w:t>
      </w:r>
      <w:r>
        <w:rPr>
          <w:rFonts w:hint="eastAsia" w:ascii="宋体" w:hAnsi="宋体"/>
          <w:color w:val="auto"/>
          <w:szCs w:val="21"/>
          <w:highlight w:val="none"/>
          <w:u w:val="single"/>
        </w:rPr>
        <w:t xml:space="preserve">                                                        </w:t>
      </w:r>
    </w:p>
    <w:p w14:paraId="7667E717">
      <w:pPr>
        <w:snapToGrid w:val="0"/>
        <w:spacing w:line="360" w:lineRule="auto"/>
        <w:ind w:firstLine="56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26605199">
      <w:pPr>
        <w:snapToGrid w:val="0"/>
        <w:spacing w:line="360" w:lineRule="auto"/>
        <w:ind w:firstLine="700"/>
        <w:rPr>
          <w:rFonts w:hint="eastAsia" w:ascii="宋体" w:hAnsi="宋体"/>
          <w:color w:val="auto"/>
          <w:szCs w:val="21"/>
          <w:highlight w:val="none"/>
        </w:rPr>
      </w:pPr>
      <w:r>
        <w:rPr>
          <w:rFonts w:hint="eastAsia" w:ascii="宋体" w:hAnsi="宋体"/>
          <w:color w:val="auto"/>
          <w:spacing w:val="35"/>
          <w:kern w:val="0"/>
          <w:szCs w:val="21"/>
          <w:highlight w:val="none"/>
        </w:rPr>
        <w:t>法定住</w:t>
      </w:r>
      <w:r>
        <w:rPr>
          <w:rFonts w:hint="eastAsia" w:ascii="宋体" w:hAnsi="宋体"/>
          <w:color w:val="auto"/>
          <w:kern w:val="0"/>
          <w:szCs w:val="21"/>
          <w:highlight w:val="none"/>
        </w:rPr>
        <w:t>所</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C106866">
      <w:pPr>
        <w:snapToGrid w:val="0"/>
        <w:spacing w:line="360" w:lineRule="auto"/>
        <w:ind w:firstLine="560"/>
        <w:rPr>
          <w:rFonts w:hint="eastAsia" w:ascii="宋体" w:hAnsi="宋体"/>
          <w:color w:val="auto"/>
          <w:szCs w:val="21"/>
          <w:highlight w:val="none"/>
        </w:rPr>
      </w:pPr>
    </w:p>
    <w:p w14:paraId="64A1EB41">
      <w:pPr>
        <w:snapToGrid w:val="0"/>
        <w:spacing w:line="360" w:lineRule="auto"/>
        <w:ind w:firstLine="560"/>
        <w:rPr>
          <w:rFonts w:hint="eastAsia" w:ascii="宋体" w:hAnsi="宋体"/>
          <w:color w:val="auto"/>
          <w:szCs w:val="21"/>
          <w:highlight w:val="none"/>
        </w:rPr>
      </w:pPr>
      <w:r>
        <w:rPr>
          <w:rFonts w:hint="eastAsia" w:ascii="宋体" w:hAnsi="宋体"/>
          <w:color w:val="auto"/>
          <w:szCs w:val="21"/>
          <w:highlight w:val="none"/>
        </w:rPr>
        <w:t>成员二名称：</w:t>
      </w:r>
      <w:r>
        <w:rPr>
          <w:rFonts w:hint="eastAsia" w:ascii="宋体" w:hAnsi="宋体"/>
          <w:color w:val="auto"/>
          <w:szCs w:val="21"/>
          <w:highlight w:val="none"/>
          <w:u w:val="single"/>
        </w:rPr>
        <w:t xml:space="preserve">                                                        </w:t>
      </w:r>
    </w:p>
    <w:p w14:paraId="6C09E03D">
      <w:pPr>
        <w:snapToGrid w:val="0"/>
        <w:spacing w:line="360" w:lineRule="auto"/>
        <w:ind w:firstLine="56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277C0B54">
      <w:pPr>
        <w:snapToGrid w:val="0"/>
        <w:spacing w:line="360" w:lineRule="auto"/>
        <w:ind w:firstLine="700"/>
        <w:rPr>
          <w:rFonts w:hint="eastAsia" w:ascii="宋体" w:hAnsi="宋体"/>
          <w:color w:val="auto"/>
          <w:szCs w:val="21"/>
          <w:highlight w:val="none"/>
        </w:rPr>
      </w:pPr>
      <w:r>
        <w:rPr>
          <w:rFonts w:hint="eastAsia" w:ascii="宋体" w:hAnsi="宋体"/>
          <w:color w:val="auto"/>
          <w:spacing w:val="35"/>
          <w:kern w:val="0"/>
          <w:szCs w:val="21"/>
          <w:highlight w:val="none"/>
        </w:rPr>
        <w:t>法定住</w:t>
      </w:r>
      <w:r>
        <w:rPr>
          <w:rFonts w:hint="eastAsia" w:ascii="宋体" w:hAnsi="宋体"/>
          <w:color w:val="auto"/>
          <w:kern w:val="0"/>
          <w:szCs w:val="21"/>
          <w:highlight w:val="none"/>
        </w:rPr>
        <w:t>所</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3B1DB9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68BC3C7E">
      <w:pPr>
        <w:snapToGrid w:val="0"/>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鉴于上述各成员单位经过友好协商，自愿组成联合体，共同参加</w:t>
      </w:r>
      <w:r>
        <w:rPr>
          <w:rFonts w:hint="eastAsia" w:ascii="宋体" w:hAnsi="宋体"/>
          <w:color w:val="auto"/>
          <w:szCs w:val="21"/>
          <w:highlight w:val="none"/>
          <w:u w:val="single"/>
        </w:rPr>
        <w:t xml:space="preserve">                </w:t>
      </w:r>
      <w:r>
        <w:rPr>
          <w:rFonts w:hint="eastAsia" w:ascii="宋体" w:hAnsi="宋体"/>
          <w:color w:val="auto"/>
          <w:szCs w:val="21"/>
          <w:highlight w:val="none"/>
        </w:rPr>
        <w:t>（招标人名称）（以下简称招标人）</w:t>
      </w:r>
      <w:r>
        <w:rPr>
          <w:rFonts w:hint="eastAsia" w:ascii="宋体" w:hAnsi="宋体"/>
          <w:color w:val="auto"/>
          <w:szCs w:val="21"/>
          <w:highlight w:val="none"/>
          <w:u w:val="single"/>
        </w:rPr>
        <w:t xml:space="preserve">         </w:t>
      </w:r>
      <w:r>
        <w:rPr>
          <w:rFonts w:hint="eastAsia" w:ascii="宋体" w:hAnsi="宋体"/>
          <w:color w:val="auto"/>
          <w:szCs w:val="21"/>
          <w:highlight w:val="none"/>
        </w:rPr>
        <w:t>（招标项目及标段）（以下简称本招标项目）的施工招标资格预审。现就联合体资格预审申请事宜订立如下协议：</w:t>
      </w:r>
    </w:p>
    <w:p w14:paraId="0E09BDFE">
      <w:pPr>
        <w:snapToGrid w:val="0"/>
        <w:spacing w:line="480" w:lineRule="auto"/>
        <w:ind w:firstLine="359" w:firstLineChars="171"/>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（某成员单位名称）为牵头人。</w:t>
      </w:r>
    </w:p>
    <w:p w14:paraId="5F69E1CA">
      <w:pPr>
        <w:snapToGrid w:val="0"/>
        <w:spacing w:line="480" w:lineRule="auto"/>
        <w:ind w:firstLine="359" w:firstLineChars="171"/>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在本</w:t>
      </w:r>
      <w:r>
        <w:rPr>
          <w:rFonts w:hint="eastAsia" w:ascii="宋体" w:hAnsi="宋体"/>
          <w:color w:val="auto"/>
          <w:szCs w:val="21"/>
          <w:highlight w:val="none"/>
        </w:rPr>
        <w:t>招标项目资格预审、投标</w:t>
      </w:r>
      <w:r>
        <w:rPr>
          <w:rFonts w:ascii="宋体" w:hAnsi="宋体"/>
          <w:color w:val="auto"/>
          <w:szCs w:val="21"/>
          <w:highlight w:val="none"/>
        </w:rPr>
        <w:t>阶段，联合体牵头人合法代表联合体各</w:t>
      </w:r>
      <w:r>
        <w:rPr>
          <w:rFonts w:hint="eastAsia" w:ascii="宋体" w:hAnsi="宋体"/>
          <w:color w:val="auto"/>
          <w:szCs w:val="21"/>
          <w:highlight w:val="none"/>
        </w:rPr>
        <w:t>方</w:t>
      </w:r>
      <w:r>
        <w:rPr>
          <w:rFonts w:ascii="宋体" w:hAnsi="宋体"/>
          <w:color w:val="auto"/>
          <w:szCs w:val="21"/>
          <w:highlight w:val="none"/>
        </w:rPr>
        <w:t>负责本</w:t>
      </w:r>
      <w:r>
        <w:rPr>
          <w:rFonts w:hint="eastAsia" w:ascii="宋体" w:hAnsi="宋体"/>
          <w:color w:val="auto"/>
          <w:szCs w:val="21"/>
          <w:highlight w:val="none"/>
        </w:rPr>
        <w:t>工程资格预审申请</w:t>
      </w:r>
      <w:r>
        <w:rPr>
          <w:rFonts w:ascii="宋体" w:hAnsi="宋体"/>
          <w:color w:val="auto"/>
          <w:szCs w:val="21"/>
          <w:highlight w:val="none"/>
        </w:rPr>
        <w:t>文件</w:t>
      </w:r>
      <w:r>
        <w:rPr>
          <w:rFonts w:hint="eastAsia" w:ascii="宋体" w:hAnsi="宋体"/>
          <w:color w:val="auto"/>
          <w:szCs w:val="21"/>
          <w:highlight w:val="none"/>
        </w:rPr>
        <w:t>、投标文件</w:t>
      </w:r>
      <w:r>
        <w:rPr>
          <w:rFonts w:ascii="宋体" w:hAnsi="宋体"/>
          <w:color w:val="auto"/>
          <w:szCs w:val="21"/>
          <w:highlight w:val="none"/>
        </w:rPr>
        <w:t>编制活动，代表联合体提交和接收相关的资料、信息及指示，并处理与</w:t>
      </w:r>
      <w:r>
        <w:rPr>
          <w:rFonts w:hint="eastAsia" w:ascii="宋体" w:hAnsi="宋体"/>
          <w:color w:val="auto"/>
          <w:szCs w:val="21"/>
          <w:highlight w:val="none"/>
        </w:rPr>
        <w:t>资格预审申请、</w:t>
      </w:r>
      <w:r>
        <w:rPr>
          <w:rFonts w:ascii="宋体" w:hAnsi="宋体"/>
          <w:color w:val="auto"/>
          <w:szCs w:val="21"/>
          <w:highlight w:val="none"/>
        </w:rPr>
        <w:t>投标和中标有关的一切事务；联合体中标后，联合体牵头人负责合同订立和合同实施阶段的主办、组织和协调工作。</w:t>
      </w:r>
    </w:p>
    <w:p w14:paraId="1B5E94DD">
      <w:pPr>
        <w:snapToGrid w:val="0"/>
        <w:spacing w:line="480" w:lineRule="auto"/>
        <w:ind w:firstLine="359" w:firstLineChars="171"/>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联合体将严格按照</w:t>
      </w:r>
      <w:r>
        <w:rPr>
          <w:rFonts w:hint="eastAsia" w:ascii="宋体" w:hAnsi="宋体"/>
          <w:color w:val="auto"/>
          <w:szCs w:val="21"/>
          <w:highlight w:val="none"/>
        </w:rPr>
        <w:t>资格预审</w:t>
      </w:r>
      <w:r>
        <w:rPr>
          <w:rFonts w:ascii="宋体" w:hAnsi="宋体"/>
          <w:color w:val="auto"/>
          <w:szCs w:val="21"/>
          <w:highlight w:val="none"/>
        </w:rPr>
        <w:t>文件</w:t>
      </w:r>
      <w:r>
        <w:rPr>
          <w:rFonts w:hint="eastAsia" w:ascii="宋体" w:hAnsi="宋体"/>
          <w:color w:val="auto"/>
          <w:szCs w:val="21"/>
          <w:highlight w:val="none"/>
        </w:rPr>
        <w:t>、招标文件</w:t>
      </w:r>
      <w:r>
        <w:rPr>
          <w:rFonts w:ascii="宋体" w:hAnsi="宋体"/>
          <w:color w:val="auto"/>
          <w:szCs w:val="21"/>
          <w:highlight w:val="none"/>
        </w:rPr>
        <w:t>的各项要求，递交</w:t>
      </w:r>
      <w:r>
        <w:rPr>
          <w:rFonts w:hint="eastAsia" w:ascii="宋体" w:hAnsi="宋体"/>
          <w:color w:val="auto"/>
          <w:szCs w:val="21"/>
          <w:highlight w:val="none"/>
        </w:rPr>
        <w:t>资格预审申请</w:t>
      </w:r>
      <w:r>
        <w:rPr>
          <w:rFonts w:ascii="宋体" w:hAnsi="宋体"/>
          <w:color w:val="auto"/>
          <w:szCs w:val="21"/>
          <w:highlight w:val="none"/>
        </w:rPr>
        <w:t>文件</w:t>
      </w:r>
      <w:r>
        <w:rPr>
          <w:rFonts w:hint="eastAsia" w:ascii="宋体" w:hAnsi="宋体"/>
          <w:color w:val="auto"/>
          <w:szCs w:val="21"/>
          <w:highlight w:val="none"/>
        </w:rPr>
        <w:t>、投标文件</w:t>
      </w:r>
      <w:r>
        <w:rPr>
          <w:rFonts w:ascii="宋体" w:hAnsi="宋体"/>
          <w:color w:val="auto"/>
          <w:szCs w:val="21"/>
          <w:highlight w:val="none"/>
        </w:rPr>
        <w:t>，履行</w:t>
      </w:r>
      <w:r>
        <w:rPr>
          <w:rFonts w:hint="eastAsia" w:ascii="宋体" w:hAnsi="宋体"/>
          <w:color w:val="auto"/>
          <w:szCs w:val="21"/>
          <w:highlight w:val="none"/>
        </w:rPr>
        <w:t>资格预审申请、</w:t>
      </w:r>
      <w:r>
        <w:rPr>
          <w:rFonts w:ascii="宋体" w:hAnsi="宋体"/>
          <w:color w:val="auto"/>
          <w:szCs w:val="21"/>
          <w:highlight w:val="none"/>
        </w:rPr>
        <w:t>投标义务和中标后的合同，共同承担合同规定的一切义务和责任，联合体各成员单位按照内部职责的部分，承担各自所负的责任和风险，并向招标人承担连带责任。</w:t>
      </w:r>
    </w:p>
    <w:p w14:paraId="48629E75">
      <w:pPr>
        <w:snapToGrid w:val="0"/>
        <w:spacing w:line="480" w:lineRule="auto"/>
        <w:ind w:firstLine="359" w:firstLineChars="171"/>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联合体各</w:t>
      </w:r>
      <w:r>
        <w:rPr>
          <w:rFonts w:hint="eastAsia" w:ascii="宋体" w:hAnsi="宋体"/>
          <w:color w:val="auto"/>
          <w:szCs w:val="21"/>
          <w:highlight w:val="none"/>
        </w:rPr>
        <w:t>方</w:t>
      </w:r>
      <w:r>
        <w:rPr>
          <w:rFonts w:ascii="宋体" w:hAnsi="宋体"/>
          <w:color w:val="auto"/>
          <w:szCs w:val="21"/>
          <w:highlight w:val="none"/>
        </w:rPr>
        <w:t>单位内部的职责分工如下：</w:t>
      </w:r>
      <w:r>
        <w:rPr>
          <w:rFonts w:ascii="宋体" w:hAnsi="宋体"/>
          <w:color w:val="auto"/>
          <w:szCs w:val="21"/>
          <w:highlight w:val="none"/>
          <w:u w:val="single"/>
        </w:rPr>
        <w:t xml:space="preserve">                </w:t>
      </w:r>
      <w:r>
        <w:rPr>
          <w:rFonts w:ascii="宋体" w:hAnsi="宋体"/>
          <w:color w:val="auto"/>
          <w:szCs w:val="21"/>
          <w:highlight w:val="none"/>
        </w:rPr>
        <w:t>。按照本条上述分工，联合体成员单位各自所承担的合同工作量比例</w:t>
      </w:r>
      <w:r>
        <w:rPr>
          <w:rFonts w:hint="eastAsia" w:ascii="宋体" w:hAnsi="宋体"/>
          <w:color w:val="auto"/>
          <w:szCs w:val="21"/>
          <w:highlight w:val="none"/>
        </w:rPr>
        <w:t>（100%）</w:t>
      </w:r>
      <w:r>
        <w:rPr>
          <w:rFonts w:ascii="宋体" w:hAnsi="宋体"/>
          <w:color w:val="auto"/>
          <w:szCs w:val="21"/>
          <w:highlight w:val="none"/>
        </w:rPr>
        <w:t>如下：</w:t>
      </w:r>
      <w:r>
        <w:rPr>
          <w:rFonts w:ascii="宋体" w:hAnsi="宋体"/>
          <w:color w:val="auto"/>
          <w:szCs w:val="21"/>
          <w:highlight w:val="none"/>
          <w:u w:val="single"/>
        </w:rPr>
        <w:t xml:space="preserve">              </w:t>
      </w:r>
      <w:r>
        <w:rPr>
          <w:rFonts w:ascii="宋体" w:hAnsi="宋体"/>
          <w:color w:val="auto"/>
          <w:szCs w:val="21"/>
          <w:highlight w:val="none"/>
        </w:rPr>
        <w:t>。</w:t>
      </w:r>
    </w:p>
    <w:p w14:paraId="6E40AD41">
      <w:pPr>
        <w:snapToGrid w:val="0"/>
        <w:spacing w:line="480" w:lineRule="auto"/>
        <w:ind w:firstLine="359" w:firstLineChars="171"/>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ascii="宋体" w:hAnsi="宋体"/>
          <w:color w:val="auto"/>
          <w:szCs w:val="21"/>
          <w:highlight w:val="none"/>
        </w:rPr>
        <w:t>投标工作和联合体在中标后工程实施过程中的有关费用按各自承担的工作量分摊。</w:t>
      </w:r>
    </w:p>
    <w:p w14:paraId="5D95DD2A">
      <w:pPr>
        <w:snapToGrid w:val="0"/>
        <w:spacing w:line="480" w:lineRule="auto"/>
        <w:ind w:firstLine="359" w:firstLineChars="171"/>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联合体中标后，本</w:t>
      </w:r>
      <w:r>
        <w:rPr>
          <w:rFonts w:hint="eastAsia" w:ascii="宋体" w:hAnsi="宋体"/>
          <w:color w:val="auto"/>
          <w:szCs w:val="21"/>
          <w:highlight w:val="none"/>
        </w:rPr>
        <w:t>联合体协议书</w:t>
      </w:r>
      <w:r>
        <w:rPr>
          <w:rFonts w:ascii="宋体" w:hAnsi="宋体"/>
          <w:color w:val="auto"/>
          <w:szCs w:val="21"/>
          <w:highlight w:val="none"/>
        </w:rPr>
        <w:t>是合同的附件，对联合体各</w:t>
      </w:r>
      <w:r>
        <w:rPr>
          <w:rFonts w:hint="eastAsia" w:ascii="宋体" w:hAnsi="宋体"/>
          <w:color w:val="auto"/>
          <w:szCs w:val="21"/>
          <w:highlight w:val="none"/>
        </w:rPr>
        <w:t>方</w:t>
      </w:r>
      <w:r>
        <w:rPr>
          <w:rFonts w:ascii="宋体" w:hAnsi="宋体"/>
          <w:color w:val="auto"/>
          <w:szCs w:val="21"/>
          <w:highlight w:val="none"/>
        </w:rPr>
        <w:t>单位有合同约束力。</w:t>
      </w:r>
    </w:p>
    <w:p w14:paraId="7CC1B9B6">
      <w:pPr>
        <w:snapToGrid w:val="0"/>
        <w:spacing w:line="480" w:lineRule="auto"/>
        <w:ind w:firstLine="359" w:firstLineChars="171"/>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本协议书自签署之日起生效，联合体</w:t>
      </w:r>
      <w:r>
        <w:rPr>
          <w:rFonts w:hint="eastAsia" w:ascii="宋体" w:hAnsi="宋体"/>
          <w:color w:val="auto"/>
          <w:szCs w:val="21"/>
          <w:highlight w:val="none"/>
        </w:rPr>
        <w:t>未通过资格预审或者</w:t>
      </w:r>
      <w:r>
        <w:rPr>
          <w:rFonts w:ascii="宋体" w:hAnsi="宋体"/>
          <w:color w:val="auto"/>
          <w:szCs w:val="21"/>
          <w:highlight w:val="none"/>
        </w:rPr>
        <w:t>未中标或者中标时合同履行完毕后自动失效。</w:t>
      </w:r>
    </w:p>
    <w:p w14:paraId="0FDFC97D">
      <w:pPr>
        <w:snapToGrid w:val="0"/>
        <w:spacing w:line="480" w:lineRule="auto"/>
        <w:ind w:firstLine="359" w:firstLineChars="171"/>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本协议书一式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份，联合体成员和招标人各执一份。</w:t>
      </w:r>
    </w:p>
    <w:p w14:paraId="3DBEB7F9">
      <w:pPr>
        <w:ind w:firstLine="560"/>
        <w:rPr>
          <w:rFonts w:hint="eastAsia" w:ascii="宋体" w:hAnsi="宋体"/>
          <w:color w:val="auto"/>
          <w:szCs w:val="21"/>
          <w:highlight w:val="none"/>
        </w:rPr>
      </w:pPr>
      <w:bookmarkStart w:id="145" w:name="_Toc294206746"/>
      <w:bookmarkStart w:id="146" w:name="_Toc294186063"/>
    </w:p>
    <w:p w14:paraId="4B437E5B">
      <w:pPr>
        <w:snapToGrid w:val="0"/>
        <w:spacing w:line="360" w:lineRule="auto"/>
        <w:ind w:firstLine="560"/>
        <w:jc w:val="center"/>
        <w:rPr>
          <w:rFonts w:hint="eastAsia" w:ascii="黑体" w:hAnsi="宋体" w:eastAsia="黑体"/>
          <w:color w:val="auto"/>
          <w:sz w:val="28"/>
          <w:szCs w:val="28"/>
          <w:highlight w:val="none"/>
        </w:rPr>
      </w:pPr>
      <w:r>
        <w:rPr>
          <w:rFonts w:hint="eastAsia" w:ascii="黑体" w:hAnsi="宋体" w:eastAsia="黑体"/>
          <w:color w:val="auto"/>
          <w:sz w:val="28"/>
          <w:szCs w:val="28"/>
          <w:highlight w:val="none"/>
        </w:rPr>
        <w:t>五、申请人基本情况表</w:t>
      </w:r>
      <w:bookmarkEnd w:id="145"/>
      <w:bookmarkEnd w:id="146"/>
    </w:p>
    <w:p w14:paraId="3A2406BD">
      <w:pPr>
        <w:ind w:firstLine="560"/>
        <w:rPr>
          <w:rFonts w:hint="eastAsia" w:ascii="宋体" w:hAnsi="宋体"/>
          <w:color w:val="auto"/>
          <w:szCs w:val="21"/>
          <w:highlight w:val="none"/>
        </w:rPr>
      </w:pPr>
    </w:p>
    <w:tbl>
      <w:tblPr>
        <w:tblStyle w:val="20"/>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344"/>
        <w:gridCol w:w="812"/>
        <w:gridCol w:w="361"/>
        <w:gridCol w:w="758"/>
        <w:gridCol w:w="141"/>
        <w:gridCol w:w="207"/>
        <w:gridCol w:w="982"/>
        <w:gridCol w:w="208"/>
        <w:gridCol w:w="419"/>
        <w:gridCol w:w="672"/>
        <w:gridCol w:w="1297"/>
      </w:tblGrid>
      <w:tr w14:paraId="4C6F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7A638427">
            <w:pPr>
              <w:snapToGrid w:val="0"/>
              <w:jc w:val="center"/>
              <w:rPr>
                <w:rFonts w:hint="eastAsia" w:ascii="宋体" w:hAnsi="宋体"/>
                <w:color w:val="auto"/>
                <w:szCs w:val="21"/>
                <w:highlight w:val="none"/>
              </w:rPr>
            </w:pPr>
            <w:r>
              <w:rPr>
                <w:rFonts w:hint="eastAsia" w:ascii="宋体" w:hAnsi="宋体"/>
                <w:color w:val="auto"/>
                <w:szCs w:val="21"/>
                <w:highlight w:val="none"/>
              </w:rPr>
              <w:t>申请人名称</w:t>
            </w:r>
          </w:p>
        </w:tc>
        <w:tc>
          <w:tcPr>
            <w:tcW w:w="7201" w:type="dxa"/>
            <w:gridSpan w:val="11"/>
            <w:vAlign w:val="center"/>
          </w:tcPr>
          <w:p w14:paraId="1036C05C">
            <w:pPr>
              <w:snapToGrid w:val="0"/>
              <w:ind w:firstLine="560"/>
              <w:jc w:val="center"/>
              <w:rPr>
                <w:rFonts w:hint="eastAsia" w:ascii="宋体" w:hAnsi="宋体"/>
                <w:color w:val="auto"/>
                <w:szCs w:val="21"/>
                <w:highlight w:val="none"/>
              </w:rPr>
            </w:pPr>
          </w:p>
        </w:tc>
      </w:tr>
      <w:tr w14:paraId="6DB8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46592E47">
            <w:pPr>
              <w:snapToGrid w:val="0"/>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3416" w:type="dxa"/>
            <w:gridSpan w:val="5"/>
            <w:vAlign w:val="center"/>
          </w:tcPr>
          <w:p w14:paraId="3DB91738">
            <w:pPr>
              <w:snapToGrid w:val="0"/>
              <w:ind w:firstLine="420" w:firstLineChars="200"/>
              <w:jc w:val="center"/>
              <w:rPr>
                <w:rFonts w:hint="eastAsia" w:ascii="宋体" w:hAnsi="宋体"/>
                <w:color w:val="auto"/>
                <w:szCs w:val="21"/>
                <w:highlight w:val="none"/>
              </w:rPr>
            </w:pPr>
          </w:p>
        </w:tc>
        <w:tc>
          <w:tcPr>
            <w:tcW w:w="1189" w:type="dxa"/>
            <w:gridSpan w:val="2"/>
            <w:vAlign w:val="center"/>
          </w:tcPr>
          <w:p w14:paraId="136836BA">
            <w:pPr>
              <w:snapToGrid w:val="0"/>
              <w:rPr>
                <w:rFonts w:hint="eastAsia" w:ascii="宋体" w:hAnsi="宋体"/>
                <w:color w:val="auto"/>
                <w:szCs w:val="21"/>
                <w:highlight w:val="none"/>
              </w:rPr>
            </w:pPr>
            <w:r>
              <w:rPr>
                <w:rFonts w:hint="eastAsia" w:ascii="宋体" w:hAnsi="宋体"/>
                <w:color w:val="auto"/>
                <w:szCs w:val="21"/>
                <w:highlight w:val="none"/>
              </w:rPr>
              <w:t>邮政编码</w:t>
            </w:r>
          </w:p>
        </w:tc>
        <w:tc>
          <w:tcPr>
            <w:tcW w:w="2596" w:type="dxa"/>
            <w:gridSpan w:val="4"/>
            <w:vAlign w:val="center"/>
          </w:tcPr>
          <w:p w14:paraId="6364BEEF">
            <w:pPr>
              <w:snapToGrid w:val="0"/>
              <w:ind w:firstLine="420" w:firstLineChars="200"/>
              <w:jc w:val="center"/>
              <w:rPr>
                <w:rFonts w:hint="eastAsia" w:ascii="宋体" w:hAnsi="宋体"/>
                <w:color w:val="auto"/>
                <w:szCs w:val="21"/>
                <w:highlight w:val="none"/>
              </w:rPr>
            </w:pPr>
          </w:p>
        </w:tc>
      </w:tr>
      <w:tr w14:paraId="12E4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restart"/>
            <w:vAlign w:val="center"/>
          </w:tcPr>
          <w:p w14:paraId="1E80CB9C">
            <w:pPr>
              <w:snapToGrid w:val="0"/>
              <w:jc w:val="center"/>
              <w:rPr>
                <w:rFonts w:hint="eastAsia" w:ascii="宋体" w:hAnsi="宋体"/>
                <w:color w:val="auto"/>
                <w:szCs w:val="21"/>
                <w:highlight w:val="none"/>
              </w:rPr>
            </w:pPr>
            <w:r>
              <w:rPr>
                <w:rFonts w:hint="eastAsia" w:ascii="宋体" w:hAnsi="宋体"/>
                <w:color w:val="auto"/>
                <w:szCs w:val="21"/>
                <w:highlight w:val="none"/>
              </w:rPr>
              <w:t>联系方式</w:t>
            </w:r>
          </w:p>
        </w:tc>
        <w:tc>
          <w:tcPr>
            <w:tcW w:w="1344" w:type="dxa"/>
            <w:vAlign w:val="center"/>
          </w:tcPr>
          <w:p w14:paraId="30915F43">
            <w:pPr>
              <w:snapToGrid w:val="0"/>
              <w:jc w:val="center"/>
              <w:rPr>
                <w:rFonts w:hint="eastAsia" w:ascii="宋体" w:hAnsi="宋体"/>
                <w:color w:val="auto"/>
                <w:szCs w:val="21"/>
                <w:highlight w:val="none"/>
              </w:rPr>
            </w:pPr>
            <w:r>
              <w:rPr>
                <w:rFonts w:hint="eastAsia" w:ascii="宋体" w:hAnsi="宋体"/>
                <w:color w:val="auto"/>
                <w:szCs w:val="21"/>
                <w:highlight w:val="none"/>
              </w:rPr>
              <w:t>联系人</w:t>
            </w:r>
          </w:p>
        </w:tc>
        <w:tc>
          <w:tcPr>
            <w:tcW w:w="2072" w:type="dxa"/>
            <w:gridSpan w:val="4"/>
            <w:vAlign w:val="center"/>
          </w:tcPr>
          <w:p w14:paraId="64158A27">
            <w:pPr>
              <w:snapToGrid w:val="0"/>
              <w:ind w:firstLine="420" w:firstLineChars="200"/>
              <w:jc w:val="center"/>
              <w:rPr>
                <w:rFonts w:hint="eastAsia" w:ascii="宋体" w:hAnsi="宋体"/>
                <w:color w:val="auto"/>
                <w:szCs w:val="21"/>
                <w:highlight w:val="none"/>
              </w:rPr>
            </w:pPr>
          </w:p>
        </w:tc>
        <w:tc>
          <w:tcPr>
            <w:tcW w:w="1189" w:type="dxa"/>
            <w:gridSpan w:val="2"/>
            <w:vAlign w:val="center"/>
          </w:tcPr>
          <w:p w14:paraId="2BC28EA1">
            <w:pPr>
              <w:snapToGrid w:val="0"/>
              <w:rPr>
                <w:rFonts w:hint="eastAsia" w:ascii="宋体" w:hAnsi="宋体"/>
                <w:color w:val="auto"/>
                <w:szCs w:val="21"/>
                <w:highlight w:val="none"/>
              </w:rPr>
            </w:pPr>
            <w:r>
              <w:rPr>
                <w:rFonts w:hint="eastAsia" w:ascii="宋体" w:hAnsi="宋体"/>
                <w:color w:val="auto"/>
                <w:szCs w:val="21"/>
                <w:highlight w:val="none"/>
              </w:rPr>
              <w:t>电    话</w:t>
            </w:r>
          </w:p>
        </w:tc>
        <w:tc>
          <w:tcPr>
            <w:tcW w:w="2596" w:type="dxa"/>
            <w:gridSpan w:val="4"/>
            <w:vAlign w:val="center"/>
          </w:tcPr>
          <w:p w14:paraId="5927A97F">
            <w:pPr>
              <w:snapToGrid w:val="0"/>
              <w:ind w:firstLine="420" w:firstLineChars="200"/>
              <w:jc w:val="center"/>
              <w:rPr>
                <w:rFonts w:hint="eastAsia" w:ascii="宋体" w:hAnsi="宋体"/>
                <w:color w:val="auto"/>
                <w:szCs w:val="21"/>
                <w:highlight w:val="none"/>
              </w:rPr>
            </w:pPr>
          </w:p>
        </w:tc>
      </w:tr>
      <w:tr w14:paraId="307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Merge w:val="continue"/>
            <w:vAlign w:val="center"/>
          </w:tcPr>
          <w:p w14:paraId="54BFC02D">
            <w:pPr>
              <w:snapToGrid w:val="0"/>
              <w:jc w:val="center"/>
              <w:rPr>
                <w:rFonts w:hint="eastAsia" w:ascii="宋体" w:hAnsi="宋体"/>
                <w:color w:val="auto"/>
                <w:szCs w:val="21"/>
                <w:highlight w:val="none"/>
              </w:rPr>
            </w:pPr>
          </w:p>
        </w:tc>
        <w:tc>
          <w:tcPr>
            <w:tcW w:w="1344" w:type="dxa"/>
            <w:vAlign w:val="center"/>
          </w:tcPr>
          <w:p w14:paraId="43DAA83C">
            <w:pPr>
              <w:snapToGrid w:val="0"/>
              <w:jc w:val="center"/>
              <w:rPr>
                <w:rFonts w:hint="eastAsia" w:ascii="宋体" w:hAnsi="宋体"/>
                <w:color w:val="auto"/>
                <w:szCs w:val="21"/>
                <w:highlight w:val="none"/>
              </w:rPr>
            </w:pPr>
            <w:r>
              <w:rPr>
                <w:rFonts w:hint="eastAsia" w:ascii="宋体" w:hAnsi="宋体"/>
                <w:color w:val="auto"/>
                <w:szCs w:val="21"/>
                <w:highlight w:val="none"/>
              </w:rPr>
              <w:t>传  真</w:t>
            </w:r>
          </w:p>
        </w:tc>
        <w:tc>
          <w:tcPr>
            <w:tcW w:w="2072" w:type="dxa"/>
            <w:gridSpan w:val="4"/>
            <w:vAlign w:val="center"/>
          </w:tcPr>
          <w:p w14:paraId="10D1A3B6">
            <w:pPr>
              <w:snapToGrid w:val="0"/>
              <w:ind w:firstLine="420" w:firstLineChars="200"/>
              <w:jc w:val="center"/>
              <w:rPr>
                <w:rFonts w:hint="eastAsia" w:ascii="宋体" w:hAnsi="宋体"/>
                <w:color w:val="auto"/>
                <w:szCs w:val="21"/>
                <w:highlight w:val="none"/>
              </w:rPr>
            </w:pPr>
          </w:p>
        </w:tc>
        <w:tc>
          <w:tcPr>
            <w:tcW w:w="1189" w:type="dxa"/>
            <w:gridSpan w:val="2"/>
            <w:vAlign w:val="center"/>
          </w:tcPr>
          <w:p w14:paraId="13643885">
            <w:pPr>
              <w:snapToGrid w:val="0"/>
              <w:rPr>
                <w:rFonts w:hint="eastAsia" w:ascii="宋体" w:hAnsi="宋体"/>
                <w:color w:val="auto"/>
                <w:szCs w:val="21"/>
                <w:highlight w:val="none"/>
              </w:rPr>
            </w:pPr>
            <w:r>
              <w:rPr>
                <w:rFonts w:hint="eastAsia" w:ascii="宋体" w:hAnsi="宋体"/>
                <w:color w:val="auto"/>
                <w:szCs w:val="21"/>
                <w:highlight w:val="none"/>
              </w:rPr>
              <w:t>网    址</w:t>
            </w:r>
          </w:p>
        </w:tc>
        <w:tc>
          <w:tcPr>
            <w:tcW w:w="2596" w:type="dxa"/>
            <w:gridSpan w:val="4"/>
            <w:vAlign w:val="center"/>
          </w:tcPr>
          <w:p w14:paraId="6A6A3DE9">
            <w:pPr>
              <w:snapToGrid w:val="0"/>
              <w:ind w:firstLine="420" w:firstLineChars="200"/>
              <w:jc w:val="center"/>
              <w:rPr>
                <w:rFonts w:hint="eastAsia" w:ascii="宋体" w:hAnsi="宋体"/>
                <w:color w:val="auto"/>
                <w:szCs w:val="21"/>
                <w:highlight w:val="none"/>
              </w:rPr>
            </w:pPr>
          </w:p>
        </w:tc>
      </w:tr>
      <w:tr w14:paraId="7E5E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315B2907">
            <w:pPr>
              <w:snapToGrid w:val="0"/>
              <w:jc w:val="center"/>
              <w:rPr>
                <w:rFonts w:hint="eastAsia" w:ascii="宋体" w:hAnsi="宋体"/>
                <w:color w:val="auto"/>
                <w:szCs w:val="21"/>
                <w:highlight w:val="none"/>
              </w:rPr>
            </w:pPr>
            <w:r>
              <w:rPr>
                <w:rFonts w:hint="eastAsia" w:ascii="宋体" w:hAnsi="宋体"/>
                <w:color w:val="auto"/>
                <w:szCs w:val="21"/>
                <w:highlight w:val="none"/>
              </w:rPr>
              <w:t>组织结构</w:t>
            </w:r>
          </w:p>
        </w:tc>
        <w:tc>
          <w:tcPr>
            <w:tcW w:w="7201" w:type="dxa"/>
            <w:gridSpan w:val="11"/>
            <w:vAlign w:val="center"/>
          </w:tcPr>
          <w:p w14:paraId="0699AE1A">
            <w:pPr>
              <w:snapToGrid w:val="0"/>
              <w:ind w:firstLine="420" w:firstLineChars="200"/>
              <w:jc w:val="center"/>
              <w:rPr>
                <w:rFonts w:hint="eastAsia" w:ascii="宋体" w:hAnsi="宋体"/>
                <w:color w:val="auto"/>
                <w:szCs w:val="21"/>
                <w:highlight w:val="none"/>
              </w:rPr>
            </w:pPr>
          </w:p>
        </w:tc>
      </w:tr>
      <w:tr w14:paraId="593A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1131E9BC">
            <w:pPr>
              <w:snapToGrid w:val="0"/>
              <w:jc w:val="center"/>
              <w:rPr>
                <w:rFonts w:hint="eastAsia" w:ascii="宋体" w:hAnsi="宋体"/>
                <w:color w:val="auto"/>
                <w:szCs w:val="21"/>
                <w:highlight w:val="none"/>
              </w:rPr>
            </w:pPr>
            <w:r>
              <w:rPr>
                <w:rFonts w:hint="eastAsia" w:ascii="宋体" w:hAnsi="宋体"/>
                <w:color w:val="auto"/>
                <w:szCs w:val="21"/>
                <w:highlight w:val="none"/>
              </w:rPr>
              <w:t>法定代表人</w:t>
            </w:r>
          </w:p>
        </w:tc>
        <w:tc>
          <w:tcPr>
            <w:tcW w:w="1344" w:type="dxa"/>
            <w:vAlign w:val="center"/>
          </w:tcPr>
          <w:p w14:paraId="439DCBB3">
            <w:pPr>
              <w:snapToGrid w:val="0"/>
              <w:jc w:val="center"/>
              <w:rPr>
                <w:rFonts w:hint="eastAsia" w:ascii="宋体" w:hAnsi="宋体"/>
                <w:color w:val="auto"/>
                <w:szCs w:val="21"/>
                <w:highlight w:val="none"/>
              </w:rPr>
            </w:pPr>
            <w:r>
              <w:rPr>
                <w:rFonts w:hint="eastAsia" w:ascii="宋体" w:hAnsi="宋体"/>
                <w:color w:val="auto"/>
                <w:szCs w:val="21"/>
                <w:highlight w:val="none"/>
              </w:rPr>
              <w:t>姓名</w:t>
            </w:r>
          </w:p>
        </w:tc>
        <w:tc>
          <w:tcPr>
            <w:tcW w:w="1173" w:type="dxa"/>
            <w:gridSpan w:val="2"/>
            <w:vAlign w:val="center"/>
          </w:tcPr>
          <w:p w14:paraId="4AAC97A0">
            <w:pPr>
              <w:snapToGrid w:val="0"/>
              <w:ind w:firstLine="420" w:firstLineChars="200"/>
              <w:jc w:val="center"/>
              <w:rPr>
                <w:rFonts w:hint="eastAsia" w:ascii="宋体" w:hAnsi="宋体"/>
                <w:color w:val="auto"/>
                <w:szCs w:val="21"/>
                <w:highlight w:val="none"/>
              </w:rPr>
            </w:pPr>
          </w:p>
        </w:tc>
        <w:tc>
          <w:tcPr>
            <w:tcW w:w="1106" w:type="dxa"/>
            <w:gridSpan w:val="3"/>
            <w:vAlign w:val="center"/>
          </w:tcPr>
          <w:p w14:paraId="634EB326">
            <w:pPr>
              <w:snapToGrid w:val="0"/>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609" w:type="dxa"/>
            <w:gridSpan w:val="3"/>
            <w:vAlign w:val="center"/>
          </w:tcPr>
          <w:p w14:paraId="23E88D72">
            <w:pPr>
              <w:snapToGrid w:val="0"/>
              <w:ind w:firstLine="420" w:firstLineChars="200"/>
              <w:jc w:val="center"/>
              <w:rPr>
                <w:rFonts w:hint="eastAsia" w:ascii="宋体" w:hAnsi="宋体"/>
                <w:color w:val="auto"/>
                <w:szCs w:val="21"/>
                <w:highlight w:val="none"/>
              </w:rPr>
            </w:pPr>
          </w:p>
        </w:tc>
        <w:tc>
          <w:tcPr>
            <w:tcW w:w="672" w:type="dxa"/>
            <w:vAlign w:val="center"/>
          </w:tcPr>
          <w:p w14:paraId="2CDC0448">
            <w:pPr>
              <w:snapToGrid w:val="0"/>
              <w:rPr>
                <w:rFonts w:hint="eastAsia" w:ascii="宋体" w:hAnsi="宋体"/>
                <w:color w:val="auto"/>
                <w:szCs w:val="21"/>
                <w:highlight w:val="none"/>
              </w:rPr>
            </w:pPr>
            <w:r>
              <w:rPr>
                <w:rFonts w:hint="eastAsia" w:ascii="宋体" w:hAnsi="宋体"/>
                <w:color w:val="auto"/>
                <w:szCs w:val="21"/>
                <w:highlight w:val="none"/>
              </w:rPr>
              <w:t>电话</w:t>
            </w:r>
          </w:p>
        </w:tc>
        <w:tc>
          <w:tcPr>
            <w:tcW w:w="1297" w:type="dxa"/>
            <w:vAlign w:val="center"/>
          </w:tcPr>
          <w:p w14:paraId="69F3BADC">
            <w:pPr>
              <w:snapToGrid w:val="0"/>
              <w:ind w:firstLine="420" w:firstLineChars="200"/>
              <w:jc w:val="center"/>
              <w:rPr>
                <w:rFonts w:hint="eastAsia" w:ascii="宋体" w:hAnsi="宋体"/>
                <w:color w:val="auto"/>
                <w:szCs w:val="21"/>
                <w:highlight w:val="none"/>
              </w:rPr>
            </w:pPr>
          </w:p>
        </w:tc>
      </w:tr>
      <w:tr w14:paraId="5F25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19DE5C25">
            <w:pPr>
              <w:snapToGrid w:val="0"/>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1344" w:type="dxa"/>
            <w:vAlign w:val="center"/>
          </w:tcPr>
          <w:p w14:paraId="126B4531">
            <w:pPr>
              <w:snapToGrid w:val="0"/>
              <w:jc w:val="center"/>
              <w:rPr>
                <w:rFonts w:hint="eastAsia" w:ascii="宋体" w:hAnsi="宋体"/>
                <w:color w:val="auto"/>
                <w:szCs w:val="21"/>
                <w:highlight w:val="none"/>
              </w:rPr>
            </w:pPr>
            <w:r>
              <w:rPr>
                <w:rFonts w:hint="eastAsia" w:ascii="宋体" w:hAnsi="宋体"/>
                <w:color w:val="auto"/>
                <w:szCs w:val="21"/>
                <w:highlight w:val="none"/>
              </w:rPr>
              <w:t>姓名</w:t>
            </w:r>
          </w:p>
        </w:tc>
        <w:tc>
          <w:tcPr>
            <w:tcW w:w="1173" w:type="dxa"/>
            <w:gridSpan w:val="2"/>
            <w:vAlign w:val="center"/>
          </w:tcPr>
          <w:p w14:paraId="349EB59F">
            <w:pPr>
              <w:snapToGrid w:val="0"/>
              <w:ind w:firstLine="420" w:firstLineChars="200"/>
              <w:jc w:val="center"/>
              <w:rPr>
                <w:rFonts w:hint="eastAsia" w:ascii="宋体" w:hAnsi="宋体"/>
                <w:color w:val="auto"/>
                <w:szCs w:val="21"/>
                <w:highlight w:val="none"/>
              </w:rPr>
            </w:pPr>
          </w:p>
        </w:tc>
        <w:tc>
          <w:tcPr>
            <w:tcW w:w="1106" w:type="dxa"/>
            <w:gridSpan w:val="3"/>
            <w:vAlign w:val="center"/>
          </w:tcPr>
          <w:p w14:paraId="4020B881">
            <w:pPr>
              <w:snapToGrid w:val="0"/>
              <w:jc w:val="center"/>
              <w:rPr>
                <w:rFonts w:hint="eastAsia" w:ascii="宋体" w:hAnsi="宋体"/>
                <w:color w:val="auto"/>
                <w:szCs w:val="21"/>
                <w:highlight w:val="none"/>
              </w:rPr>
            </w:pPr>
            <w:r>
              <w:rPr>
                <w:rFonts w:hint="eastAsia" w:ascii="宋体" w:hAnsi="宋体"/>
                <w:color w:val="auto"/>
                <w:szCs w:val="21"/>
                <w:highlight w:val="none"/>
              </w:rPr>
              <w:t>技术职称</w:t>
            </w:r>
          </w:p>
        </w:tc>
        <w:tc>
          <w:tcPr>
            <w:tcW w:w="1609" w:type="dxa"/>
            <w:gridSpan w:val="3"/>
            <w:vAlign w:val="center"/>
          </w:tcPr>
          <w:p w14:paraId="5917D59C">
            <w:pPr>
              <w:snapToGrid w:val="0"/>
              <w:ind w:firstLine="420" w:firstLineChars="200"/>
              <w:jc w:val="center"/>
              <w:rPr>
                <w:rFonts w:hint="eastAsia" w:ascii="宋体" w:hAnsi="宋体"/>
                <w:color w:val="auto"/>
                <w:szCs w:val="21"/>
                <w:highlight w:val="none"/>
              </w:rPr>
            </w:pPr>
          </w:p>
        </w:tc>
        <w:tc>
          <w:tcPr>
            <w:tcW w:w="672" w:type="dxa"/>
            <w:vAlign w:val="center"/>
          </w:tcPr>
          <w:p w14:paraId="710B9854">
            <w:pPr>
              <w:snapToGrid w:val="0"/>
              <w:rPr>
                <w:rFonts w:hint="eastAsia" w:ascii="宋体" w:hAnsi="宋体"/>
                <w:color w:val="auto"/>
                <w:szCs w:val="21"/>
                <w:highlight w:val="none"/>
              </w:rPr>
            </w:pPr>
            <w:r>
              <w:rPr>
                <w:rFonts w:hint="eastAsia" w:ascii="宋体" w:hAnsi="宋体"/>
                <w:color w:val="auto"/>
                <w:szCs w:val="21"/>
                <w:highlight w:val="none"/>
              </w:rPr>
              <w:t>电话</w:t>
            </w:r>
          </w:p>
        </w:tc>
        <w:tc>
          <w:tcPr>
            <w:tcW w:w="1297" w:type="dxa"/>
            <w:vAlign w:val="center"/>
          </w:tcPr>
          <w:p w14:paraId="5B7E0049">
            <w:pPr>
              <w:snapToGrid w:val="0"/>
              <w:ind w:firstLine="420" w:firstLineChars="200"/>
              <w:jc w:val="center"/>
              <w:rPr>
                <w:rFonts w:hint="eastAsia" w:ascii="宋体" w:hAnsi="宋体"/>
                <w:color w:val="auto"/>
                <w:szCs w:val="21"/>
                <w:highlight w:val="none"/>
              </w:rPr>
            </w:pPr>
          </w:p>
        </w:tc>
      </w:tr>
      <w:tr w14:paraId="192A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347CCFD2">
            <w:pPr>
              <w:snapToGrid w:val="0"/>
              <w:jc w:val="center"/>
              <w:rPr>
                <w:rFonts w:hint="eastAsia" w:ascii="宋体" w:hAnsi="宋体"/>
                <w:color w:val="auto"/>
                <w:szCs w:val="21"/>
                <w:highlight w:val="none"/>
              </w:rPr>
            </w:pPr>
            <w:r>
              <w:rPr>
                <w:rFonts w:hint="eastAsia" w:ascii="宋体" w:hAnsi="宋体"/>
                <w:color w:val="auto"/>
                <w:szCs w:val="21"/>
                <w:highlight w:val="none"/>
              </w:rPr>
              <w:t>成立时间</w:t>
            </w:r>
          </w:p>
        </w:tc>
        <w:tc>
          <w:tcPr>
            <w:tcW w:w="2156" w:type="dxa"/>
            <w:gridSpan w:val="2"/>
            <w:vAlign w:val="center"/>
          </w:tcPr>
          <w:p w14:paraId="35447D05">
            <w:pPr>
              <w:snapToGrid w:val="0"/>
              <w:ind w:firstLine="420" w:firstLineChars="200"/>
              <w:jc w:val="center"/>
              <w:rPr>
                <w:rFonts w:hint="eastAsia" w:ascii="宋体" w:hAnsi="宋体"/>
                <w:color w:val="auto"/>
                <w:szCs w:val="21"/>
                <w:highlight w:val="none"/>
              </w:rPr>
            </w:pPr>
          </w:p>
        </w:tc>
        <w:tc>
          <w:tcPr>
            <w:tcW w:w="5045" w:type="dxa"/>
            <w:gridSpan w:val="9"/>
            <w:vAlign w:val="center"/>
          </w:tcPr>
          <w:p w14:paraId="591B907D">
            <w:pPr>
              <w:snapToGrid w:val="0"/>
              <w:jc w:val="center"/>
              <w:rPr>
                <w:rFonts w:hint="eastAsia" w:ascii="宋体" w:hAnsi="宋体"/>
                <w:color w:val="auto"/>
                <w:szCs w:val="21"/>
                <w:highlight w:val="none"/>
              </w:rPr>
            </w:pPr>
            <w:r>
              <w:rPr>
                <w:rFonts w:hint="eastAsia" w:ascii="宋体" w:hAnsi="宋体"/>
                <w:color w:val="auto"/>
                <w:szCs w:val="21"/>
                <w:highlight w:val="none"/>
              </w:rPr>
              <w:t>员工总人数：</w:t>
            </w:r>
          </w:p>
        </w:tc>
      </w:tr>
      <w:tr w14:paraId="71BB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7A525E35">
            <w:pPr>
              <w:snapToGrid w:val="0"/>
              <w:jc w:val="center"/>
              <w:rPr>
                <w:rFonts w:hint="eastAsia" w:ascii="宋体" w:hAnsi="宋体"/>
                <w:color w:val="auto"/>
                <w:szCs w:val="21"/>
                <w:highlight w:val="none"/>
              </w:rPr>
            </w:pPr>
            <w:r>
              <w:rPr>
                <w:rFonts w:hint="eastAsia" w:ascii="宋体" w:hAnsi="宋体"/>
                <w:color w:val="auto"/>
                <w:szCs w:val="21"/>
                <w:highlight w:val="none"/>
              </w:rPr>
              <w:t>企业资质等级</w:t>
            </w:r>
          </w:p>
        </w:tc>
        <w:tc>
          <w:tcPr>
            <w:tcW w:w="2156" w:type="dxa"/>
            <w:gridSpan w:val="2"/>
            <w:vAlign w:val="center"/>
          </w:tcPr>
          <w:p w14:paraId="6C868903">
            <w:pPr>
              <w:snapToGrid w:val="0"/>
              <w:ind w:firstLine="420" w:firstLineChars="200"/>
              <w:jc w:val="center"/>
              <w:rPr>
                <w:rFonts w:hint="eastAsia" w:ascii="宋体" w:hAnsi="宋体"/>
                <w:color w:val="auto"/>
                <w:szCs w:val="21"/>
                <w:highlight w:val="none"/>
              </w:rPr>
            </w:pPr>
          </w:p>
        </w:tc>
        <w:tc>
          <w:tcPr>
            <w:tcW w:w="1119" w:type="dxa"/>
            <w:gridSpan w:val="2"/>
            <w:vMerge w:val="restart"/>
            <w:vAlign w:val="center"/>
          </w:tcPr>
          <w:p w14:paraId="3EC4287A">
            <w:pPr>
              <w:snapToGrid w:val="0"/>
              <w:jc w:val="center"/>
              <w:rPr>
                <w:rFonts w:hint="eastAsia" w:ascii="宋体" w:hAnsi="宋体"/>
                <w:color w:val="auto"/>
                <w:szCs w:val="21"/>
                <w:highlight w:val="none"/>
              </w:rPr>
            </w:pPr>
            <w:r>
              <w:rPr>
                <w:rFonts w:hint="eastAsia" w:ascii="宋体" w:hAnsi="宋体"/>
                <w:color w:val="auto"/>
                <w:szCs w:val="21"/>
                <w:highlight w:val="none"/>
              </w:rPr>
              <w:t>其中</w:t>
            </w:r>
          </w:p>
        </w:tc>
        <w:tc>
          <w:tcPr>
            <w:tcW w:w="1538" w:type="dxa"/>
            <w:gridSpan w:val="4"/>
            <w:vAlign w:val="center"/>
          </w:tcPr>
          <w:p w14:paraId="54CBB8A6">
            <w:pPr>
              <w:snapToGrid w:val="0"/>
              <w:jc w:val="center"/>
              <w:rPr>
                <w:rFonts w:hint="eastAsia" w:ascii="宋体" w:hAnsi="宋体"/>
                <w:color w:val="auto"/>
                <w:szCs w:val="21"/>
                <w:highlight w:val="none"/>
              </w:rPr>
            </w:pPr>
            <w:r>
              <w:rPr>
                <w:rFonts w:hint="eastAsia" w:ascii="宋体" w:hAnsi="宋体"/>
                <w:color w:val="auto"/>
                <w:szCs w:val="21"/>
                <w:highlight w:val="none"/>
              </w:rPr>
              <w:t>项目经理人员</w:t>
            </w:r>
          </w:p>
        </w:tc>
        <w:tc>
          <w:tcPr>
            <w:tcW w:w="2388" w:type="dxa"/>
            <w:gridSpan w:val="3"/>
            <w:vAlign w:val="center"/>
          </w:tcPr>
          <w:p w14:paraId="1FC37E90">
            <w:pPr>
              <w:snapToGrid w:val="0"/>
              <w:ind w:firstLine="420" w:firstLineChars="200"/>
              <w:jc w:val="center"/>
              <w:rPr>
                <w:rFonts w:hint="eastAsia" w:ascii="宋体" w:hAnsi="宋体"/>
                <w:color w:val="auto"/>
                <w:szCs w:val="21"/>
                <w:highlight w:val="none"/>
              </w:rPr>
            </w:pPr>
          </w:p>
        </w:tc>
      </w:tr>
      <w:tr w14:paraId="616E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64E05D3D">
            <w:pPr>
              <w:snapToGrid w:val="0"/>
              <w:jc w:val="center"/>
              <w:rPr>
                <w:rFonts w:hint="eastAsia" w:ascii="宋体" w:hAnsi="宋体"/>
                <w:color w:val="auto"/>
                <w:szCs w:val="21"/>
                <w:highlight w:val="none"/>
              </w:rPr>
            </w:pPr>
            <w:r>
              <w:rPr>
                <w:rFonts w:hint="eastAsia" w:ascii="宋体" w:hAnsi="宋体"/>
                <w:color w:val="auto"/>
                <w:szCs w:val="21"/>
                <w:highlight w:val="none"/>
              </w:rPr>
              <w:t>营业执照号</w:t>
            </w:r>
          </w:p>
        </w:tc>
        <w:tc>
          <w:tcPr>
            <w:tcW w:w="2156" w:type="dxa"/>
            <w:gridSpan w:val="2"/>
            <w:vAlign w:val="center"/>
          </w:tcPr>
          <w:p w14:paraId="6323756A">
            <w:pPr>
              <w:snapToGrid w:val="0"/>
              <w:ind w:firstLine="420" w:firstLineChars="200"/>
              <w:jc w:val="center"/>
              <w:rPr>
                <w:rFonts w:hint="eastAsia" w:ascii="宋体" w:hAnsi="宋体"/>
                <w:color w:val="auto"/>
                <w:szCs w:val="21"/>
                <w:highlight w:val="none"/>
              </w:rPr>
            </w:pPr>
          </w:p>
        </w:tc>
        <w:tc>
          <w:tcPr>
            <w:tcW w:w="1119" w:type="dxa"/>
            <w:gridSpan w:val="2"/>
            <w:vMerge w:val="continue"/>
            <w:vAlign w:val="center"/>
          </w:tcPr>
          <w:p w14:paraId="5ABC8D23">
            <w:pPr>
              <w:snapToGrid w:val="0"/>
              <w:ind w:firstLine="420" w:firstLineChars="200"/>
              <w:jc w:val="center"/>
              <w:rPr>
                <w:rFonts w:hint="eastAsia" w:ascii="宋体" w:hAnsi="宋体"/>
                <w:color w:val="auto"/>
                <w:szCs w:val="21"/>
                <w:highlight w:val="none"/>
              </w:rPr>
            </w:pPr>
          </w:p>
        </w:tc>
        <w:tc>
          <w:tcPr>
            <w:tcW w:w="1538" w:type="dxa"/>
            <w:gridSpan w:val="4"/>
            <w:vAlign w:val="center"/>
          </w:tcPr>
          <w:p w14:paraId="038505F5">
            <w:pPr>
              <w:snapToGrid w:val="0"/>
              <w:jc w:val="center"/>
              <w:rPr>
                <w:rFonts w:hint="eastAsia" w:ascii="宋体" w:hAnsi="宋体"/>
                <w:color w:val="auto"/>
                <w:szCs w:val="21"/>
                <w:highlight w:val="none"/>
              </w:rPr>
            </w:pPr>
            <w:r>
              <w:rPr>
                <w:rFonts w:hint="eastAsia" w:ascii="宋体" w:hAnsi="宋体"/>
                <w:color w:val="auto"/>
                <w:szCs w:val="21"/>
                <w:highlight w:val="none"/>
              </w:rPr>
              <w:t>高级职称人员</w:t>
            </w:r>
          </w:p>
        </w:tc>
        <w:tc>
          <w:tcPr>
            <w:tcW w:w="2388" w:type="dxa"/>
            <w:gridSpan w:val="3"/>
            <w:vAlign w:val="center"/>
          </w:tcPr>
          <w:p w14:paraId="2A99CA6E">
            <w:pPr>
              <w:snapToGrid w:val="0"/>
              <w:ind w:firstLine="420" w:firstLineChars="200"/>
              <w:jc w:val="center"/>
              <w:rPr>
                <w:rFonts w:hint="eastAsia" w:ascii="宋体" w:hAnsi="宋体"/>
                <w:color w:val="auto"/>
                <w:szCs w:val="21"/>
                <w:highlight w:val="none"/>
              </w:rPr>
            </w:pPr>
          </w:p>
        </w:tc>
      </w:tr>
      <w:tr w14:paraId="08BD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7B611E47">
            <w:pPr>
              <w:snapToGrid w:val="0"/>
              <w:jc w:val="center"/>
              <w:rPr>
                <w:rFonts w:hint="eastAsia" w:ascii="宋体" w:hAnsi="宋体"/>
                <w:color w:val="auto"/>
                <w:szCs w:val="21"/>
                <w:highlight w:val="none"/>
              </w:rPr>
            </w:pPr>
            <w:r>
              <w:rPr>
                <w:rFonts w:hint="eastAsia" w:ascii="宋体" w:hAnsi="宋体"/>
                <w:color w:val="auto"/>
                <w:szCs w:val="21"/>
                <w:highlight w:val="none"/>
              </w:rPr>
              <w:t>注册资金</w:t>
            </w:r>
          </w:p>
        </w:tc>
        <w:tc>
          <w:tcPr>
            <w:tcW w:w="2156" w:type="dxa"/>
            <w:gridSpan w:val="2"/>
            <w:vAlign w:val="center"/>
          </w:tcPr>
          <w:p w14:paraId="0D1FC386">
            <w:pPr>
              <w:snapToGrid w:val="0"/>
              <w:ind w:firstLine="420" w:firstLineChars="200"/>
              <w:jc w:val="center"/>
              <w:rPr>
                <w:rFonts w:hint="eastAsia" w:ascii="宋体" w:hAnsi="宋体"/>
                <w:color w:val="auto"/>
                <w:szCs w:val="21"/>
                <w:highlight w:val="none"/>
              </w:rPr>
            </w:pPr>
          </w:p>
        </w:tc>
        <w:tc>
          <w:tcPr>
            <w:tcW w:w="1119" w:type="dxa"/>
            <w:gridSpan w:val="2"/>
            <w:vMerge w:val="continue"/>
            <w:vAlign w:val="center"/>
          </w:tcPr>
          <w:p w14:paraId="6BB32760">
            <w:pPr>
              <w:snapToGrid w:val="0"/>
              <w:ind w:firstLine="420" w:firstLineChars="200"/>
              <w:jc w:val="center"/>
              <w:rPr>
                <w:rFonts w:hint="eastAsia" w:ascii="宋体" w:hAnsi="宋体"/>
                <w:color w:val="auto"/>
                <w:szCs w:val="21"/>
                <w:highlight w:val="none"/>
              </w:rPr>
            </w:pPr>
          </w:p>
        </w:tc>
        <w:tc>
          <w:tcPr>
            <w:tcW w:w="1538" w:type="dxa"/>
            <w:gridSpan w:val="4"/>
            <w:vAlign w:val="center"/>
          </w:tcPr>
          <w:p w14:paraId="1B09BDDD">
            <w:pPr>
              <w:snapToGrid w:val="0"/>
              <w:jc w:val="center"/>
              <w:rPr>
                <w:rFonts w:hint="eastAsia" w:ascii="宋体" w:hAnsi="宋体"/>
                <w:color w:val="auto"/>
                <w:szCs w:val="21"/>
                <w:highlight w:val="none"/>
              </w:rPr>
            </w:pPr>
            <w:r>
              <w:rPr>
                <w:rFonts w:hint="eastAsia" w:ascii="宋体" w:hAnsi="宋体"/>
                <w:color w:val="auto"/>
                <w:szCs w:val="21"/>
                <w:highlight w:val="none"/>
              </w:rPr>
              <w:t>中级职称人员</w:t>
            </w:r>
          </w:p>
        </w:tc>
        <w:tc>
          <w:tcPr>
            <w:tcW w:w="2388" w:type="dxa"/>
            <w:gridSpan w:val="3"/>
            <w:vAlign w:val="center"/>
          </w:tcPr>
          <w:p w14:paraId="25BA41CF">
            <w:pPr>
              <w:snapToGrid w:val="0"/>
              <w:ind w:firstLine="420" w:firstLineChars="200"/>
              <w:jc w:val="center"/>
              <w:rPr>
                <w:rFonts w:hint="eastAsia" w:ascii="宋体" w:hAnsi="宋体"/>
                <w:color w:val="auto"/>
                <w:szCs w:val="21"/>
                <w:highlight w:val="none"/>
              </w:rPr>
            </w:pPr>
          </w:p>
        </w:tc>
      </w:tr>
      <w:tr w14:paraId="2C2E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62741CE3">
            <w:pPr>
              <w:snapToGrid w:val="0"/>
              <w:jc w:val="center"/>
              <w:rPr>
                <w:rFonts w:hint="eastAsia" w:ascii="宋体" w:hAnsi="宋体"/>
                <w:color w:val="auto"/>
                <w:szCs w:val="21"/>
                <w:highlight w:val="none"/>
              </w:rPr>
            </w:pPr>
            <w:r>
              <w:rPr>
                <w:rFonts w:hint="eastAsia" w:ascii="宋体" w:hAnsi="宋体"/>
                <w:color w:val="auto"/>
                <w:szCs w:val="21"/>
                <w:highlight w:val="none"/>
              </w:rPr>
              <w:t>开户银行</w:t>
            </w:r>
          </w:p>
        </w:tc>
        <w:tc>
          <w:tcPr>
            <w:tcW w:w="2156" w:type="dxa"/>
            <w:gridSpan w:val="2"/>
            <w:vAlign w:val="center"/>
          </w:tcPr>
          <w:p w14:paraId="1E0B7C98">
            <w:pPr>
              <w:snapToGrid w:val="0"/>
              <w:ind w:firstLine="420" w:firstLineChars="200"/>
              <w:jc w:val="center"/>
              <w:rPr>
                <w:rFonts w:hint="eastAsia" w:ascii="宋体" w:hAnsi="宋体"/>
                <w:color w:val="auto"/>
                <w:szCs w:val="21"/>
                <w:highlight w:val="none"/>
              </w:rPr>
            </w:pPr>
          </w:p>
        </w:tc>
        <w:tc>
          <w:tcPr>
            <w:tcW w:w="1119" w:type="dxa"/>
            <w:gridSpan w:val="2"/>
            <w:vMerge w:val="continue"/>
            <w:vAlign w:val="center"/>
          </w:tcPr>
          <w:p w14:paraId="585B9FD9">
            <w:pPr>
              <w:snapToGrid w:val="0"/>
              <w:ind w:firstLine="420" w:firstLineChars="200"/>
              <w:jc w:val="center"/>
              <w:rPr>
                <w:rFonts w:hint="eastAsia" w:ascii="宋体" w:hAnsi="宋体"/>
                <w:color w:val="auto"/>
                <w:szCs w:val="21"/>
                <w:highlight w:val="none"/>
              </w:rPr>
            </w:pPr>
          </w:p>
        </w:tc>
        <w:tc>
          <w:tcPr>
            <w:tcW w:w="1538" w:type="dxa"/>
            <w:gridSpan w:val="4"/>
            <w:vAlign w:val="center"/>
          </w:tcPr>
          <w:p w14:paraId="48CC8230">
            <w:pPr>
              <w:snapToGrid w:val="0"/>
              <w:jc w:val="center"/>
              <w:rPr>
                <w:rFonts w:hint="eastAsia" w:ascii="宋体" w:hAnsi="宋体"/>
                <w:color w:val="auto"/>
                <w:szCs w:val="21"/>
                <w:highlight w:val="none"/>
              </w:rPr>
            </w:pPr>
            <w:r>
              <w:rPr>
                <w:rFonts w:hint="eastAsia" w:ascii="宋体" w:hAnsi="宋体"/>
                <w:color w:val="auto"/>
                <w:szCs w:val="21"/>
                <w:highlight w:val="none"/>
              </w:rPr>
              <w:t>初级职称人员</w:t>
            </w:r>
          </w:p>
        </w:tc>
        <w:tc>
          <w:tcPr>
            <w:tcW w:w="2388" w:type="dxa"/>
            <w:gridSpan w:val="3"/>
            <w:vAlign w:val="center"/>
          </w:tcPr>
          <w:p w14:paraId="08E4D6C5">
            <w:pPr>
              <w:snapToGrid w:val="0"/>
              <w:ind w:firstLine="420" w:firstLineChars="200"/>
              <w:jc w:val="center"/>
              <w:rPr>
                <w:rFonts w:hint="eastAsia" w:ascii="宋体" w:hAnsi="宋体"/>
                <w:color w:val="auto"/>
                <w:szCs w:val="21"/>
                <w:highlight w:val="none"/>
              </w:rPr>
            </w:pPr>
          </w:p>
        </w:tc>
      </w:tr>
      <w:tr w14:paraId="65A6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4" w:type="dxa"/>
            <w:vAlign w:val="center"/>
          </w:tcPr>
          <w:p w14:paraId="54861DB1">
            <w:pPr>
              <w:snapToGrid w:val="0"/>
              <w:jc w:val="center"/>
              <w:rPr>
                <w:rFonts w:hint="eastAsia" w:ascii="宋体" w:hAnsi="宋体"/>
                <w:color w:val="auto"/>
                <w:szCs w:val="21"/>
                <w:highlight w:val="none"/>
              </w:rPr>
            </w:pPr>
            <w:r>
              <w:rPr>
                <w:rFonts w:hint="eastAsia" w:ascii="宋体" w:hAnsi="宋体"/>
                <w:color w:val="auto"/>
                <w:szCs w:val="21"/>
                <w:highlight w:val="none"/>
              </w:rPr>
              <w:t>账号</w:t>
            </w:r>
          </w:p>
        </w:tc>
        <w:tc>
          <w:tcPr>
            <w:tcW w:w="2156" w:type="dxa"/>
            <w:gridSpan w:val="2"/>
            <w:vAlign w:val="center"/>
          </w:tcPr>
          <w:p w14:paraId="395080D6">
            <w:pPr>
              <w:snapToGrid w:val="0"/>
              <w:ind w:firstLine="420" w:firstLineChars="200"/>
              <w:jc w:val="center"/>
              <w:rPr>
                <w:rFonts w:hint="eastAsia" w:ascii="宋体" w:hAnsi="宋体"/>
                <w:color w:val="auto"/>
                <w:szCs w:val="21"/>
                <w:highlight w:val="none"/>
              </w:rPr>
            </w:pPr>
          </w:p>
        </w:tc>
        <w:tc>
          <w:tcPr>
            <w:tcW w:w="1119" w:type="dxa"/>
            <w:gridSpan w:val="2"/>
            <w:vMerge w:val="continue"/>
            <w:vAlign w:val="center"/>
          </w:tcPr>
          <w:p w14:paraId="7A80EEC2">
            <w:pPr>
              <w:snapToGrid w:val="0"/>
              <w:ind w:firstLine="420" w:firstLineChars="200"/>
              <w:jc w:val="center"/>
              <w:rPr>
                <w:rFonts w:hint="eastAsia" w:ascii="宋体" w:hAnsi="宋体"/>
                <w:color w:val="auto"/>
                <w:szCs w:val="21"/>
                <w:highlight w:val="none"/>
              </w:rPr>
            </w:pPr>
          </w:p>
        </w:tc>
        <w:tc>
          <w:tcPr>
            <w:tcW w:w="1538" w:type="dxa"/>
            <w:gridSpan w:val="4"/>
            <w:vAlign w:val="center"/>
          </w:tcPr>
          <w:p w14:paraId="301A2529">
            <w:pPr>
              <w:snapToGrid w:val="0"/>
              <w:jc w:val="center"/>
              <w:rPr>
                <w:rFonts w:hint="eastAsia" w:ascii="宋体" w:hAnsi="宋体"/>
                <w:color w:val="auto"/>
                <w:szCs w:val="21"/>
                <w:highlight w:val="none"/>
              </w:rPr>
            </w:pPr>
            <w:r>
              <w:rPr>
                <w:rFonts w:hint="eastAsia" w:ascii="宋体" w:hAnsi="宋体"/>
                <w:color w:val="auto"/>
                <w:szCs w:val="21"/>
                <w:highlight w:val="none"/>
              </w:rPr>
              <w:t>技  工</w:t>
            </w:r>
          </w:p>
        </w:tc>
        <w:tc>
          <w:tcPr>
            <w:tcW w:w="2388" w:type="dxa"/>
            <w:gridSpan w:val="3"/>
            <w:vAlign w:val="center"/>
          </w:tcPr>
          <w:p w14:paraId="59B98CF9">
            <w:pPr>
              <w:snapToGrid w:val="0"/>
              <w:ind w:firstLine="420" w:firstLineChars="200"/>
              <w:jc w:val="center"/>
              <w:rPr>
                <w:rFonts w:hint="eastAsia" w:ascii="宋体" w:hAnsi="宋体"/>
                <w:color w:val="auto"/>
                <w:szCs w:val="21"/>
                <w:highlight w:val="none"/>
              </w:rPr>
            </w:pPr>
          </w:p>
        </w:tc>
      </w:tr>
      <w:tr w14:paraId="7509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1634" w:type="dxa"/>
            <w:vAlign w:val="center"/>
          </w:tcPr>
          <w:p w14:paraId="7C7491F7">
            <w:pPr>
              <w:snapToGrid w:val="0"/>
              <w:jc w:val="center"/>
              <w:rPr>
                <w:rFonts w:hint="eastAsia" w:ascii="宋体" w:hAnsi="宋体"/>
                <w:color w:val="auto"/>
                <w:szCs w:val="21"/>
                <w:highlight w:val="none"/>
              </w:rPr>
            </w:pPr>
            <w:r>
              <w:rPr>
                <w:rFonts w:hint="eastAsia" w:ascii="宋体" w:hAnsi="宋体"/>
                <w:color w:val="auto"/>
                <w:szCs w:val="21"/>
                <w:highlight w:val="none"/>
              </w:rPr>
              <w:t>经营范围</w:t>
            </w:r>
          </w:p>
        </w:tc>
        <w:tc>
          <w:tcPr>
            <w:tcW w:w="7201" w:type="dxa"/>
            <w:gridSpan w:val="11"/>
            <w:vAlign w:val="center"/>
          </w:tcPr>
          <w:p w14:paraId="72A4D713">
            <w:pPr>
              <w:snapToGrid w:val="0"/>
              <w:ind w:firstLine="560"/>
              <w:jc w:val="center"/>
              <w:rPr>
                <w:rFonts w:hint="eastAsia" w:ascii="宋体" w:hAnsi="宋体"/>
                <w:color w:val="auto"/>
                <w:szCs w:val="21"/>
                <w:highlight w:val="none"/>
              </w:rPr>
            </w:pPr>
          </w:p>
        </w:tc>
      </w:tr>
      <w:tr w14:paraId="5440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34" w:type="dxa"/>
            <w:vAlign w:val="center"/>
          </w:tcPr>
          <w:p w14:paraId="4B7590FE">
            <w:pPr>
              <w:snapToGrid w:val="0"/>
              <w:jc w:val="center"/>
              <w:rPr>
                <w:rFonts w:hint="eastAsia" w:ascii="宋体" w:hAnsi="宋体"/>
                <w:color w:val="auto"/>
                <w:szCs w:val="21"/>
                <w:highlight w:val="none"/>
              </w:rPr>
            </w:pPr>
            <w:r>
              <w:rPr>
                <w:rFonts w:hint="eastAsia" w:ascii="宋体" w:hAnsi="宋体"/>
                <w:color w:val="auto"/>
                <w:szCs w:val="21"/>
                <w:highlight w:val="none"/>
              </w:rPr>
              <w:t>备  注</w:t>
            </w:r>
          </w:p>
        </w:tc>
        <w:tc>
          <w:tcPr>
            <w:tcW w:w="7201" w:type="dxa"/>
            <w:gridSpan w:val="11"/>
            <w:vAlign w:val="center"/>
          </w:tcPr>
          <w:p w14:paraId="63B90747">
            <w:pPr>
              <w:snapToGrid w:val="0"/>
              <w:ind w:firstLine="560"/>
              <w:jc w:val="center"/>
              <w:rPr>
                <w:rFonts w:hint="eastAsia" w:ascii="宋体" w:hAnsi="宋体"/>
                <w:color w:val="auto"/>
                <w:szCs w:val="21"/>
                <w:highlight w:val="none"/>
              </w:rPr>
            </w:pPr>
          </w:p>
        </w:tc>
      </w:tr>
    </w:tbl>
    <w:p w14:paraId="57985D16">
      <w:pPr>
        <w:spacing w:before="120" w:beforeLines="50"/>
        <w:rPr>
          <w:rFonts w:hint="eastAsia" w:ascii="宋体" w:hAnsi="宋体" w:cs="Arial"/>
          <w:color w:val="auto"/>
          <w:szCs w:val="21"/>
          <w:highlight w:val="none"/>
        </w:rPr>
      </w:pPr>
      <w:r>
        <w:rPr>
          <w:rFonts w:hint="eastAsia" w:ascii="宋体" w:hAnsi="宋体" w:cs="Arial"/>
          <w:color w:val="auto"/>
          <w:szCs w:val="21"/>
          <w:highlight w:val="none"/>
        </w:rPr>
        <w:t>说明：1、附企业营业执照、资质证书、安全生产许可证书的复印件。同时，请省外入湘企业附在</w:t>
      </w:r>
      <w:r>
        <w:rPr>
          <w:rFonts w:hint="eastAsia" w:ascii="Calibri" w:hAnsi="Calibri" w:cs="Calibri"/>
          <w:color w:val="auto"/>
          <w:highlight w:val="none"/>
        </w:rPr>
        <w:t>“湖南省建筑市场监管公共服务平台”</w:t>
      </w:r>
      <w:r>
        <w:rPr>
          <w:rFonts w:hint="eastAsia" w:ascii="宋体" w:hAnsi="宋体" w:cs="Arial"/>
          <w:color w:val="auto"/>
          <w:szCs w:val="21"/>
          <w:highlight w:val="none"/>
        </w:rPr>
        <w:t>进行基本信息</w:t>
      </w:r>
      <w:r>
        <w:rPr>
          <w:rFonts w:hint="eastAsia" w:ascii="宋体" w:hAnsi="宋体" w:cs="Arial"/>
          <w:color w:val="auto"/>
          <w:szCs w:val="21"/>
          <w:highlight w:val="none"/>
          <w:lang w:val="en-US" w:eastAsia="zh-CN"/>
        </w:rPr>
        <w:t>报送</w:t>
      </w:r>
      <w:r>
        <w:rPr>
          <w:rFonts w:hint="eastAsia" w:ascii="宋体" w:hAnsi="宋体" w:cs="Arial"/>
          <w:color w:val="auto"/>
          <w:szCs w:val="21"/>
          <w:highlight w:val="none"/>
        </w:rPr>
        <w:t>的网页截图。</w:t>
      </w:r>
    </w:p>
    <w:p w14:paraId="7EA311C2">
      <w:pPr>
        <w:snapToGrid w:val="0"/>
        <w:rPr>
          <w:rFonts w:hint="eastAsia" w:ascii="宋体" w:hAnsi="宋体" w:cs="Arial"/>
          <w:color w:val="auto"/>
          <w:szCs w:val="21"/>
          <w:highlight w:val="none"/>
        </w:rPr>
      </w:pPr>
      <w:r>
        <w:rPr>
          <w:rFonts w:hint="eastAsia" w:ascii="宋体" w:hAnsi="宋体" w:cs="Arial"/>
          <w:color w:val="auto"/>
          <w:szCs w:val="21"/>
          <w:highlight w:val="none"/>
        </w:rPr>
        <w:t>2、若以联合体形式申请资格预审的，则联合体各方均需分别填写《申请人基本情况表》并按上述第1条提供相关材料。</w:t>
      </w:r>
    </w:p>
    <w:p w14:paraId="14920EBC">
      <w:pPr>
        <w:spacing w:line="400" w:lineRule="exact"/>
        <w:ind w:firstLine="560"/>
        <w:jc w:val="center"/>
        <w:rPr>
          <w:rFonts w:hint="eastAsia" w:ascii="黑体" w:hAnsi="黑体" w:eastAsia="黑体" w:cs="宋体"/>
          <w:b/>
          <w:color w:val="auto"/>
          <w:sz w:val="28"/>
          <w:szCs w:val="28"/>
          <w:highlight w:val="none"/>
        </w:rPr>
      </w:pPr>
      <w:r>
        <w:rPr>
          <w:rFonts w:ascii="宋体" w:hAnsi="宋体"/>
          <w:color w:val="auto"/>
          <w:szCs w:val="21"/>
          <w:highlight w:val="none"/>
        </w:rPr>
        <w:br w:type="page"/>
      </w:r>
      <w:r>
        <w:rPr>
          <w:rFonts w:hint="eastAsia" w:ascii="黑体" w:hAnsi="黑体" w:eastAsia="黑体" w:cs="宋体"/>
          <w:b/>
          <w:bCs/>
          <w:color w:val="auto"/>
          <w:sz w:val="28"/>
          <w:szCs w:val="28"/>
          <w:highlight w:val="none"/>
        </w:rPr>
        <w:t>六</w:t>
      </w:r>
      <w:r>
        <w:rPr>
          <w:rFonts w:hint="eastAsia" w:ascii="黑体" w:hAnsi="黑体" w:eastAsia="黑体" w:cs="宋体"/>
          <w:b/>
          <w:color w:val="auto"/>
          <w:sz w:val="28"/>
          <w:szCs w:val="28"/>
          <w:highlight w:val="none"/>
        </w:rPr>
        <w:t>、项目管理机构</w:t>
      </w:r>
    </w:p>
    <w:p w14:paraId="33C34EBD">
      <w:pPr>
        <w:pStyle w:val="4"/>
        <w:ind w:firstLine="0" w:firstLineChars="0"/>
        <w:jc w:val="center"/>
        <w:rPr>
          <w:rFonts w:eastAsia="黑体"/>
          <w:b w:val="0"/>
          <w:bCs w:val="0"/>
          <w:color w:val="auto"/>
          <w:sz w:val="28"/>
          <w:highlight w:val="none"/>
        </w:rPr>
      </w:pPr>
      <w:bookmarkStart w:id="147" w:name="_Toc22132385"/>
      <w:bookmarkStart w:id="148" w:name="_Toc39232161"/>
    </w:p>
    <w:p w14:paraId="31E56643">
      <w:pPr>
        <w:ind w:firstLine="560"/>
        <w:jc w:val="center"/>
        <w:rPr>
          <w:rFonts w:hint="eastAsia" w:ascii="黑体" w:hAnsi="黑体" w:eastAsia="黑体"/>
          <w:color w:val="auto"/>
          <w:sz w:val="28"/>
          <w:szCs w:val="28"/>
          <w:highlight w:val="none"/>
        </w:rPr>
      </w:pPr>
      <w:r>
        <w:rPr>
          <w:rFonts w:ascii="黑体" w:hAnsi="黑体" w:eastAsia="黑体"/>
          <w:color w:val="auto"/>
          <w:sz w:val="28"/>
          <w:szCs w:val="28"/>
          <w:highlight w:val="none"/>
        </w:rPr>
        <w:t>（</w:t>
      </w:r>
      <w:r>
        <w:rPr>
          <w:rFonts w:hint="eastAsia" w:ascii="黑体" w:hAnsi="黑体" w:eastAsia="黑体"/>
          <w:color w:val="auto"/>
          <w:sz w:val="28"/>
          <w:szCs w:val="28"/>
          <w:highlight w:val="none"/>
        </w:rPr>
        <w:t>1</w:t>
      </w:r>
      <w:r>
        <w:rPr>
          <w:rFonts w:ascii="黑体" w:hAnsi="黑体" w:eastAsia="黑体"/>
          <w:color w:val="auto"/>
          <w:sz w:val="28"/>
          <w:szCs w:val="28"/>
          <w:highlight w:val="none"/>
        </w:rPr>
        <w:t>）项目管理机构组成表</w:t>
      </w:r>
      <w:bookmarkEnd w:id="147"/>
      <w:bookmarkEnd w:id="14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950"/>
        <w:gridCol w:w="1036"/>
        <w:gridCol w:w="812"/>
        <w:gridCol w:w="857"/>
        <w:gridCol w:w="728"/>
        <w:gridCol w:w="2138"/>
        <w:gridCol w:w="1518"/>
      </w:tblGrid>
      <w:tr w14:paraId="6679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vAlign w:val="center"/>
          </w:tcPr>
          <w:p w14:paraId="097BDC2F">
            <w:pPr>
              <w:tabs>
                <w:tab w:val="left" w:pos="630"/>
              </w:tabs>
              <w:ind w:left="1" w:leftChars="-95" w:hanging="200"/>
              <w:jc w:val="center"/>
              <w:rPr>
                <w:rFonts w:ascii="Calibri" w:hAnsi="Calibri"/>
                <w:color w:val="auto"/>
                <w:szCs w:val="21"/>
                <w:highlight w:val="none"/>
              </w:rPr>
            </w:pPr>
            <w:r>
              <w:rPr>
                <w:rFonts w:ascii="Calibri" w:hAnsi="Calibri"/>
                <w:color w:val="auto"/>
                <w:szCs w:val="21"/>
                <w:highlight w:val="none"/>
              </w:rPr>
              <w:t>姓名</w:t>
            </w:r>
          </w:p>
        </w:tc>
        <w:tc>
          <w:tcPr>
            <w:tcW w:w="950" w:type="dxa"/>
            <w:vMerge w:val="restart"/>
            <w:vAlign w:val="center"/>
          </w:tcPr>
          <w:p w14:paraId="35031AEB">
            <w:pPr>
              <w:jc w:val="center"/>
              <w:rPr>
                <w:rFonts w:ascii="Calibri" w:hAnsi="Calibri"/>
                <w:color w:val="auto"/>
                <w:szCs w:val="21"/>
                <w:highlight w:val="none"/>
              </w:rPr>
            </w:pPr>
            <w:r>
              <w:rPr>
                <w:rFonts w:ascii="Calibri" w:hAnsi="Calibri"/>
                <w:color w:val="auto"/>
                <w:szCs w:val="21"/>
                <w:highlight w:val="none"/>
              </w:rPr>
              <w:t>性别</w:t>
            </w:r>
          </w:p>
        </w:tc>
        <w:tc>
          <w:tcPr>
            <w:tcW w:w="5571" w:type="dxa"/>
            <w:gridSpan w:val="5"/>
            <w:vAlign w:val="center"/>
          </w:tcPr>
          <w:p w14:paraId="29A5159B">
            <w:pPr>
              <w:ind w:firstLine="560"/>
              <w:jc w:val="center"/>
              <w:rPr>
                <w:rFonts w:ascii="Calibri" w:hAnsi="Calibri"/>
                <w:color w:val="auto"/>
                <w:szCs w:val="21"/>
                <w:highlight w:val="none"/>
              </w:rPr>
            </w:pPr>
            <w:r>
              <w:rPr>
                <w:rFonts w:ascii="Calibri" w:hAnsi="Calibri"/>
                <w:color w:val="auto"/>
                <w:szCs w:val="21"/>
                <w:highlight w:val="none"/>
              </w:rPr>
              <w:t>执业或岗位资格证明</w:t>
            </w:r>
          </w:p>
        </w:tc>
        <w:tc>
          <w:tcPr>
            <w:tcW w:w="1518" w:type="dxa"/>
            <w:vMerge w:val="restart"/>
            <w:vAlign w:val="center"/>
          </w:tcPr>
          <w:p w14:paraId="0D23ED1D">
            <w:pPr>
              <w:rPr>
                <w:rFonts w:ascii="Calibri" w:hAnsi="Calibri"/>
                <w:color w:val="auto"/>
                <w:szCs w:val="21"/>
                <w:highlight w:val="none"/>
              </w:rPr>
            </w:pPr>
            <w:r>
              <w:rPr>
                <w:rFonts w:ascii="Calibri" w:hAnsi="Calibri"/>
                <w:color w:val="auto"/>
                <w:szCs w:val="21"/>
                <w:highlight w:val="none"/>
              </w:rPr>
              <w:t>拟在本项目担任的工作岗位</w:t>
            </w:r>
          </w:p>
        </w:tc>
      </w:tr>
      <w:tr w14:paraId="6C6D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continue"/>
            <w:vAlign w:val="center"/>
          </w:tcPr>
          <w:p w14:paraId="6A147B4A">
            <w:pPr>
              <w:ind w:firstLine="560"/>
              <w:jc w:val="center"/>
              <w:rPr>
                <w:rFonts w:ascii="Calibri" w:hAnsi="Calibri"/>
                <w:color w:val="auto"/>
                <w:szCs w:val="21"/>
                <w:highlight w:val="none"/>
              </w:rPr>
            </w:pPr>
          </w:p>
        </w:tc>
        <w:tc>
          <w:tcPr>
            <w:tcW w:w="950" w:type="dxa"/>
            <w:vMerge w:val="continue"/>
            <w:vAlign w:val="center"/>
          </w:tcPr>
          <w:p w14:paraId="65ED471C">
            <w:pPr>
              <w:ind w:firstLine="560"/>
              <w:jc w:val="center"/>
              <w:rPr>
                <w:rFonts w:ascii="Calibri" w:hAnsi="Calibri"/>
                <w:color w:val="auto"/>
                <w:szCs w:val="21"/>
                <w:highlight w:val="none"/>
              </w:rPr>
            </w:pPr>
          </w:p>
        </w:tc>
        <w:tc>
          <w:tcPr>
            <w:tcW w:w="1036" w:type="dxa"/>
            <w:vAlign w:val="center"/>
          </w:tcPr>
          <w:p w14:paraId="00AB4967">
            <w:pPr>
              <w:jc w:val="center"/>
              <w:rPr>
                <w:rFonts w:ascii="Calibri" w:hAnsi="Calibri"/>
                <w:color w:val="auto"/>
                <w:szCs w:val="21"/>
                <w:highlight w:val="none"/>
              </w:rPr>
            </w:pPr>
            <w:r>
              <w:rPr>
                <w:rFonts w:ascii="Calibri" w:hAnsi="Calibri"/>
                <w:color w:val="auto"/>
                <w:szCs w:val="21"/>
                <w:highlight w:val="none"/>
              </w:rPr>
              <w:t>证书名称</w:t>
            </w:r>
          </w:p>
        </w:tc>
        <w:tc>
          <w:tcPr>
            <w:tcW w:w="812" w:type="dxa"/>
            <w:vAlign w:val="center"/>
          </w:tcPr>
          <w:p w14:paraId="1F34D56D">
            <w:pPr>
              <w:rPr>
                <w:rFonts w:ascii="Calibri" w:hAnsi="Calibri"/>
                <w:color w:val="auto"/>
                <w:szCs w:val="21"/>
                <w:highlight w:val="none"/>
              </w:rPr>
            </w:pPr>
            <w:r>
              <w:rPr>
                <w:rFonts w:ascii="Calibri" w:hAnsi="Calibri"/>
                <w:color w:val="auto"/>
                <w:szCs w:val="21"/>
                <w:highlight w:val="none"/>
              </w:rPr>
              <w:t>级别</w:t>
            </w:r>
          </w:p>
        </w:tc>
        <w:tc>
          <w:tcPr>
            <w:tcW w:w="857" w:type="dxa"/>
            <w:vAlign w:val="center"/>
          </w:tcPr>
          <w:p w14:paraId="2EFE0B9F">
            <w:pPr>
              <w:rPr>
                <w:rFonts w:ascii="Calibri" w:hAnsi="Calibri"/>
                <w:color w:val="auto"/>
                <w:szCs w:val="21"/>
                <w:highlight w:val="none"/>
              </w:rPr>
            </w:pPr>
            <w:r>
              <w:rPr>
                <w:rFonts w:ascii="Calibri" w:hAnsi="Calibri"/>
                <w:color w:val="auto"/>
                <w:szCs w:val="21"/>
                <w:highlight w:val="none"/>
              </w:rPr>
              <w:t>证号</w:t>
            </w:r>
          </w:p>
        </w:tc>
        <w:tc>
          <w:tcPr>
            <w:tcW w:w="728" w:type="dxa"/>
            <w:vAlign w:val="center"/>
          </w:tcPr>
          <w:p w14:paraId="69DAFA63">
            <w:pPr>
              <w:rPr>
                <w:rFonts w:ascii="Calibri" w:hAnsi="Calibri"/>
                <w:color w:val="auto"/>
                <w:szCs w:val="21"/>
                <w:highlight w:val="none"/>
              </w:rPr>
            </w:pPr>
            <w:r>
              <w:rPr>
                <w:rFonts w:ascii="Calibri" w:hAnsi="Calibri"/>
                <w:color w:val="auto"/>
                <w:szCs w:val="21"/>
                <w:highlight w:val="none"/>
              </w:rPr>
              <w:t>专业</w:t>
            </w:r>
          </w:p>
        </w:tc>
        <w:tc>
          <w:tcPr>
            <w:tcW w:w="2138" w:type="dxa"/>
            <w:vAlign w:val="center"/>
          </w:tcPr>
          <w:p w14:paraId="792B3602">
            <w:pPr>
              <w:jc w:val="center"/>
              <w:rPr>
                <w:rFonts w:ascii="Calibri" w:hAnsi="Calibri"/>
                <w:color w:val="auto"/>
                <w:szCs w:val="21"/>
                <w:highlight w:val="none"/>
              </w:rPr>
            </w:pPr>
            <w:r>
              <w:rPr>
                <w:rFonts w:ascii="Calibri" w:hAnsi="Calibri"/>
                <w:color w:val="auto"/>
                <w:szCs w:val="21"/>
                <w:highlight w:val="none"/>
              </w:rPr>
              <w:t>身份证号码</w:t>
            </w:r>
          </w:p>
        </w:tc>
        <w:tc>
          <w:tcPr>
            <w:tcW w:w="1518" w:type="dxa"/>
            <w:vMerge w:val="continue"/>
            <w:vAlign w:val="center"/>
          </w:tcPr>
          <w:p w14:paraId="5A060AA1">
            <w:pPr>
              <w:ind w:firstLine="560"/>
              <w:jc w:val="center"/>
              <w:rPr>
                <w:rFonts w:ascii="Calibri" w:hAnsi="Calibri"/>
                <w:color w:val="auto"/>
                <w:szCs w:val="21"/>
                <w:highlight w:val="none"/>
              </w:rPr>
            </w:pPr>
          </w:p>
        </w:tc>
      </w:tr>
      <w:tr w14:paraId="79FC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Align w:val="center"/>
          </w:tcPr>
          <w:p w14:paraId="10C6702C">
            <w:pPr>
              <w:ind w:firstLine="560"/>
              <w:jc w:val="center"/>
              <w:rPr>
                <w:rFonts w:ascii="Calibri" w:hAnsi="Calibri"/>
                <w:color w:val="auto"/>
                <w:szCs w:val="21"/>
                <w:highlight w:val="none"/>
              </w:rPr>
            </w:pPr>
          </w:p>
        </w:tc>
        <w:tc>
          <w:tcPr>
            <w:tcW w:w="950" w:type="dxa"/>
            <w:vAlign w:val="center"/>
          </w:tcPr>
          <w:p w14:paraId="25151E6F">
            <w:pPr>
              <w:ind w:firstLine="560"/>
              <w:jc w:val="center"/>
              <w:rPr>
                <w:rFonts w:ascii="Calibri" w:hAnsi="Calibri"/>
                <w:color w:val="auto"/>
                <w:szCs w:val="21"/>
                <w:highlight w:val="none"/>
              </w:rPr>
            </w:pPr>
          </w:p>
        </w:tc>
        <w:tc>
          <w:tcPr>
            <w:tcW w:w="1036" w:type="dxa"/>
            <w:vAlign w:val="center"/>
          </w:tcPr>
          <w:p w14:paraId="74C0D5B3">
            <w:pPr>
              <w:ind w:firstLine="560"/>
              <w:jc w:val="center"/>
              <w:rPr>
                <w:rFonts w:ascii="Calibri" w:hAnsi="Calibri"/>
                <w:color w:val="auto"/>
                <w:szCs w:val="21"/>
                <w:highlight w:val="none"/>
              </w:rPr>
            </w:pPr>
          </w:p>
        </w:tc>
        <w:tc>
          <w:tcPr>
            <w:tcW w:w="812" w:type="dxa"/>
            <w:vAlign w:val="center"/>
          </w:tcPr>
          <w:p w14:paraId="637D8075">
            <w:pPr>
              <w:ind w:firstLine="560"/>
              <w:jc w:val="center"/>
              <w:rPr>
                <w:rFonts w:ascii="Calibri" w:hAnsi="Calibri"/>
                <w:color w:val="auto"/>
                <w:szCs w:val="21"/>
                <w:highlight w:val="none"/>
              </w:rPr>
            </w:pPr>
          </w:p>
        </w:tc>
        <w:tc>
          <w:tcPr>
            <w:tcW w:w="857" w:type="dxa"/>
            <w:vAlign w:val="center"/>
          </w:tcPr>
          <w:p w14:paraId="2C8A1BAE">
            <w:pPr>
              <w:ind w:firstLine="560"/>
              <w:jc w:val="center"/>
              <w:rPr>
                <w:rFonts w:ascii="Calibri" w:hAnsi="Calibri"/>
                <w:color w:val="auto"/>
                <w:szCs w:val="21"/>
                <w:highlight w:val="none"/>
              </w:rPr>
            </w:pPr>
          </w:p>
        </w:tc>
        <w:tc>
          <w:tcPr>
            <w:tcW w:w="728" w:type="dxa"/>
            <w:vAlign w:val="center"/>
          </w:tcPr>
          <w:p w14:paraId="65369F68">
            <w:pPr>
              <w:ind w:firstLine="560"/>
              <w:jc w:val="center"/>
              <w:rPr>
                <w:rFonts w:ascii="Calibri" w:hAnsi="Calibri"/>
                <w:color w:val="auto"/>
                <w:szCs w:val="21"/>
                <w:highlight w:val="none"/>
              </w:rPr>
            </w:pPr>
          </w:p>
        </w:tc>
        <w:tc>
          <w:tcPr>
            <w:tcW w:w="2138" w:type="dxa"/>
            <w:vAlign w:val="center"/>
          </w:tcPr>
          <w:p w14:paraId="15269825">
            <w:pPr>
              <w:ind w:firstLine="560"/>
              <w:jc w:val="center"/>
              <w:rPr>
                <w:rFonts w:ascii="Calibri" w:hAnsi="Calibri"/>
                <w:color w:val="auto"/>
                <w:szCs w:val="21"/>
                <w:highlight w:val="none"/>
              </w:rPr>
            </w:pPr>
          </w:p>
        </w:tc>
        <w:tc>
          <w:tcPr>
            <w:tcW w:w="1518" w:type="dxa"/>
            <w:vAlign w:val="center"/>
          </w:tcPr>
          <w:p w14:paraId="2B40C9E9">
            <w:pPr>
              <w:ind w:firstLine="560"/>
              <w:jc w:val="center"/>
              <w:rPr>
                <w:rFonts w:ascii="Calibri" w:hAnsi="Calibri"/>
                <w:color w:val="auto"/>
                <w:szCs w:val="21"/>
                <w:highlight w:val="none"/>
              </w:rPr>
            </w:pPr>
          </w:p>
        </w:tc>
      </w:tr>
      <w:tr w14:paraId="5756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Align w:val="center"/>
          </w:tcPr>
          <w:p w14:paraId="21D9C601">
            <w:pPr>
              <w:ind w:firstLine="560"/>
              <w:jc w:val="center"/>
              <w:rPr>
                <w:rFonts w:ascii="Calibri" w:hAnsi="Calibri"/>
                <w:color w:val="auto"/>
                <w:szCs w:val="21"/>
                <w:highlight w:val="none"/>
              </w:rPr>
            </w:pPr>
          </w:p>
        </w:tc>
        <w:tc>
          <w:tcPr>
            <w:tcW w:w="950" w:type="dxa"/>
            <w:vAlign w:val="center"/>
          </w:tcPr>
          <w:p w14:paraId="11381B08">
            <w:pPr>
              <w:ind w:firstLine="560"/>
              <w:jc w:val="center"/>
              <w:rPr>
                <w:rFonts w:ascii="Calibri" w:hAnsi="Calibri"/>
                <w:color w:val="auto"/>
                <w:szCs w:val="21"/>
                <w:highlight w:val="none"/>
              </w:rPr>
            </w:pPr>
          </w:p>
        </w:tc>
        <w:tc>
          <w:tcPr>
            <w:tcW w:w="1036" w:type="dxa"/>
            <w:vAlign w:val="center"/>
          </w:tcPr>
          <w:p w14:paraId="542EF713">
            <w:pPr>
              <w:ind w:firstLine="560"/>
              <w:jc w:val="center"/>
              <w:rPr>
                <w:rFonts w:ascii="Calibri" w:hAnsi="Calibri"/>
                <w:color w:val="auto"/>
                <w:szCs w:val="21"/>
                <w:highlight w:val="none"/>
              </w:rPr>
            </w:pPr>
          </w:p>
        </w:tc>
        <w:tc>
          <w:tcPr>
            <w:tcW w:w="812" w:type="dxa"/>
            <w:vAlign w:val="center"/>
          </w:tcPr>
          <w:p w14:paraId="38196597">
            <w:pPr>
              <w:ind w:firstLine="560"/>
              <w:jc w:val="center"/>
              <w:rPr>
                <w:rFonts w:ascii="Calibri" w:hAnsi="Calibri"/>
                <w:color w:val="auto"/>
                <w:szCs w:val="21"/>
                <w:highlight w:val="none"/>
              </w:rPr>
            </w:pPr>
          </w:p>
        </w:tc>
        <w:tc>
          <w:tcPr>
            <w:tcW w:w="857" w:type="dxa"/>
            <w:vAlign w:val="center"/>
          </w:tcPr>
          <w:p w14:paraId="184D2F4B">
            <w:pPr>
              <w:ind w:firstLine="560"/>
              <w:jc w:val="center"/>
              <w:rPr>
                <w:rFonts w:ascii="Calibri" w:hAnsi="Calibri"/>
                <w:color w:val="auto"/>
                <w:szCs w:val="21"/>
                <w:highlight w:val="none"/>
              </w:rPr>
            </w:pPr>
          </w:p>
        </w:tc>
        <w:tc>
          <w:tcPr>
            <w:tcW w:w="728" w:type="dxa"/>
            <w:vAlign w:val="center"/>
          </w:tcPr>
          <w:p w14:paraId="15565977">
            <w:pPr>
              <w:ind w:firstLine="560"/>
              <w:jc w:val="center"/>
              <w:rPr>
                <w:rFonts w:ascii="Calibri" w:hAnsi="Calibri"/>
                <w:color w:val="auto"/>
                <w:szCs w:val="21"/>
                <w:highlight w:val="none"/>
              </w:rPr>
            </w:pPr>
          </w:p>
        </w:tc>
        <w:tc>
          <w:tcPr>
            <w:tcW w:w="2138" w:type="dxa"/>
            <w:vAlign w:val="center"/>
          </w:tcPr>
          <w:p w14:paraId="0615BF01">
            <w:pPr>
              <w:ind w:firstLine="560"/>
              <w:jc w:val="center"/>
              <w:rPr>
                <w:rFonts w:ascii="Calibri" w:hAnsi="Calibri"/>
                <w:color w:val="auto"/>
                <w:szCs w:val="21"/>
                <w:highlight w:val="none"/>
              </w:rPr>
            </w:pPr>
          </w:p>
        </w:tc>
        <w:tc>
          <w:tcPr>
            <w:tcW w:w="1518" w:type="dxa"/>
            <w:vAlign w:val="center"/>
          </w:tcPr>
          <w:p w14:paraId="341F9A0F">
            <w:pPr>
              <w:ind w:firstLine="560"/>
              <w:jc w:val="center"/>
              <w:rPr>
                <w:rFonts w:ascii="Calibri" w:hAnsi="Calibri"/>
                <w:color w:val="auto"/>
                <w:szCs w:val="21"/>
                <w:highlight w:val="none"/>
              </w:rPr>
            </w:pPr>
          </w:p>
        </w:tc>
      </w:tr>
      <w:tr w14:paraId="2AE0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Align w:val="center"/>
          </w:tcPr>
          <w:p w14:paraId="14B2AC63">
            <w:pPr>
              <w:ind w:firstLine="560"/>
              <w:jc w:val="center"/>
              <w:rPr>
                <w:rFonts w:ascii="Calibri" w:hAnsi="Calibri"/>
                <w:color w:val="auto"/>
                <w:szCs w:val="21"/>
                <w:highlight w:val="none"/>
              </w:rPr>
            </w:pPr>
          </w:p>
        </w:tc>
        <w:tc>
          <w:tcPr>
            <w:tcW w:w="950" w:type="dxa"/>
            <w:vAlign w:val="center"/>
          </w:tcPr>
          <w:p w14:paraId="0109244D">
            <w:pPr>
              <w:ind w:firstLine="560"/>
              <w:jc w:val="center"/>
              <w:rPr>
                <w:rFonts w:ascii="Calibri" w:hAnsi="Calibri"/>
                <w:color w:val="auto"/>
                <w:szCs w:val="21"/>
                <w:highlight w:val="none"/>
              </w:rPr>
            </w:pPr>
          </w:p>
        </w:tc>
        <w:tc>
          <w:tcPr>
            <w:tcW w:w="1036" w:type="dxa"/>
            <w:vAlign w:val="center"/>
          </w:tcPr>
          <w:p w14:paraId="342EF905">
            <w:pPr>
              <w:ind w:firstLine="560"/>
              <w:jc w:val="center"/>
              <w:rPr>
                <w:rFonts w:ascii="Calibri" w:hAnsi="Calibri"/>
                <w:color w:val="auto"/>
                <w:szCs w:val="21"/>
                <w:highlight w:val="none"/>
              </w:rPr>
            </w:pPr>
          </w:p>
        </w:tc>
        <w:tc>
          <w:tcPr>
            <w:tcW w:w="812" w:type="dxa"/>
            <w:vAlign w:val="center"/>
          </w:tcPr>
          <w:p w14:paraId="062A1F08">
            <w:pPr>
              <w:ind w:firstLine="560"/>
              <w:jc w:val="center"/>
              <w:rPr>
                <w:rFonts w:ascii="Calibri" w:hAnsi="Calibri"/>
                <w:color w:val="auto"/>
                <w:szCs w:val="21"/>
                <w:highlight w:val="none"/>
              </w:rPr>
            </w:pPr>
          </w:p>
        </w:tc>
        <w:tc>
          <w:tcPr>
            <w:tcW w:w="857" w:type="dxa"/>
            <w:vAlign w:val="center"/>
          </w:tcPr>
          <w:p w14:paraId="2954F74F">
            <w:pPr>
              <w:ind w:firstLine="560"/>
              <w:jc w:val="center"/>
              <w:rPr>
                <w:rFonts w:ascii="Calibri" w:hAnsi="Calibri"/>
                <w:color w:val="auto"/>
                <w:szCs w:val="21"/>
                <w:highlight w:val="none"/>
              </w:rPr>
            </w:pPr>
          </w:p>
        </w:tc>
        <w:tc>
          <w:tcPr>
            <w:tcW w:w="728" w:type="dxa"/>
            <w:vAlign w:val="center"/>
          </w:tcPr>
          <w:p w14:paraId="23446A4F">
            <w:pPr>
              <w:ind w:firstLine="560"/>
              <w:jc w:val="center"/>
              <w:rPr>
                <w:rFonts w:ascii="Calibri" w:hAnsi="Calibri"/>
                <w:color w:val="auto"/>
                <w:szCs w:val="21"/>
                <w:highlight w:val="none"/>
              </w:rPr>
            </w:pPr>
          </w:p>
        </w:tc>
        <w:tc>
          <w:tcPr>
            <w:tcW w:w="2138" w:type="dxa"/>
            <w:vAlign w:val="center"/>
          </w:tcPr>
          <w:p w14:paraId="78D1EFC2">
            <w:pPr>
              <w:ind w:firstLine="560"/>
              <w:jc w:val="center"/>
              <w:rPr>
                <w:rFonts w:ascii="Calibri" w:hAnsi="Calibri"/>
                <w:color w:val="auto"/>
                <w:szCs w:val="21"/>
                <w:highlight w:val="none"/>
              </w:rPr>
            </w:pPr>
          </w:p>
        </w:tc>
        <w:tc>
          <w:tcPr>
            <w:tcW w:w="1518" w:type="dxa"/>
            <w:vAlign w:val="center"/>
          </w:tcPr>
          <w:p w14:paraId="4B415AFE">
            <w:pPr>
              <w:ind w:firstLine="560"/>
              <w:jc w:val="center"/>
              <w:rPr>
                <w:rFonts w:ascii="Calibri" w:hAnsi="Calibri"/>
                <w:color w:val="auto"/>
                <w:szCs w:val="21"/>
                <w:highlight w:val="none"/>
              </w:rPr>
            </w:pPr>
          </w:p>
        </w:tc>
      </w:tr>
    </w:tbl>
    <w:p w14:paraId="6EFCC205">
      <w:pPr>
        <w:spacing w:before="120" w:beforeLines="50"/>
        <w:rPr>
          <w:rFonts w:ascii="Calibri" w:hAnsi="Calibri"/>
          <w:color w:val="auto"/>
          <w:szCs w:val="21"/>
          <w:highlight w:val="none"/>
        </w:rPr>
      </w:pPr>
      <w:r>
        <w:rPr>
          <w:rFonts w:hint="eastAsia" w:ascii="Calibri" w:hAnsi="Calibri"/>
          <w:color w:val="auto"/>
          <w:szCs w:val="21"/>
          <w:highlight w:val="none"/>
        </w:rPr>
        <w:t>说明</w:t>
      </w:r>
      <w:r>
        <w:rPr>
          <w:rFonts w:ascii="Calibri" w:hAnsi="Calibri"/>
          <w:color w:val="auto"/>
          <w:szCs w:val="21"/>
          <w:highlight w:val="none"/>
        </w:rPr>
        <w:t>：项目管理机构人员是指</w:t>
      </w:r>
      <w:r>
        <w:rPr>
          <w:rFonts w:hint="eastAsia" w:ascii="Calibri" w:hAnsi="Calibri"/>
          <w:color w:val="auto"/>
          <w:szCs w:val="21"/>
          <w:highlight w:val="none"/>
        </w:rPr>
        <w:t>项目经理</w:t>
      </w:r>
      <w:r>
        <w:rPr>
          <w:rFonts w:ascii="Calibri" w:hAnsi="Calibri"/>
          <w:color w:val="auto"/>
          <w:szCs w:val="21"/>
          <w:highlight w:val="none"/>
        </w:rPr>
        <w:t>。</w:t>
      </w:r>
    </w:p>
    <w:p w14:paraId="794DD84E">
      <w:pPr>
        <w:pStyle w:val="4"/>
        <w:ind w:firstLine="422"/>
        <w:rPr>
          <w:rFonts w:eastAsia="黑体"/>
          <w:b w:val="0"/>
          <w:bCs w:val="0"/>
          <w:color w:val="auto"/>
          <w:sz w:val="28"/>
          <w:highlight w:val="none"/>
        </w:rPr>
      </w:pPr>
      <w:r>
        <w:rPr>
          <w:color w:val="auto"/>
          <w:szCs w:val="21"/>
          <w:highlight w:val="none"/>
        </w:rPr>
        <w:br w:type="page"/>
      </w:r>
      <w:bookmarkStart w:id="149" w:name="_Toc9178585"/>
      <w:bookmarkStart w:id="150" w:name="_Toc300678575"/>
    </w:p>
    <w:bookmarkEnd w:id="149"/>
    <w:bookmarkEnd w:id="150"/>
    <w:p w14:paraId="0B11F401">
      <w:pPr>
        <w:ind w:firstLine="560"/>
        <w:jc w:val="center"/>
        <w:rPr>
          <w:rFonts w:hint="eastAsia" w:ascii="黑体" w:hAnsi="黑体" w:eastAsia="黑体"/>
          <w:color w:val="auto"/>
          <w:sz w:val="28"/>
          <w:szCs w:val="28"/>
          <w:highlight w:val="none"/>
        </w:rPr>
      </w:pPr>
      <w:bookmarkStart w:id="151" w:name="_Toc39232162"/>
      <w:bookmarkStart w:id="152" w:name="_Toc300678576"/>
      <w:bookmarkStart w:id="153" w:name="_Toc22132386"/>
      <w:r>
        <w:rPr>
          <w:rFonts w:ascii="黑体" w:hAnsi="黑体" w:eastAsia="黑体"/>
          <w:color w:val="auto"/>
          <w:sz w:val="28"/>
          <w:szCs w:val="28"/>
          <w:highlight w:val="none"/>
        </w:rPr>
        <w:t>（</w:t>
      </w:r>
      <w:r>
        <w:rPr>
          <w:rFonts w:hint="eastAsia" w:ascii="黑体" w:hAnsi="黑体" w:eastAsia="黑体"/>
          <w:color w:val="auto"/>
          <w:sz w:val="28"/>
          <w:szCs w:val="28"/>
          <w:highlight w:val="none"/>
        </w:rPr>
        <w:t>2</w:t>
      </w:r>
      <w:r>
        <w:rPr>
          <w:rFonts w:ascii="黑体" w:hAnsi="黑体" w:eastAsia="黑体"/>
          <w:color w:val="auto"/>
          <w:sz w:val="28"/>
          <w:szCs w:val="28"/>
          <w:highlight w:val="none"/>
        </w:rPr>
        <w:t>）</w:t>
      </w:r>
      <w:r>
        <w:rPr>
          <w:rFonts w:hint="eastAsia" w:ascii="黑体" w:hAnsi="黑体" w:eastAsia="黑体"/>
          <w:color w:val="auto"/>
          <w:sz w:val="28"/>
          <w:szCs w:val="28"/>
          <w:highlight w:val="none"/>
        </w:rPr>
        <w:t>拟任项目经理简历表</w:t>
      </w:r>
      <w:bookmarkEnd w:id="151"/>
      <w:bookmarkEnd w:id="152"/>
      <w:bookmarkEnd w:id="153"/>
    </w:p>
    <w:p w14:paraId="505CD516">
      <w:pPr>
        <w:keepNext/>
        <w:keepLines/>
        <w:spacing w:line="360" w:lineRule="auto"/>
        <w:ind w:firstLine="560"/>
        <w:jc w:val="center"/>
        <w:outlineLvl w:val="3"/>
        <w:rPr>
          <w:rFonts w:ascii="Arial" w:hAnsi="Arial"/>
          <w:bCs/>
          <w:color w:val="auto"/>
          <w:szCs w:val="21"/>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11"/>
        <w:gridCol w:w="958"/>
        <w:gridCol w:w="1275"/>
        <w:gridCol w:w="1843"/>
        <w:gridCol w:w="1872"/>
      </w:tblGrid>
      <w:tr w14:paraId="7762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2FF6BC3F">
            <w:pPr>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2169" w:type="dxa"/>
            <w:gridSpan w:val="2"/>
            <w:vAlign w:val="center"/>
          </w:tcPr>
          <w:p w14:paraId="5B209669">
            <w:pPr>
              <w:ind w:firstLine="560"/>
              <w:jc w:val="center"/>
              <w:rPr>
                <w:rFonts w:hint="eastAsia" w:ascii="宋体" w:hAnsi="宋体" w:cs="宋体"/>
                <w:color w:val="auto"/>
                <w:szCs w:val="21"/>
                <w:highlight w:val="none"/>
              </w:rPr>
            </w:pPr>
          </w:p>
        </w:tc>
        <w:tc>
          <w:tcPr>
            <w:tcW w:w="1275" w:type="dxa"/>
            <w:vAlign w:val="center"/>
          </w:tcPr>
          <w:p w14:paraId="339F7259">
            <w:pPr>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3715" w:type="dxa"/>
            <w:gridSpan w:val="2"/>
            <w:vAlign w:val="center"/>
          </w:tcPr>
          <w:p w14:paraId="056083F5">
            <w:pPr>
              <w:ind w:firstLine="560"/>
              <w:jc w:val="center"/>
              <w:rPr>
                <w:rFonts w:hint="eastAsia" w:ascii="宋体" w:hAnsi="宋体" w:cs="宋体"/>
                <w:color w:val="auto"/>
                <w:szCs w:val="21"/>
                <w:highlight w:val="none"/>
              </w:rPr>
            </w:pPr>
          </w:p>
        </w:tc>
      </w:tr>
      <w:tr w14:paraId="1F7F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5D71FBCB">
            <w:pPr>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211" w:type="dxa"/>
            <w:vAlign w:val="center"/>
          </w:tcPr>
          <w:p w14:paraId="2190177C">
            <w:pPr>
              <w:ind w:firstLine="560"/>
              <w:jc w:val="center"/>
              <w:rPr>
                <w:rFonts w:hint="eastAsia" w:ascii="宋体" w:hAnsi="宋体" w:cs="宋体"/>
                <w:color w:val="auto"/>
                <w:szCs w:val="21"/>
                <w:highlight w:val="none"/>
              </w:rPr>
            </w:pPr>
          </w:p>
        </w:tc>
        <w:tc>
          <w:tcPr>
            <w:tcW w:w="958" w:type="dxa"/>
            <w:vAlign w:val="center"/>
          </w:tcPr>
          <w:p w14:paraId="525D841E">
            <w:pPr>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275" w:type="dxa"/>
            <w:vAlign w:val="center"/>
          </w:tcPr>
          <w:p w14:paraId="2997F8D4">
            <w:pPr>
              <w:ind w:firstLine="560"/>
              <w:jc w:val="center"/>
              <w:rPr>
                <w:rFonts w:hint="eastAsia" w:ascii="宋体" w:hAnsi="宋体" w:cs="宋体"/>
                <w:color w:val="auto"/>
                <w:szCs w:val="21"/>
                <w:highlight w:val="none"/>
              </w:rPr>
            </w:pPr>
          </w:p>
        </w:tc>
        <w:tc>
          <w:tcPr>
            <w:tcW w:w="1843" w:type="dxa"/>
            <w:vAlign w:val="center"/>
          </w:tcPr>
          <w:p w14:paraId="2D287B7D">
            <w:pPr>
              <w:jc w:val="center"/>
              <w:rPr>
                <w:rFonts w:hint="eastAsia" w:ascii="宋体" w:hAnsi="宋体" w:cs="宋体"/>
                <w:color w:val="auto"/>
                <w:szCs w:val="21"/>
                <w:highlight w:val="none"/>
              </w:rPr>
            </w:pPr>
            <w:r>
              <w:rPr>
                <w:rFonts w:hint="eastAsia" w:ascii="宋体" w:hAnsi="宋体" w:cs="宋体"/>
                <w:color w:val="auto"/>
                <w:szCs w:val="21"/>
                <w:highlight w:val="none"/>
              </w:rPr>
              <w:t>拟在本工程任职</w:t>
            </w:r>
          </w:p>
        </w:tc>
        <w:tc>
          <w:tcPr>
            <w:tcW w:w="1872" w:type="dxa"/>
            <w:vAlign w:val="center"/>
          </w:tcPr>
          <w:p w14:paraId="708C595C">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r>
      <w:tr w14:paraId="4BDA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14D9D7D8">
            <w:pPr>
              <w:jc w:val="center"/>
              <w:rPr>
                <w:rFonts w:hint="eastAsia"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275" w:type="dxa"/>
            <w:vAlign w:val="center"/>
          </w:tcPr>
          <w:p w14:paraId="365EE34D">
            <w:pPr>
              <w:jc w:val="center"/>
              <w:rPr>
                <w:rFonts w:hint="eastAsia" w:ascii="宋体" w:hAnsi="宋体" w:cs="宋体"/>
                <w:color w:val="auto"/>
                <w:szCs w:val="21"/>
                <w:highlight w:val="none"/>
              </w:rPr>
            </w:pPr>
            <w:r>
              <w:rPr>
                <w:rFonts w:hint="eastAsia" w:ascii="宋体" w:hAnsi="宋体" w:cs="宋体"/>
                <w:color w:val="auto"/>
                <w:szCs w:val="21"/>
                <w:highlight w:val="none"/>
              </w:rPr>
              <w:t>级</w:t>
            </w:r>
          </w:p>
        </w:tc>
        <w:tc>
          <w:tcPr>
            <w:tcW w:w="1843" w:type="dxa"/>
            <w:vAlign w:val="center"/>
          </w:tcPr>
          <w:p w14:paraId="67227878">
            <w:pPr>
              <w:jc w:val="center"/>
              <w:rPr>
                <w:rFonts w:hint="eastAsia" w:ascii="宋体" w:hAnsi="宋体" w:cs="宋体"/>
                <w:color w:val="auto"/>
                <w:szCs w:val="21"/>
                <w:highlight w:val="none"/>
              </w:rPr>
            </w:pPr>
            <w:r>
              <w:rPr>
                <w:rFonts w:hint="eastAsia" w:ascii="宋体" w:hAnsi="宋体" w:cs="宋体"/>
                <w:color w:val="auto"/>
                <w:szCs w:val="21"/>
                <w:highlight w:val="none"/>
              </w:rPr>
              <w:t>建造师专业</w:t>
            </w:r>
          </w:p>
        </w:tc>
        <w:tc>
          <w:tcPr>
            <w:tcW w:w="1872" w:type="dxa"/>
            <w:vAlign w:val="center"/>
          </w:tcPr>
          <w:p w14:paraId="57469320">
            <w:pPr>
              <w:ind w:firstLine="560"/>
              <w:jc w:val="center"/>
              <w:rPr>
                <w:rFonts w:hint="eastAsia" w:ascii="宋体" w:hAnsi="宋体" w:cs="宋体"/>
                <w:color w:val="auto"/>
                <w:szCs w:val="21"/>
                <w:highlight w:val="none"/>
              </w:rPr>
            </w:pPr>
          </w:p>
        </w:tc>
      </w:tr>
      <w:tr w14:paraId="04C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6BDA4D35">
            <w:pPr>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安全生产考核合格证书证号</w:t>
            </w:r>
          </w:p>
        </w:tc>
        <w:tc>
          <w:tcPr>
            <w:tcW w:w="4990" w:type="dxa"/>
            <w:gridSpan w:val="3"/>
            <w:vAlign w:val="center"/>
          </w:tcPr>
          <w:p w14:paraId="2E264E22">
            <w:pPr>
              <w:ind w:firstLine="560"/>
              <w:jc w:val="center"/>
              <w:rPr>
                <w:rFonts w:hint="eastAsia" w:ascii="宋体" w:hAnsi="宋体" w:cs="宋体"/>
                <w:color w:val="auto"/>
                <w:szCs w:val="21"/>
                <w:highlight w:val="none"/>
              </w:rPr>
            </w:pPr>
          </w:p>
        </w:tc>
      </w:tr>
      <w:tr w14:paraId="03F5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vAlign w:val="center"/>
          </w:tcPr>
          <w:p w14:paraId="78AD7F4D">
            <w:pPr>
              <w:ind w:firstLine="560"/>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14:paraId="0691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3CAD8B07">
            <w:pPr>
              <w:jc w:val="center"/>
              <w:rPr>
                <w:rFonts w:hint="eastAsia" w:ascii="宋体" w:hAnsi="宋体" w:cs="宋体"/>
                <w:color w:val="auto"/>
                <w:szCs w:val="21"/>
                <w:highlight w:val="none"/>
              </w:rPr>
            </w:pPr>
            <w:r>
              <w:rPr>
                <w:rFonts w:hint="eastAsia" w:ascii="宋体" w:hAnsi="宋体" w:cs="宋体"/>
                <w:color w:val="auto"/>
                <w:szCs w:val="21"/>
                <w:highlight w:val="none"/>
              </w:rPr>
              <w:t>起止时间</w:t>
            </w:r>
          </w:p>
        </w:tc>
        <w:tc>
          <w:tcPr>
            <w:tcW w:w="3444" w:type="dxa"/>
            <w:gridSpan w:val="3"/>
            <w:vAlign w:val="center"/>
          </w:tcPr>
          <w:p w14:paraId="76C7D5F2">
            <w:pPr>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1843" w:type="dxa"/>
            <w:vAlign w:val="center"/>
          </w:tcPr>
          <w:p w14:paraId="5DD81E91">
            <w:pPr>
              <w:jc w:val="center"/>
              <w:rPr>
                <w:rFonts w:hint="eastAsia" w:ascii="宋体" w:hAnsi="宋体" w:cs="宋体"/>
                <w:color w:val="auto"/>
                <w:szCs w:val="21"/>
                <w:highlight w:val="none"/>
              </w:rPr>
            </w:pPr>
            <w:r>
              <w:rPr>
                <w:rFonts w:hint="eastAsia" w:ascii="宋体" w:hAnsi="宋体" w:cs="宋体"/>
                <w:color w:val="auto"/>
                <w:szCs w:val="21"/>
                <w:highlight w:val="none"/>
              </w:rPr>
              <w:t>工程概况说明</w:t>
            </w:r>
          </w:p>
        </w:tc>
        <w:tc>
          <w:tcPr>
            <w:tcW w:w="1872" w:type="dxa"/>
            <w:vAlign w:val="center"/>
          </w:tcPr>
          <w:p w14:paraId="212C654E">
            <w:pPr>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7C43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636B3644">
            <w:pPr>
              <w:ind w:firstLine="560"/>
              <w:jc w:val="center"/>
              <w:rPr>
                <w:rFonts w:hint="eastAsia" w:ascii="宋体" w:hAnsi="宋体" w:cs="宋体"/>
                <w:color w:val="auto"/>
                <w:szCs w:val="21"/>
                <w:highlight w:val="none"/>
              </w:rPr>
            </w:pPr>
          </w:p>
        </w:tc>
        <w:tc>
          <w:tcPr>
            <w:tcW w:w="3444" w:type="dxa"/>
            <w:gridSpan w:val="3"/>
            <w:vAlign w:val="center"/>
          </w:tcPr>
          <w:p w14:paraId="1F25A463">
            <w:pPr>
              <w:ind w:firstLine="560"/>
              <w:jc w:val="center"/>
              <w:rPr>
                <w:rFonts w:hint="eastAsia" w:ascii="宋体" w:hAnsi="宋体" w:cs="宋体"/>
                <w:color w:val="auto"/>
                <w:szCs w:val="21"/>
                <w:highlight w:val="none"/>
              </w:rPr>
            </w:pPr>
          </w:p>
        </w:tc>
        <w:tc>
          <w:tcPr>
            <w:tcW w:w="1843" w:type="dxa"/>
            <w:vAlign w:val="center"/>
          </w:tcPr>
          <w:p w14:paraId="497ED225">
            <w:pPr>
              <w:ind w:firstLine="560"/>
              <w:jc w:val="center"/>
              <w:rPr>
                <w:rFonts w:hint="eastAsia" w:ascii="宋体" w:hAnsi="宋体" w:cs="宋体"/>
                <w:color w:val="auto"/>
                <w:szCs w:val="21"/>
                <w:highlight w:val="none"/>
              </w:rPr>
            </w:pPr>
          </w:p>
        </w:tc>
        <w:tc>
          <w:tcPr>
            <w:tcW w:w="1872" w:type="dxa"/>
            <w:vAlign w:val="center"/>
          </w:tcPr>
          <w:p w14:paraId="528CF8FF">
            <w:pPr>
              <w:ind w:firstLine="560"/>
              <w:jc w:val="center"/>
              <w:rPr>
                <w:rFonts w:hint="eastAsia" w:ascii="宋体" w:hAnsi="宋体" w:cs="宋体"/>
                <w:color w:val="auto"/>
                <w:szCs w:val="21"/>
                <w:highlight w:val="none"/>
              </w:rPr>
            </w:pPr>
          </w:p>
        </w:tc>
      </w:tr>
      <w:tr w14:paraId="5CA6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63DB731C">
            <w:pPr>
              <w:ind w:firstLine="560"/>
              <w:jc w:val="center"/>
              <w:rPr>
                <w:rFonts w:hint="eastAsia" w:ascii="宋体" w:hAnsi="宋体" w:cs="宋体"/>
                <w:color w:val="auto"/>
                <w:szCs w:val="21"/>
                <w:highlight w:val="none"/>
              </w:rPr>
            </w:pPr>
          </w:p>
          <w:p w14:paraId="20F8BA76">
            <w:pPr>
              <w:ind w:firstLine="560"/>
              <w:jc w:val="center"/>
              <w:rPr>
                <w:rFonts w:hint="eastAsia" w:ascii="宋体" w:hAnsi="宋体" w:cs="宋体"/>
                <w:color w:val="auto"/>
                <w:szCs w:val="21"/>
                <w:highlight w:val="none"/>
              </w:rPr>
            </w:pPr>
          </w:p>
        </w:tc>
        <w:tc>
          <w:tcPr>
            <w:tcW w:w="3444" w:type="dxa"/>
            <w:gridSpan w:val="3"/>
            <w:vAlign w:val="center"/>
          </w:tcPr>
          <w:p w14:paraId="548AFDBC">
            <w:pPr>
              <w:ind w:firstLine="560"/>
              <w:jc w:val="center"/>
              <w:rPr>
                <w:rFonts w:hint="eastAsia" w:ascii="宋体" w:hAnsi="宋体" w:cs="宋体"/>
                <w:color w:val="auto"/>
                <w:szCs w:val="21"/>
                <w:highlight w:val="none"/>
              </w:rPr>
            </w:pPr>
          </w:p>
        </w:tc>
        <w:tc>
          <w:tcPr>
            <w:tcW w:w="1843" w:type="dxa"/>
            <w:vAlign w:val="center"/>
          </w:tcPr>
          <w:p w14:paraId="030D3F3C">
            <w:pPr>
              <w:ind w:firstLine="560"/>
              <w:jc w:val="center"/>
              <w:rPr>
                <w:rFonts w:hint="eastAsia" w:ascii="宋体" w:hAnsi="宋体" w:cs="宋体"/>
                <w:color w:val="auto"/>
                <w:szCs w:val="21"/>
                <w:highlight w:val="none"/>
              </w:rPr>
            </w:pPr>
          </w:p>
        </w:tc>
        <w:tc>
          <w:tcPr>
            <w:tcW w:w="1872" w:type="dxa"/>
            <w:vAlign w:val="center"/>
          </w:tcPr>
          <w:p w14:paraId="3B962D3B">
            <w:pPr>
              <w:ind w:firstLine="560"/>
              <w:jc w:val="center"/>
              <w:rPr>
                <w:rFonts w:hint="eastAsia" w:ascii="宋体" w:hAnsi="宋体" w:cs="宋体"/>
                <w:color w:val="auto"/>
                <w:szCs w:val="21"/>
                <w:highlight w:val="none"/>
              </w:rPr>
            </w:pPr>
          </w:p>
        </w:tc>
      </w:tr>
      <w:tr w14:paraId="2A67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773AA1CA">
            <w:pPr>
              <w:ind w:firstLine="560"/>
              <w:jc w:val="center"/>
              <w:rPr>
                <w:rFonts w:hint="eastAsia" w:ascii="宋体" w:hAnsi="宋体" w:cs="宋体"/>
                <w:color w:val="auto"/>
                <w:szCs w:val="21"/>
                <w:highlight w:val="none"/>
              </w:rPr>
            </w:pPr>
          </w:p>
        </w:tc>
        <w:tc>
          <w:tcPr>
            <w:tcW w:w="3444" w:type="dxa"/>
            <w:gridSpan w:val="3"/>
            <w:vAlign w:val="center"/>
          </w:tcPr>
          <w:p w14:paraId="19E6BC70">
            <w:pPr>
              <w:ind w:firstLine="560"/>
              <w:jc w:val="center"/>
              <w:rPr>
                <w:rFonts w:hint="eastAsia" w:ascii="宋体" w:hAnsi="宋体" w:cs="宋体"/>
                <w:color w:val="auto"/>
                <w:szCs w:val="21"/>
                <w:highlight w:val="none"/>
              </w:rPr>
            </w:pPr>
          </w:p>
        </w:tc>
        <w:tc>
          <w:tcPr>
            <w:tcW w:w="1843" w:type="dxa"/>
            <w:vAlign w:val="center"/>
          </w:tcPr>
          <w:p w14:paraId="52A1AAA6">
            <w:pPr>
              <w:ind w:firstLine="560"/>
              <w:jc w:val="center"/>
              <w:rPr>
                <w:rFonts w:hint="eastAsia" w:ascii="宋体" w:hAnsi="宋体" w:cs="宋体"/>
                <w:color w:val="auto"/>
                <w:szCs w:val="21"/>
                <w:highlight w:val="none"/>
              </w:rPr>
            </w:pPr>
          </w:p>
        </w:tc>
        <w:tc>
          <w:tcPr>
            <w:tcW w:w="1872" w:type="dxa"/>
            <w:vAlign w:val="center"/>
          </w:tcPr>
          <w:p w14:paraId="262350C8">
            <w:pPr>
              <w:ind w:firstLine="560"/>
              <w:jc w:val="center"/>
              <w:rPr>
                <w:rFonts w:hint="eastAsia" w:ascii="宋体" w:hAnsi="宋体" w:cs="宋体"/>
                <w:color w:val="auto"/>
                <w:szCs w:val="21"/>
                <w:highlight w:val="none"/>
              </w:rPr>
            </w:pPr>
          </w:p>
        </w:tc>
      </w:tr>
      <w:tr w14:paraId="36CC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324" w:type="dxa"/>
            <w:gridSpan w:val="6"/>
            <w:vAlign w:val="center"/>
          </w:tcPr>
          <w:p w14:paraId="765F86CB">
            <w:pPr>
              <w:jc w:val="center"/>
              <w:rPr>
                <w:rFonts w:hint="eastAsia" w:ascii="宋体" w:hAnsi="宋体" w:cs="宋体"/>
                <w:color w:val="auto"/>
                <w:szCs w:val="21"/>
                <w:highlight w:val="none"/>
              </w:rPr>
            </w:pPr>
            <w:r>
              <w:rPr>
                <w:rFonts w:hint="eastAsia" w:ascii="宋体" w:hAnsi="宋体" w:cs="宋体"/>
                <w:color w:val="auto"/>
                <w:szCs w:val="21"/>
                <w:highlight w:val="none"/>
              </w:rPr>
              <w:t>获奖情况</w:t>
            </w:r>
          </w:p>
        </w:tc>
      </w:tr>
      <w:tr w14:paraId="7A42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6B71CE89">
            <w:pPr>
              <w:ind w:firstLine="560"/>
              <w:jc w:val="center"/>
              <w:rPr>
                <w:rFonts w:hint="eastAsia" w:ascii="宋体" w:hAnsi="宋体" w:cs="宋体"/>
                <w:color w:val="auto"/>
                <w:szCs w:val="21"/>
                <w:highlight w:val="none"/>
              </w:rPr>
            </w:pPr>
          </w:p>
        </w:tc>
        <w:tc>
          <w:tcPr>
            <w:tcW w:w="3444" w:type="dxa"/>
            <w:gridSpan w:val="3"/>
            <w:vAlign w:val="center"/>
          </w:tcPr>
          <w:p w14:paraId="0E74D029">
            <w:pPr>
              <w:ind w:firstLine="560"/>
              <w:jc w:val="center"/>
              <w:rPr>
                <w:rFonts w:hint="eastAsia" w:ascii="宋体" w:hAnsi="宋体" w:cs="宋体"/>
                <w:color w:val="auto"/>
                <w:szCs w:val="21"/>
                <w:highlight w:val="none"/>
              </w:rPr>
            </w:pPr>
          </w:p>
        </w:tc>
        <w:tc>
          <w:tcPr>
            <w:tcW w:w="1843" w:type="dxa"/>
            <w:vAlign w:val="center"/>
          </w:tcPr>
          <w:p w14:paraId="081CC2A6">
            <w:pPr>
              <w:ind w:firstLine="560"/>
              <w:jc w:val="center"/>
              <w:rPr>
                <w:rFonts w:hint="eastAsia" w:ascii="宋体" w:hAnsi="宋体" w:cs="宋体"/>
                <w:color w:val="auto"/>
                <w:szCs w:val="21"/>
                <w:highlight w:val="none"/>
              </w:rPr>
            </w:pPr>
          </w:p>
        </w:tc>
        <w:tc>
          <w:tcPr>
            <w:tcW w:w="1872" w:type="dxa"/>
            <w:vAlign w:val="center"/>
          </w:tcPr>
          <w:p w14:paraId="1A2433A6">
            <w:pPr>
              <w:ind w:firstLine="560"/>
              <w:jc w:val="center"/>
              <w:rPr>
                <w:rFonts w:hint="eastAsia" w:ascii="宋体" w:hAnsi="宋体" w:cs="宋体"/>
                <w:color w:val="auto"/>
                <w:szCs w:val="21"/>
                <w:highlight w:val="none"/>
              </w:rPr>
            </w:pPr>
          </w:p>
        </w:tc>
      </w:tr>
      <w:tr w14:paraId="5C8A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38CF92BF">
            <w:pPr>
              <w:ind w:firstLine="560"/>
              <w:jc w:val="center"/>
              <w:rPr>
                <w:rFonts w:hint="eastAsia" w:ascii="宋体" w:hAnsi="宋体" w:cs="宋体"/>
                <w:color w:val="auto"/>
                <w:szCs w:val="21"/>
                <w:highlight w:val="none"/>
              </w:rPr>
            </w:pPr>
          </w:p>
        </w:tc>
        <w:tc>
          <w:tcPr>
            <w:tcW w:w="3444" w:type="dxa"/>
            <w:gridSpan w:val="3"/>
            <w:vAlign w:val="center"/>
          </w:tcPr>
          <w:p w14:paraId="31369AE0">
            <w:pPr>
              <w:ind w:firstLine="560"/>
              <w:jc w:val="center"/>
              <w:rPr>
                <w:rFonts w:hint="eastAsia" w:ascii="宋体" w:hAnsi="宋体" w:cs="宋体"/>
                <w:color w:val="auto"/>
                <w:szCs w:val="21"/>
                <w:highlight w:val="none"/>
              </w:rPr>
            </w:pPr>
          </w:p>
        </w:tc>
        <w:tc>
          <w:tcPr>
            <w:tcW w:w="1843" w:type="dxa"/>
            <w:vAlign w:val="center"/>
          </w:tcPr>
          <w:p w14:paraId="188DB829">
            <w:pPr>
              <w:ind w:firstLine="560"/>
              <w:jc w:val="center"/>
              <w:rPr>
                <w:rFonts w:hint="eastAsia" w:ascii="宋体" w:hAnsi="宋体" w:cs="宋体"/>
                <w:color w:val="auto"/>
                <w:szCs w:val="21"/>
                <w:highlight w:val="none"/>
              </w:rPr>
            </w:pPr>
          </w:p>
        </w:tc>
        <w:tc>
          <w:tcPr>
            <w:tcW w:w="1872" w:type="dxa"/>
            <w:vAlign w:val="center"/>
          </w:tcPr>
          <w:p w14:paraId="233E6CCB">
            <w:pPr>
              <w:ind w:firstLine="560"/>
              <w:jc w:val="center"/>
              <w:rPr>
                <w:rFonts w:hint="eastAsia" w:ascii="宋体" w:hAnsi="宋体" w:cs="宋体"/>
                <w:color w:val="auto"/>
                <w:szCs w:val="21"/>
                <w:highlight w:val="none"/>
              </w:rPr>
            </w:pPr>
          </w:p>
        </w:tc>
      </w:tr>
    </w:tbl>
    <w:p w14:paraId="1B60E880">
      <w:pPr>
        <w:spacing w:line="300" w:lineRule="auto"/>
        <w:ind w:firstLine="360"/>
        <w:jc w:val="left"/>
        <w:rPr>
          <w:color w:val="auto"/>
          <w:kern w:val="0"/>
          <w:sz w:val="18"/>
          <w:szCs w:val="18"/>
          <w:highlight w:val="none"/>
        </w:rPr>
      </w:pPr>
      <w:r>
        <w:rPr>
          <w:color w:val="auto"/>
          <w:kern w:val="0"/>
          <w:sz w:val="18"/>
          <w:szCs w:val="18"/>
          <w:highlight w:val="none"/>
        </w:rPr>
        <w:t xml:space="preserve">    </w:t>
      </w:r>
    </w:p>
    <w:p w14:paraId="171C7ED7">
      <w:pPr>
        <w:spacing w:line="360" w:lineRule="auto"/>
        <w:ind w:firstLine="560"/>
        <w:rPr>
          <w:color w:val="auto"/>
          <w:highlight w:val="none"/>
        </w:rPr>
      </w:pPr>
      <w:r>
        <w:rPr>
          <w:rFonts w:hint="eastAsia"/>
          <w:color w:val="auto"/>
          <w:highlight w:val="none"/>
        </w:rPr>
        <w:t>说明：</w:t>
      </w:r>
    </w:p>
    <w:p w14:paraId="6F6B7958">
      <w:pPr>
        <w:ind w:firstLine="560"/>
        <w:rPr>
          <w:color w:val="auto"/>
          <w:highlight w:val="none"/>
        </w:rPr>
      </w:pPr>
      <w:r>
        <w:rPr>
          <w:color w:val="auto"/>
          <w:highlight w:val="none"/>
        </w:rPr>
        <w:t>1. 请提供拟任项目经理的建造师注册证书、项目负责人安全生产考核合格证书、</w:t>
      </w:r>
      <w:r>
        <w:rPr>
          <w:rFonts w:hint="eastAsia"/>
          <w:color w:val="auto"/>
          <w:highlight w:val="none"/>
        </w:rPr>
        <w:t>职称证书（如有）</w:t>
      </w:r>
      <w:r>
        <w:rPr>
          <w:color w:val="auto"/>
          <w:highlight w:val="none"/>
        </w:rPr>
        <w:t>身份证</w:t>
      </w:r>
      <w:r>
        <w:rPr>
          <w:rFonts w:hint="eastAsia"/>
          <w:color w:val="auto"/>
          <w:highlight w:val="none"/>
        </w:rPr>
        <w:t>的</w:t>
      </w:r>
      <w:r>
        <w:rPr>
          <w:color w:val="auto"/>
          <w:highlight w:val="none"/>
        </w:rPr>
        <w:t>复印件。</w:t>
      </w:r>
    </w:p>
    <w:p w14:paraId="6E9B8371">
      <w:pPr>
        <w:ind w:firstLine="560"/>
        <w:rPr>
          <w:color w:val="auto"/>
          <w:highlight w:val="none"/>
        </w:rPr>
      </w:pPr>
      <w:r>
        <w:rPr>
          <w:color w:val="auto"/>
          <w:highlight w:val="none"/>
        </w:rPr>
        <w:t>2.</w:t>
      </w:r>
      <w:r>
        <w:rPr>
          <w:rFonts w:hint="eastAsia"/>
          <w:color w:val="auto"/>
          <w:highlight w:val="none"/>
        </w:rPr>
        <w:t xml:space="preserve"> 请附类似工程业绩证明资料（具体要求见本资格预审文件第二章申请人须知）。</w:t>
      </w:r>
    </w:p>
    <w:p w14:paraId="728972AE">
      <w:pPr>
        <w:ind w:firstLine="420" w:firstLineChars="200"/>
        <w:rPr>
          <w:color w:val="auto"/>
          <w:highlight w:val="none"/>
        </w:rPr>
      </w:pPr>
    </w:p>
    <w:p w14:paraId="7017F5C9">
      <w:pPr>
        <w:ind w:firstLine="420" w:firstLineChars="200"/>
        <w:rPr>
          <w:color w:val="auto"/>
          <w:highlight w:val="none"/>
        </w:rPr>
      </w:pPr>
    </w:p>
    <w:p w14:paraId="7A2891AD">
      <w:pPr>
        <w:ind w:firstLine="420" w:firstLineChars="200"/>
        <w:rPr>
          <w:color w:val="auto"/>
          <w:highlight w:val="none"/>
        </w:rPr>
      </w:pPr>
    </w:p>
    <w:p w14:paraId="5B1ACC17">
      <w:pPr>
        <w:ind w:firstLine="420" w:firstLineChars="200"/>
        <w:rPr>
          <w:color w:val="auto"/>
          <w:highlight w:val="none"/>
        </w:rPr>
      </w:pPr>
    </w:p>
    <w:p w14:paraId="17C4B50A">
      <w:pPr>
        <w:ind w:firstLine="420" w:firstLineChars="200"/>
        <w:rPr>
          <w:color w:val="auto"/>
          <w:highlight w:val="none"/>
        </w:rPr>
      </w:pPr>
    </w:p>
    <w:p w14:paraId="50A56FF0">
      <w:pPr>
        <w:ind w:firstLine="420" w:firstLineChars="200"/>
        <w:rPr>
          <w:color w:val="auto"/>
          <w:highlight w:val="none"/>
        </w:rPr>
      </w:pPr>
    </w:p>
    <w:p w14:paraId="65761F7F">
      <w:pPr>
        <w:ind w:firstLine="420" w:firstLineChars="200"/>
        <w:rPr>
          <w:color w:val="auto"/>
          <w:highlight w:val="none"/>
        </w:rPr>
      </w:pPr>
    </w:p>
    <w:p w14:paraId="3FF1722D">
      <w:pPr>
        <w:spacing w:line="400" w:lineRule="exact"/>
        <w:ind w:firstLine="562"/>
        <w:jc w:val="center"/>
        <w:rPr>
          <w:rFonts w:ascii="Calibri" w:hAnsi="Calibri"/>
          <w:color w:val="auto"/>
          <w:highlight w:val="none"/>
        </w:rPr>
      </w:pPr>
      <w:r>
        <w:rPr>
          <w:rFonts w:ascii="宋体" w:hAnsi="宋体" w:cs="宋体"/>
          <w:b/>
          <w:color w:val="auto"/>
          <w:sz w:val="28"/>
          <w:szCs w:val="28"/>
          <w:highlight w:val="none"/>
        </w:rPr>
        <w:br w:type="page"/>
      </w:r>
      <w:r>
        <w:rPr>
          <w:rFonts w:hint="eastAsia" w:ascii="宋体" w:hAnsi="宋体" w:cs="宋体"/>
          <w:b/>
          <w:color w:val="auto"/>
          <w:sz w:val="28"/>
          <w:szCs w:val="28"/>
          <w:highlight w:val="none"/>
        </w:rPr>
        <w:t>七、近年完成的类似工程业绩情况表</w:t>
      </w:r>
    </w:p>
    <w:p w14:paraId="180DFA68">
      <w:pPr>
        <w:spacing w:line="400" w:lineRule="exact"/>
        <w:ind w:firstLine="560"/>
        <w:jc w:val="left"/>
        <w:rPr>
          <w:rFonts w:ascii="Calibri" w:hAnsi="Calibri"/>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14:paraId="570F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CD67A7">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5932" w:type="dxa"/>
            <w:vAlign w:val="center"/>
          </w:tcPr>
          <w:p w14:paraId="099B309E">
            <w:pPr>
              <w:ind w:firstLine="560"/>
              <w:jc w:val="center"/>
              <w:rPr>
                <w:rFonts w:hint="eastAsia" w:ascii="宋体" w:hAnsi="宋体" w:cs="宋体"/>
                <w:color w:val="auto"/>
                <w:szCs w:val="21"/>
                <w:highlight w:val="none"/>
              </w:rPr>
            </w:pPr>
          </w:p>
        </w:tc>
      </w:tr>
      <w:tr w14:paraId="2505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8DBDFD5">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5932" w:type="dxa"/>
            <w:vAlign w:val="center"/>
          </w:tcPr>
          <w:p w14:paraId="20F580B1">
            <w:pPr>
              <w:ind w:firstLine="560"/>
              <w:jc w:val="center"/>
              <w:rPr>
                <w:rFonts w:hint="eastAsia" w:ascii="宋体" w:hAnsi="宋体" w:cs="宋体"/>
                <w:color w:val="auto"/>
                <w:szCs w:val="21"/>
                <w:highlight w:val="none"/>
              </w:rPr>
            </w:pPr>
          </w:p>
        </w:tc>
      </w:tr>
      <w:tr w14:paraId="14BF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C4AFFDA">
            <w:pPr>
              <w:jc w:val="center"/>
              <w:rPr>
                <w:rFonts w:hint="eastAsia" w:ascii="宋体" w:hAnsi="宋体" w:cs="宋体"/>
                <w:color w:val="auto"/>
                <w:szCs w:val="21"/>
                <w:highlight w:val="none"/>
              </w:rPr>
            </w:pPr>
            <w:r>
              <w:rPr>
                <w:rFonts w:hint="eastAsia" w:ascii="宋体" w:hAnsi="宋体" w:cs="宋体"/>
                <w:color w:val="auto"/>
                <w:szCs w:val="21"/>
                <w:highlight w:val="none"/>
              </w:rPr>
              <w:t>发包人名称</w:t>
            </w:r>
          </w:p>
        </w:tc>
        <w:tc>
          <w:tcPr>
            <w:tcW w:w="5932" w:type="dxa"/>
            <w:vAlign w:val="center"/>
          </w:tcPr>
          <w:p w14:paraId="5F17B844">
            <w:pPr>
              <w:ind w:firstLine="560"/>
              <w:jc w:val="center"/>
              <w:rPr>
                <w:rFonts w:hint="eastAsia" w:ascii="宋体" w:hAnsi="宋体" w:cs="宋体"/>
                <w:color w:val="auto"/>
                <w:szCs w:val="21"/>
                <w:highlight w:val="none"/>
              </w:rPr>
            </w:pPr>
          </w:p>
        </w:tc>
      </w:tr>
      <w:tr w14:paraId="2882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C44F6F4">
            <w:pPr>
              <w:jc w:val="center"/>
              <w:rPr>
                <w:rFonts w:hint="eastAsia" w:ascii="宋体" w:hAnsi="宋体" w:cs="宋体"/>
                <w:color w:val="auto"/>
                <w:szCs w:val="21"/>
                <w:highlight w:val="none"/>
              </w:rPr>
            </w:pPr>
            <w:r>
              <w:rPr>
                <w:rFonts w:hint="eastAsia" w:ascii="宋体" w:hAnsi="宋体" w:cs="宋体"/>
                <w:color w:val="auto"/>
                <w:szCs w:val="21"/>
                <w:highlight w:val="none"/>
              </w:rPr>
              <w:t>发包人地址</w:t>
            </w:r>
          </w:p>
        </w:tc>
        <w:tc>
          <w:tcPr>
            <w:tcW w:w="5932" w:type="dxa"/>
            <w:vAlign w:val="center"/>
          </w:tcPr>
          <w:p w14:paraId="4DDF47EB">
            <w:pPr>
              <w:ind w:firstLine="560"/>
              <w:jc w:val="center"/>
              <w:rPr>
                <w:rFonts w:hint="eastAsia" w:ascii="宋体" w:hAnsi="宋体" w:cs="宋体"/>
                <w:color w:val="auto"/>
                <w:szCs w:val="21"/>
                <w:highlight w:val="none"/>
              </w:rPr>
            </w:pPr>
          </w:p>
        </w:tc>
      </w:tr>
      <w:tr w14:paraId="61C6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330333E">
            <w:pPr>
              <w:jc w:val="center"/>
              <w:rPr>
                <w:rFonts w:hint="eastAsia" w:ascii="宋体" w:hAnsi="宋体" w:cs="宋体"/>
                <w:color w:val="auto"/>
                <w:szCs w:val="21"/>
                <w:highlight w:val="none"/>
              </w:rPr>
            </w:pPr>
            <w:r>
              <w:rPr>
                <w:rFonts w:hint="eastAsia" w:ascii="宋体" w:hAnsi="宋体" w:cs="宋体"/>
                <w:color w:val="auto"/>
                <w:szCs w:val="21"/>
                <w:highlight w:val="none"/>
              </w:rPr>
              <w:t>发包人联系人及电话</w:t>
            </w:r>
          </w:p>
        </w:tc>
        <w:tc>
          <w:tcPr>
            <w:tcW w:w="5932" w:type="dxa"/>
            <w:vAlign w:val="center"/>
          </w:tcPr>
          <w:p w14:paraId="29E9F2A3">
            <w:pPr>
              <w:ind w:firstLine="560"/>
              <w:jc w:val="center"/>
              <w:rPr>
                <w:rFonts w:hint="eastAsia" w:ascii="宋体" w:hAnsi="宋体" w:cs="宋体"/>
                <w:color w:val="auto"/>
                <w:szCs w:val="21"/>
                <w:highlight w:val="none"/>
              </w:rPr>
            </w:pPr>
          </w:p>
        </w:tc>
      </w:tr>
      <w:tr w14:paraId="6C71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3279993">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p>
        </w:tc>
        <w:tc>
          <w:tcPr>
            <w:tcW w:w="5932" w:type="dxa"/>
            <w:vAlign w:val="center"/>
          </w:tcPr>
          <w:p w14:paraId="6A632AE8">
            <w:pPr>
              <w:ind w:firstLine="560"/>
              <w:jc w:val="center"/>
              <w:rPr>
                <w:rFonts w:hint="eastAsia" w:ascii="宋体" w:hAnsi="宋体" w:cs="宋体"/>
                <w:color w:val="auto"/>
                <w:szCs w:val="21"/>
                <w:highlight w:val="none"/>
              </w:rPr>
            </w:pPr>
          </w:p>
        </w:tc>
      </w:tr>
      <w:tr w14:paraId="485F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FD885B4">
            <w:pPr>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5932" w:type="dxa"/>
            <w:vAlign w:val="center"/>
          </w:tcPr>
          <w:p w14:paraId="6BE38C70">
            <w:pPr>
              <w:ind w:firstLine="560"/>
              <w:jc w:val="center"/>
              <w:rPr>
                <w:rFonts w:hint="eastAsia" w:ascii="宋体" w:hAnsi="宋体" w:cs="宋体"/>
                <w:color w:val="auto"/>
                <w:szCs w:val="21"/>
                <w:highlight w:val="none"/>
              </w:rPr>
            </w:pPr>
          </w:p>
        </w:tc>
      </w:tr>
      <w:tr w14:paraId="46D2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0E8019A">
            <w:pPr>
              <w:jc w:val="center"/>
              <w:rPr>
                <w:rFonts w:hint="eastAsia" w:ascii="宋体" w:hAnsi="宋体" w:cs="宋体"/>
                <w:color w:val="auto"/>
                <w:szCs w:val="21"/>
                <w:highlight w:val="none"/>
              </w:rPr>
            </w:pPr>
            <w:r>
              <w:rPr>
                <w:rFonts w:hint="eastAsia" w:ascii="宋体" w:hAnsi="宋体" w:cs="宋体"/>
                <w:color w:val="auto"/>
                <w:szCs w:val="21"/>
                <w:highlight w:val="none"/>
              </w:rPr>
              <w:t>竣工日期</w:t>
            </w:r>
          </w:p>
        </w:tc>
        <w:tc>
          <w:tcPr>
            <w:tcW w:w="5932" w:type="dxa"/>
            <w:vAlign w:val="center"/>
          </w:tcPr>
          <w:p w14:paraId="0999445B">
            <w:pPr>
              <w:ind w:firstLine="560"/>
              <w:jc w:val="center"/>
              <w:rPr>
                <w:rFonts w:hint="eastAsia" w:ascii="宋体" w:hAnsi="宋体" w:cs="宋体"/>
                <w:color w:val="auto"/>
                <w:szCs w:val="21"/>
                <w:highlight w:val="none"/>
              </w:rPr>
            </w:pPr>
          </w:p>
        </w:tc>
      </w:tr>
      <w:tr w14:paraId="34B6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0FE1BA9">
            <w:pPr>
              <w:jc w:val="center"/>
              <w:rPr>
                <w:rFonts w:hint="eastAsia" w:ascii="宋体" w:hAnsi="宋体" w:cs="宋体"/>
                <w:color w:val="auto"/>
                <w:szCs w:val="21"/>
                <w:highlight w:val="none"/>
              </w:rPr>
            </w:pPr>
            <w:r>
              <w:rPr>
                <w:rFonts w:hint="eastAsia" w:ascii="宋体" w:hAnsi="宋体" w:cs="宋体"/>
                <w:color w:val="auto"/>
                <w:szCs w:val="21"/>
                <w:highlight w:val="none"/>
              </w:rPr>
              <w:t>承担的工作</w:t>
            </w:r>
          </w:p>
        </w:tc>
        <w:tc>
          <w:tcPr>
            <w:tcW w:w="5932" w:type="dxa"/>
            <w:vAlign w:val="center"/>
          </w:tcPr>
          <w:p w14:paraId="110C5AC5">
            <w:pPr>
              <w:ind w:firstLine="560"/>
              <w:jc w:val="center"/>
              <w:rPr>
                <w:rFonts w:hint="eastAsia" w:ascii="宋体" w:hAnsi="宋体" w:cs="宋体"/>
                <w:color w:val="auto"/>
                <w:szCs w:val="21"/>
                <w:highlight w:val="none"/>
              </w:rPr>
            </w:pPr>
          </w:p>
        </w:tc>
      </w:tr>
      <w:tr w14:paraId="6DC8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D4E988">
            <w:pPr>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932" w:type="dxa"/>
            <w:vAlign w:val="center"/>
          </w:tcPr>
          <w:p w14:paraId="5833E6AB">
            <w:pPr>
              <w:ind w:firstLine="560"/>
              <w:jc w:val="center"/>
              <w:rPr>
                <w:rFonts w:hint="eastAsia" w:ascii="宋体" w:hAnsi="宋体" w:cs="宋体"/>
                <w:color w:val="auto"/>
                <w:szCs w:val="21"/>
                <w:highlight w:val="none"/>
              </w:rPr>
            </w:pPr>
          </w:p>
        </w:tc>
      </w:tr>
      <w:tr w14:paraId="6ADB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A25AB1F">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5932" w:type="dxa"/>
            <w:vAlign w:val="center"/>
          </w:tcPr>
          <w:p w14:paraId="0CC98DC0">
            <w:pPr>
              <w:ind w:firstLine="560"/>
              <w:jc w:val="center"/>
              <w:rPr>
                <w:rFonts w:hint="eastAsia" w:ascii="宋体" w:hAnsi="宋体" w:cs="宋体"/>
                <w:color w:val="auto"/>
                <w:szCs w:val="21"/>
                <w:highlight w:val="none"/>
              </w:rPr>
            </w:pPr>
          </w:p>
        </w:tc>
      </w:tr>
      <w:tr w14:paraId="44D9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B00B7C2">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5932" w:type="dxa"/>
            <w:vAlign w:val="center"/>
          </w:tcPr>
          <w:p w14:paraId="7559D644">
            <w:pPr>
              <w:ind w:firstLine="560"/>
              <w:jc w:val="center"/>
              <w:rPr>
                <w:rFonts w:hint="eastAsia" w:ascii="宋体" w:hAnsi="宋体" w:cs="宋体"/>
                <w:color w:val="auto"/>
                <w:szCs w:val="21"/>
                <w:highlight w:val="none"/>
              </w:rPr>
            </w:pPr>
          </w:p>
        </w:tc>
      </w:tr>
      <w:tr w14:paraId="1807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ECDC521">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5932" w:type="dxa"/>
            <w:vAlign w:val="center"/>
          </w:tcPr>
          <w:p w14:paraId="5A4DD4B4">
            <w:pPr>
              <w:ind w:firstLine="560"/>
              <w:jc w:val="center"/>
              <w:rPr>
                <w:rFonts w:hint="eastAsia" w:ascii="宋体" w:hAnsi="宋体" w:cs="宋体"/>
                <w:color w:val="auto"/>
                <w:szCs w:val="21"/>
                <w:highlight w:val="none"/>
              </w:rPr>
            </w:pPr>
          </w:p>
        </w:tc>
      </w:tr>
      <w:tr w14:paraId="76D9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vAlign w:val="center"/>
          </w:tcPr>
          <w:p w14:paraId="1F593674">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5932" w:type="dxa"/>
            <w:vAlign w:val="center"/>
          </w:tcPr>
          <w:p w14:paraId="4B5E32DB">
            <w:pPr>
              <w:ind w:firstLine="560"/>
              <w:jc w:val="center"/>
              <w:rPr>
                <w:rFonts w:hint="eastAsia" w:ascii="宋体" w:hAnsi="宋体" w:cs="宋体"/>
                <w:color w:val="auto"/>
                <w:szCs w:val="21"/>
                <w:highlight w:val="none"/>
              </w:rPr>
            </w:pPr>
          </w:p>
        </w:tc>
      </w:tr>
      <w:tr w14:paraId="38C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E236D01">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5932" w:type="dxa"/>
            <w:vAlign w:val="center"/>
          </w:tcPr>
          <w:p w14:paraId="28676D90">
            <w:pPr>
              <w:ind w:firstLine="560"/>
              <w:jc w:val="center"/>
              <w:rPr>
                <w:rFonts w:hint="eastAsia" w:ascii="宋体" w:hAnsi="宋体" w:cs="宋体"/>
                <w:color w:val="auto"/>
                <w:szCs w:val="21"/>
                <w:highlight w:val="none"/>
              </w:rPr>
            </w:pPr>
          </w:p>
        </w:tc>
      </w:tr>
    </w:tbl>
    <w:p w14:paraId="4796AC36">
      <w:pPr>
        <w:spacing w:line="300" w:lineRule="auto"/>
        <w:ind w:left="538" w:leftChars="85" w:hanging="360" w:hangingChars="200"/>
        <w:rPr>
          <w:color w:val="auto"/>
          <w:sz w:val="18"/>
          <w:szCs w:val="18"/>
          <w:highlight w:val="none"/>
        </w:rPr>
      </w:pPr>
    </w:p>
    <w:p w14:paraId="52AFB1FC">
      <w:pPr>
        <w:spacing w:line="300" w:lineRule="auto"/>
        <w:ind w:left="537" w:leftChars="170" w:hanging="180" w:hangingChars="100"/>
        <w:rPr>
          <w:color w:val="auto"/>
          <w:sz w:val="18"/>
          <w:szCs w:val="18"/>
          <w:highlight w:val="none"/>
        </w:rPr>
      </w:pPr>
      <w:r>
        <w:rPr>
          <w:rFonts w:hint="eastAsia"/>
          <w:color w:val="auto"/>
          <w:sz w:val="18"/>
          <w:szCs w:val="18"/>
          <w:highlight w:val="none"/>
        </w:rPr>
        <w:t>说明</w:t>
      </w:r>
      <w:r>
        <w:rPr>
          <w:color w:val="auto"/>
          <w:sz w:val="18"/>
          <w:szCs w:val="18"/>
          <w:highlight w:val="none"/>
        </w:rPr>
        <w:t>：</w:t>
      </w:r>
      <w:bookmarkStart w:id="154" w:name="_Hlk75203509"/>
      <w:r>
        <w:rPr>
          <w:color w:val="auto"/>
          <w:sz w:val="18"/>
          <w:szCs w:val="18"/>
          <w:highlight w:val="none"/>
        </w:rPr>
        <w:t>1.</w:t>
      </w:r>
      <w:r>
        <w:rPr>
          <w:rFonts w:hint="eastAsia"/>
          <w:color w:val="auto"/>
          <w:sz w:val="18"/>
          <w:szCs w:val="18"/>
          <w:highlight w:val="none"/>
        </w:rPr>
        <w:t>请附类似工程业绩证明资料（具体要求见本资格预审文件第二章申请人须知）。</w:t>
      </w:r>
      <w:bookmarkStart w:id="155" w:name="_Toc300678584"/>
    </w:p>
    <w:bookmarkEnd w:id="154"/>
    <w:bookmarkEnd w:id="155"/>
    <w:p w14:paraId="44F52B31">
      <w:pPr>
        <w:spacing w:line="420" w:lineRule="exact"/>
        <w:ind w:firstLine="560"/>
        <w:jc w:val="center"/>
        <w:rPr>
          <w:rFonts w:eastAsia="黑体"/>
          <w:color w:val="auto"/>
          <w:sz w:val="28"/>
          <w:szCs w:val="28"/>
          <w:highlight w:val="none"/>
        </w:rPr>
      </w:pPr>
      <w:r>
        <w:rPr>
          <w:rFonts w:eastAsia="黑体"/>
          <w:color w:val="auto"/>
          <w:sz w:val="28"/>
          <w:szCs w:val="28"/>
          <w:highlight w:val="none"/>
        </w:rPr>
        <w:br w:type="page"/>
      </w:r>
      <w:r>
        <w:rPr>
          <w:rFonts w:hint="eastAsia" w:eastAsia="黑体"/>
          <w:color w:val="auto"/>
          <w:sz w:val="28"/>
          <w:szCs w:val="28"/>
          <w:highlight w:val="none"/>
        </w:rPr>
        <w:t>八、</w:t>
      </w:r>
      <w:r>
        <w:rPr>
          <w:rFonts w:eastAsia="黑体"/>
          <w:color w:val="auto"/>
          <w:sz w:val="28"/>
          <w:szCs w:val="28"/>
          <w:highlight w:val="none"/>
        </w:rPr>
        <w:t>承 诺 书</w:t>
      </w:r>
    </w:p>
    <w:p w14:paraId="169C9846">
      <w:pPr>
        <w:pStyle w:val="49"/>
        <w:snapToGrid w:val="0"/>
        <w:spacing w:line="360" w:lineRule="auto"/>
        <w:rPr>
          <w:rFonts w:hint="eastAsia" w:ascii="宋体" w:hAnsi="宋体"/>
          <w:color w:val="auto"/>
          <w:highlight w:val="none"/>
        </w:rPr>
      </w:pPr>
    </w:p>
    <w:p w14:paraId="55F6EBB3">
      <w:pPr>
        <w:pStyle w:val="49"/>
        <w:snapToGrid w:val="0"/>
        <w:spacing w:line="360" w:lineRule="auto"/>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（招标人名称）：</w:t>
      </w:r>
    </w:p>
    <w:p w14:paraId="3AFC07A3">
      <w:pPr>
        <w:pStyle w:val="49"/>
        <w:snapToGrid w:val="0"/>
        <w:spacing w:line="360" w:lineRule="auto"/>
        <w:rPr>
          <w:rFonts w:hint="eastAsia" w:ascii="宋体" w:hAnsi="宋体"/>
          <w:color w:val="auto"/>
          <w:highlight w:val="none"/>
        </w:rPr>
      </w:pPr>
    </w:p>
    <w:p w14:paraId="73C27796">
      <w:pPr>
        <w:pStyle w:val="49"/>
        <w:snapToGrid w:val="0"/>
        <w:spacing w:line="360" w:lineRule="auto"/>
        <w:ind w:firstLine="420" w:firstLineChars="200"/>
        <w:rPr>
          <w:rFonts w:hint="eastAsia" w:ascii="宋体" w:hAnsi="宋体"/>
          <w:color w:val="auto"/>
          <w:highlight w:val="none"/>
        </w:rPr>
      </w:pPr>
      <w:r>
        <w:rPr>
          <w:rFonts w:ascii="宋体" w:hAnsi="宋体"/>
          <w:color w:val="auto"/>
          <w:highlight w:val="none"/>
        </w:rPr>
        <w:t>我方在此声明：</w:t>
      </w:r>
    </w:p>
    <w:p w14:paraId="3A7FE810">
      <w:pPr>
        <w:pStyle w:val="49"/>
        <w:snapToGrid w:val="0"/>
        <w:spacing w:line="360" w:lineRule="auto"/>
        <w:ind w:firstLine="420" w:firstLineChars="200"/>
        <w:rPr>
          <w:rFonts w:hint="eastAsia" w:ascii="宋体" w:hAnsi="宋体"/>
          <w:color w:val="auto"/>
          <w:highlight w:val="none"/>
        </w:rPr>
      </w:pPr>
      <w:r>
        <w:rPr>
          <w:rFonts w:ascii="宋体" w:hAnsi="宋体"/>
          <w:color w:val="auto"/>
          <w:highlight w:val="none"/>
        </w:rPr>
        <w:t>1.我方拟派</w:t>
      </w:r>
      <w:r>
        <w:rPr>
          <w:rFonts w:hint="eastAsia" w:ascii="宋体" w:hAnsi="宋体"/>
          <w:color w:val="auto"/>
          <w:highlight w:val="none"/>
        </w:rPr>
        <w:t>往</w:t>
      </w:r>
      <w:r>
        <w:rPr>
          <w:rFonts w:hint="eastAsia" w:ascii="宋体" w:hAnsi="宋体"/>
          <w:color w:val="auto"/>
          <w:highlight w:val="none"/>
          <w:u w:val="single"/>
        </w:rPr>
        <w:t xml:space="preserve">   招标项目及标段       </w:t>
      </w:r>
      <w:r>
        <w:rPr>
          <w:rFonts w:hint="eastAsia" w:ascii="宋体" w:hAnsi="宋体"/>
          <w:color w:val="auto"/>
          <w:highlight w:val="none"/>
        </w:rPr>
        <w:t xml:space="preserve"> </w:t>
      </w:r>
      <w:r>
        <w:rPr>
          <w:rFonts w:ascii="宋体" w:hAnsi="宋体"/>
          <w:color w:val="auto"/>
          <w:highlight w:val="none"/>
        </w:rPr>
        <w:t>的</w:t>
      </w:r>
      <w:r>
        <w:rPr>
          <w:rFonts w:hint="eastAsia" w:ascii="宋体" w:hAnsi="宋体"/>
          <w:color w:val="auto"/>
          <w:highlight w:val="none"/>
        </w:rPr>
        <w:t>项目经理</w:t>
      </w:r>
      <w:r>
        <w:rPr>
          <w:rFonts w:ascii="宋体" w:hAnsi="宋体"/>
          <w:color w:val="auto"/>
          <w:highlight w:val="none"/>
        </w:rPr>
        <w:t>能够到位履行职责，如不能到位，我方自愿接受处罚。</w:t>
      </w:r>
    </w:p>
    <w:p w14:paraId="7DD447E3">
      <w:pPr>
        <w:pStyle w:val="49"/>
        <w:snapToGrid w:val="0"/>
        <w:spacing w:line="360" w:lineRule="auto"/>
        <w:ind w:firstLine="420" w:firstLineChars="200"/>
        <w:rPr>
          <w:rFonts w:hint="eastAsia" w:ascii="宋体" w:hAnsi="宋体"/>
          <w:color w:val="auto"/>
          <w:highlight w:val="none"/>
        </w:rPr>
      </w:pPr>
      <w:r>
        <w:rPr>
          <w:rFonts w:ascii="宋体" w:hAnsi="宋体"/>
          <w:color w:val="auto"/>
          <w:highlight w:val="none"/>
        </w:rPr>
        <w:t>2.我方不存在第二章“申请人须知”第1.4.3项规定的任何一种情形。</w:t>
      </w:r>
    </w:p>
    <w:p w14:paraId="5D8097C9">
      <w:pPr>
        <w:pStyle w:val="49"/>
        <w:snapToGrid w:val="0"/>
        <w:spacing w:line="360" w:lineRule="auto"/>
        <w:ind w:firstLine="420" w:firstLineChars="200"/>
        <w:rPr>
          <w:rFonts w:hint="eastAsia" w:ascii="宋体" w:hAnsi="宋体"/>
          <w:color w:val="auto"/>
          <w:highlight w:val="none"/>
          <w:lang w:val="sq-AL"/>
        </w:rPr>
      </w:pPr>
      <w:r>
        <w:rPr>
          <w:rFonts w:ascii="宋体" w:hAnsi="宋体"/>
          <w:color w:val="auto"/>
          <w:highlight w:val="none"/>
          <w:lang w:val="sq-AL"/>
        </w:rPr>
        <w:t>3.我方严格遵守相关法律法规</w:t>
      </w:r>
      <w:r>
        <w:rPr>
          <w:rFonts w:hint="eastAsia" w:ascii="宋体" w:hAnsi="宋体"/>
          <w:color w:val="auto"/>
          <w:highlight w:val="none"/>
          <w:lang w:val="sq-AL"/>
        </w:rPr>
        <w:t>规定</w:t>
      </w:r>
      <w:r>
        <w:rPr>
          <w:rFonts w:ascii="宋体" w:hAnsi="宋体"/>
          <w:color w:val="auto"/>
          <w:highlight w:val="none"/>
          <w:lang w:val="sq-AL"/>
        </w:rPr>
        <w:t>，没有串通投标、资质挂靠等违法、违规行为。</w:t>
      </w:r>
    </w:p>
    <w:p w14:paraId="7DF27CE5">
      <w:pPr>
        <w:pStyle w:val="49"/>
        <w:snapToGrid w:val="0"/>
        <w:spacing w:line="360" w:lineRule="auto"/>
        <w:ind w:firstLine="420" w:firstLineChars="200"/>
        <w:rPr>
          <w:rFonts w:hint="eastAsia" w:ascii="宋体" w:hAnsi="宋体"/>
          <w:color w:val="auto"/>
          <w:highlight w:val="none"/>
          <w:lang w:val="sq-AL"/>
        </w:rPr>
      </w:pPr>
      <w:r>
        <w:rPr>
          <w:rFonts w:ascii="宋体" w:hAnsi="宋体"/>
          <w:color w:val="auto"/>
          <w:highlight w:val="none"/>
          <w:lang w:val="sq-AL"/>
        </w:rPr>
        <w:t>4.我方保证提供的资质、业绩等证明材料真实、合法、有效，</w:t>
      </w:r>
      <w:r>
        <w:rPr>
          <w:rFonts w:ascii="宋体" w:hAnsi="宋体"/>
          <w:color w:val="auto"/>
          <w:highlight w:val="none"/>
        </w:rPr>
        <w:t>并愿意承担因我方就此弄虚作假所引起的一切后果。</w:t>
      </w:r>
    </w:p>
    <w:p w14:paraId="11AEFAEE">
      <w:pPr>
        <w:pStyle w:val="49"/>
        <w:snapToGrid w:val="0"/>
        <w:spacing w:line="360" w:lineRule="auto"/>
        <w:ind w:firstLine="420" w:firstLineChars="200"/>
        <w:rPr>
          <w:rFonts w:hint="eastAsia" w:ascii="宋体" w:hAnsi="宋体"/>
          <w:color w:val="auto"/>
          <w:highlight w:val="none"/>
          <w:lang w:val="sq-AL"/>
        </w:rPr>
      </w:pPr>
      <w:r>
        <w:rPr>
          <w:rFonts w:ascii="宋体" w:hAnsi="宋体"/>
          <w:color w:val="auto"/>
          <w:highlight w:val="none"/>
          <w:lang w:val="sq-AL"/>
        </w:rPr>
        <w:t>5.我方不参与不正当竞争，不向招标人、招标代理机构、交易中心、</w:t>
      </w:r>
      <w:r>
        <w:rPr>
          <w:rFonts w:hint="eastAsia" w:ascii="宋体" w:hAnsi="宋体"/>
          <w:color w:val="auto"/>
          <w:highlight w:val="none"/>
          <w:lang w:val="sq-AL"/>
        </w:rPr>
        <w:t>资格审查委员会成员</w:t>
      </w:r>
      <w:r>
        <w:rPr>
          <w:rFonts w:ascii="宋体" w:hAnsi="宋体"/>
          <w:color w:val="auto"/>
          <w:highlight w:val="none"/>
          <w:lang w:val="sq-AL"/>
        </w:rPr>
        <w:t>以及行业监督部门行贿以谋取不正当利益。</w:t>
      </w:r>
    </w:p>
    <w:p w14:paraId="385D46F7">
      <w:pPr>
        <w:pStyle w:val="49"/>
        <w:snapToGrid w:val="0"/>
        <w:spacing w:line="360" w:lineRule="auto"/>
        <w:ind w:firstLine="420" w:firstLineChars="200"/>
        <w:rPr>
          <w:rFonts w:hint="eastAsia" w:ascii="宋体" w:hAnsi="宋体"/>
          <w:color w:val="auto"/>
          <w:highlight w:val="none"/>
          <w:lang w:val="sq-AL"/>
        </w:rPr>
      </w:pPr>
      <w:r>
        <w:rPr>
          <w:rFonts w:ascii="宋体" w:hAnsi="宋体"/>
          <w:color w:val="auto"/>
          <w:highlight w:val="none"/>
          <w:lang w:val="sq-AL"/>
        </w:rPr>
        <w:t>6.我方严格按照招、投标文件约定签订合同，不将中标项目转包或违法分包。</w:t>
      </w:r>
    </w:p>
    <w:p w14:paraId="1AFF1AD3">
      <w:pPr>
        <w:pStyle w:val="49"/>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val="sq-AL"/>
        </w:rPr>
        <w:t>7</w:t>
      </w:r>
      <w:r>
        <w:rPr>
          <w:rFonts w:ascii="宋体" w:hAnsi="宋体"/>
          <w:color w:val="auto"/>
          <w:highlight w:val="none"/>
          <w:lang w:val="sq-AL"/>
        </w:rPr>
        <w:t>.</w:t>
      </w:r>
      <w:r>
        <w:rPr>
          <w:rFonts w:ascii="宋体" w:hAnsi="宋体"/>
          <w:color w:val="auto"/>
          <w:highlight w:val="none"/>
        </w:rPr>
        <w:t>一旦我方中标，坚决维护农民工的合法权益，按时足额支付农民工工资，决不拖欠。</w:t>
      </w:r>
    </w:p>
    <w:p w14:paraId="0D37D0D8">
      <w:pPr>
        <w:pStyle w:val="49"/>
        <w:snapToGrid w:val="0"/>
        <w:spacing w:line="360" w:lineRule="auto"/>
        <w:ind w:firstLine="420" w:firstLineChars="200"/>
        <w:rPr>
          <w:rFonts w:hint="eastAsia" w:ascii="宋体" w:hAnsi="宋体"/>
          <w:color w:val="auto"/>
          <w:highlight w:val="none"/>
        </w:rPr>
      </w:pPr>
      <w:r>
        <w:rPr>
          <w:rFonts w:ascii="宋体" w:hAnsi="宋体"/>
          <w:color w:val="auto"/>
          <w:highlight w:val="none"/>
        </w:rPr>
        <w:t>特此承诺！</w:t>
      </w:r>
    </w:p>
    <w:p w14:paraId="09DAF43D">
      <w:pPr>
        <w:pStyle w:val="49"/>
        <w:snapToGrid w:val="0"/>
        <w:spacing w:line="360" w:lineRule="auto"/>
        <w:ind w:firstLine="420" w:firstLineChars="200"/>
        <w:rPr>
          <w:rFonts w:hint="eastAsia" w:ascii="宋体" w:hAnsi="宋体"/>
          <w:color w:val="auto"/>
          <w:highlight w:val="none"/>
        </w:rPr>
      </w:pPr>
    </w:p>
    <w:p w14:paraId="33A621A1">
      <w:pPr>
        <w:pStyle w:val="49"/>
        <w:snapToGrid w:val="0"/>
        <w:spacing w:line="360" w:lineRule="auto"/>
        <w:ind w:firstLine="420" w:firstLineChars="200"/>
        <w:rPr>
          <w:rFonts w:hint="eastAsia" w:ascii="宋体" w:hAnsi="宋体"/>
          <w:color w:val="auto"/>
          <w:highlight w:val="none"/>
        </w:rPr>
      </w:pPr>
    </w:p>
    <w:p w14:paraId="76B8DC6A">
      <w:pPr>
        <w:widowControl/>
        <w:ind w:firstLine="560"/>
        <w:jc w:val="center"/>
        <w:rPr>
          <w:rFonts w:hint="eastAsia" w:ascii="宋体" w:hAnsi="宋体"/>
          <w:color w:val="auto"/>
          <w:highlight w:val="none"/>
        </w:rPr>
      </w:pPr>
    </w:p>
    <w:p w14:paraId="3576FFCF">
      <w:pPr>
        <w:widowControl/>
        <w:ind w:firstLine="560"/>
        <w:jc w:val="center"/>
        <w:rPr>
          <w:rFonts w:hint="eastAsia" w:ascii="宋体" w:hAnsi="宋体"/>
          <w:color w:val="auto"/>
          <w:highlight w:val="none"/>
        </w:rPr>
      </w:pPr>
      <w:r>
        <w:rPr>
          <w:rFonts w:ascii="宋体" w:hAnsi="宋体"/>
          <w:color w:val="auto"/>
          <w:highlight w:val="none"/>
        </w:rPr>
        <w:br w:type="page"/>
      </w:r>
    </w:p>
    <w:p w14:paraId="1DDCC9A0">
      <w:pPr>
        <w:widowControl/>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九、其他材料</w:t>
      </w:r>
    </w:p>
    <w:p w14:paraId="59D988BB">
      <w:pPr>
        <w:pStyle w:val="49"/>
        <w:snapToGrid w:val="0"/>
        <w:spacing w:line="360" w:lineRule="auto"/>
        <w:ind w:firstLine="420" w:firstLineChars="200"/>
        <w:rPr>
          <w:rFonts w:hint="eastAsia" w:ascii="宋体" w:hAnsi="宋体"/>
          <w:color w:val="auto"/>
          <w:highlight w:val="none"/>
        </w:rPr>
      </w:pPr>
      <w:bookmarkStart w:id="156" w:name="_Toc195800147"/>
      <w:r>
        <w:rPr>
          <w:rFonts w:hint="eastAsia" w:ascii="宋体" w:hAnsi="宋体"/>
          <w:color w:val="auto"/>
          <w:highlight w:val="none"/>
        </w:rPr>
        <w:t>9-1业绩、奖项、信用等自评表 （</w:t>
      </w:r>
      <w:r>
        <w:rPr>
          <w:rFonts w:ascii="宋体" w:hAnsi="宋体"/>
          <w:color w:val="auto"/>
          <w:highlight w:val="none"/>
        </w:rPr>
        <w:sym w:font="Wingdings 2" w:char="00A3"/>
      </w:r>
      <w:r>
        <w:rPr>
          <w:rFonts w:hint="eastAsia" w:ascii="宋体" w:hAnsi="宋体"/>
          <w:color w:val="auto"/>
          <w:highlight w:val="none"/>
        </w:rPr>
        <w:t xml:space="preserve">本项目适用  </w:t>
      </w:r>
      <w:r>
        <w:rPr>
          <w:rFonts w:ascii="宋体" w:hAnsi="宋体"/>
          <w:color w:val="auto"/>
          <w:highlight w:val="none"/>
        </w:rPr>
        <w:sym w:font="Wingdings 2" w:char="00A3"/>
      </w:r>
      <w:r>
        <w:rPr>
          <w:rFonts w:hint="eastAsia" w:ascii="宋体" w:hAnsi="宋体"/>
          <w:color w:val="auto"/>
          <w:highlight w:val="none"/>
        </w:rPr>
        <w:t>本项目不适用）</w:t>
      </w:r>
      <w:bookmarkEnd w:id="156"/>
    </w:p>
    <w:tbl>
      <w:tblPr>
        <w:tblStyle w:val="21"/>
        <w:tblW w:w="10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13"/>
        <w:gridCol w:w="937"/>
        <w:gridCol w:w="925"/>
        <w:gridCol w:w="63"/>
        <w:gridCol w:w="1075"/>
        <w:gridCol w:w="612"/>
        <w:gridCol w:w="120"/>
        <w:gridCol w:w="643"/>
        <w:gridCol w:w="900"/>
        <w:gridCol w:w="1237"/>
        <w:gridCol w:w="1000"/>
        <w:gridCol w:w="888"/>
      </w:tblGrid>
      <w:tr w14:paraId="1B5B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15" w:type="dxa"/>
            <w:gridSpan w:val="2"/>
            <w:vAlign w:val="center"/>
          </w:tcPr>
          <w:p w14:paraId="7524AE8A">
            <w:pPr>
              <w:keepNext/>
              <w:keepLines/>
              <w:ind w:firstLine="360"/>
              <w:jc w:val="center"/>
              <w:outlineLvl w:val="2"/>
              <w:rPr>
                <w:rFonts w:ascii="Calibri" w:hAnsi="Calibri" w:cs="Calibri"/>
                <w:color w:val="auto"/>
                <w:sz w:val="18"/>
                <w:szCs w:val="21"/>
                <w:highlight w:val="none"/>
              </w:rPr>
            </w:pPr>
            <w:bookmarkStart w:id="157" w:name="_Toc195800148"/>
            <w:bookmarkStart w:id="158" w:name="_Toc193802821"/>
            <w:bookmarkStart w:id="159" w:name="_Toc305"/>
            <w:r>
              <w:rPr>
                <w:rFonts w:ascii="Calibri" w:hAnsi="Calibri" w:cs="Calibri"/>
                <w:color w:val="auto"/>
                <w:sz w:val="18"/>
                <w:szCs w:val="21"/>
                <w:highlight w:val="none"/>
              </w:rPr>
              <w:t>申请人</w:t>
            </w:r>
            <w:bookmarkEnd w:id="157"/>
            <w:bookmarkEnd w:id="158"/>
            <w:bookmarkEnd w:id="159"/>
          </w:p>
        </w:tc>
        <w:tc>
          <w:tcPr>
            <w:tcW w:w="7512" w:type="dxa"/>
            <w:gridSpan w:val="10"/>
            <w:vAlign w:val="center"/>
          </w:tcPr>
          <w:p w14:paraId="779AC1AD">
            <w:pPr>
              <w:keepNext/>
              <w:keepLines/>
              <w:ind w:firstLine="360"/>
              <w:jc w:val="center"/>
              <w:outlineLvl w:val="2"/>
              <w:rPr>
                <w:rFonts w:ascii="Calibri" w:hAnsi="Calibri" w:cs="Calibri"/>
                <w:color w:val="auto"/>
                <w:sz w:val="18"/>
                <w:szCs w:val="21"/>
                <w:highlight w:val="none"/>
              </w:rPr>
            </w:pPr>
          </w:p>
        </w:tc>
        <w:tc>
          <w:tcPr>
            <w:tcW w:w="888" w:type="dxa"/>
            <w:vAlign w:val="center"/>
          </w:tcPr>
          <w:p w14:paraId="676B5693">
            <w:pPr>
              <w:keepNext/>
              <w:keepLines/>
              <w:jc w:val="center"/>
              <w:outlineLvl w:val="2"/>
              <w:rPr>
                <w:rFonts w:ascii="Calibri" w:hAnsi="Calibri" w:cs="Calibri"/>
                <w:color w:val="auto"/>
                <w:sz w:val="18"/>
                <w:szCs w:val="21"/>
                <w:highlight w:val="none"/>
              </w:rPr>
            </w:pPr>
            <w:bookmarkStart w:id="160" w:name="_Toc22357"/>
            <w:bookmarkStart w:id="161" w:name="_Toc195800149"/>
            <w:bookmarkStart w:id="162" w:name="_Toc193802822"/>
            <w:r>
              <w:rPr>
                <w:rFonts w:hint="eastAsia" w:ascii="Calibri" w:hAnsi="Calibri" w:cs="Calibri"/>
                <w:color w:val="auto"/>
                <w:sz w:val="18"/>
                <w:szCs w:val="21"/>
                <w:highlight w:val="none"/>
              </w:rPr>
              <w:t>得分</w:t>
            </w:r>
            <w:bookmarkEnd w:id="160"/>
            <w:bookmarkEnd w:id="161"/>
            <w:bookmarkEnd w:id="162"/>
          </w:p>
        </w:tc>
      </w:tr>
      <w:tr w14:paraId="5753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restart"/>
            <w:vAlign w:val="center"/>
          </w:tcPr>
          <w:p w14:paraId="590EB39A">
            <w:pPr>
              <w:keepNext/>
              <w:keepLines/>
              <w:jc w:val="center"/>
              <w:outlineLvl w:val="2"/>
              <w:rPr>
                <w:rFonts w:ascii="Calibri" w:hAnsi="Calibri" w:cs="Calibri"/>
                <w:color w:val="auto"/>
                <w:sz w:val="18"/>
                <w:szCs w:val="21"/>
                <w:highlight w:val="none"/>
              </w:rPr>
            </w:pPr>
            <w:bookmarkStart w:id="163" w:name="_Toc193802823"/>
            <w:bookmarkStart w:id="164" w:name="_Toc195800150"/>
            <w:bookmarkStart w:id="165" w:name="_Toc29616"/>
            <w:r>
              <w:rPr>
                <w:rFonts w:hint="eastAsia" w:ascii="Calibri" w:hAnsi="Calibri" w:cs="Calibri"/>
                <w:color w:val="auto"/>
                <w:sz w:val="18"/>
                <w:szCs w:val="21"/>
                <w:highlight w:val="none"/>
              </w:rPr>
              <w:t>1</w:t>
            </w:r>
            <w:bookmarkEnd w:id="163"/>
            <w:bookmarkEnd w:id="164"/>
            <w:bookmarkEnd w:id="165"/>
          </w:p>
        </w:tc>
        <w:tc>
          <w:tcPr>
            <w:tcW w:w="1113" w:type="dxa"/>
            <w:vMerge w:val="restart"/>
            <w:vAlign w:val="center"/>
          </w:tcPr>
          <w:p w14:paraId="53D7699A">
            <w:pPr>
              <w:keepNext/>
              <w:keepLines/>
              <w:outlineLvl w:val="2"/>
              <w:rPr>
                <w:rFonts w:ascii="Calibri" w:hAnsi="Calibri" w:cs="Calibri"/>
                <w:color w:val="auto"/>
                <w:sz w:val="18"/>
                <w:szCs w:val="21"/>
                <w:highlight w:val="none"/>
              </w:rPr>
            </w:pPr>
            <w:bookmarkStart w:id="166" w:name="_Toc193802824"/>
            <w:bookmarkStart w:id="167" w:name="_Toc195800151"/>
            <w:bookmarkStart w:id="168" w:name="_Toc32506"/>
            <w:r>
              <w:rPr>
                <w:rFonts w:hint="eastAsia" w:ascii="Calibri" w:hAnsi="Calibri" w:cs="Calibri"/>
                <w:color w:val="auto"/>
                <w:sz w:val="18"/>
                <w:szCs w:val="21"/>
                <w:highlight w:val="none"/>
              </w:rPr>
              <w:t>类似工程业绩</w:t>
            </w:r>
            <w:bookmarkEnd w:id="166"/>
            <w:bookmarkEnd w:id="167"/>
            <w:bookmarkEnd w:id="168"/>
          </w:p>
        </w:tc>
        <w:tc>
          <w:tcPr>
            <w:tcW w:w="937" w:type="dxa"/>
            <w:vAlign w:val="center"/>
          </w:tcPr>
          <w:p w14:paraId="2BD1CC48">
            <w:pPr>
              <w:keepNext/>
              <w:keepLines/>
              <w:jc w:val="center"/>
              <w:outlineLvl w:val="2"/>
              <w:rPr>
                <w:rFonts w:ascii="Calibri" w:hAnsi="Calibri" w:cs="Calibri"/>
                <w:color w:val="auto"/>
                <w:sz w:val="18"/>
                <w:szCs w:val="21"/>
                <w:highlight w:val="none"/>
              </w:rPr>
            </w:pPr>
            <w:bookmarkStart w:id="169" w:name="_Toc17918"/>
            <w:bookmarkStart w:id="170" w:name="_Toc193802825"/>
            <w:bookmarkStart w:id="171" w:name="_Toc195800152"/>
            <w:r>
              <w:rPr>
                <w:rFonts w:hint="eastAsia" w:ascii="Calibri" w:hAnsi="Calibri" w:cs="Calibri"/>
                <w:color w:val="auto"/>
                <w:sz w:val="18"/>
                <w:szCs w:val="21"/>
                <w:highlight w:val="none"/>
              </w:rPr>
              <w:t>序号</w:t>
            </w:r>
            <w:bookmarkEnd w:id="169"/>
            <w:bookmarkEnd w:id="170"/>
            <w:bookmarkEnd w:id="171"/>
          </w:p>
        </w:tc>
        <w:tc>
          <w:tcPr>
            <w:tcW w:w="925" w:type="dxa"/>
            <w:vAlign w:val="center"/>
          </w:tcPr>
          <w:p w14:paraId="01536BB5">
            <w:pPr>
              <w:keepNext/>
              <w:keepLines/>
              <w:ind w:left="-202" w:leftChars="-96"/>
              <w:jc w:val="center"/>
              <w:outlineLvl w:val="2"/>
              <w:rPr>
                <w:rFonts w:ascii="Calibri" w:hAnsi="Calibri" w:cs="Calibri"/>
                <w:color w:val="auto"/>
                <w:sz w:val="18"/>
                <w:szCs w:val="21"/>
                <w:highlight w:val="none"/>
              </w:rPr>
            </w:pPr>
            <w:bookmarkStart w:id="172" w:name="_Toc193802826"/>
            <w:bookmarkStart w:id="173" w:name="_Toc22650"/>
            <w:bookmarkStart w:id="174" w:name="_Toc195800153"/>
            <w:r>
              <w:rPr>
                <w:rFonts w:hint="eastAsia" w:ascii="Calibri" w:hAnsi="Calibri" w:cs="Calibri"/>
                <w:color w:val="auto"/>
                <w:sz w:val="18"/>
                <w:szCs w:val="21"/>
                <w:highlight w:val="none"/>
              </w:rPr>
              <w:t>开工日期</w:t>
            </w:r>
            <w:bookmarkEnd w:id="172"/>
            <w:bookmarkEnd w:id="173"/>
            <w:bookmarkEnd w:id="174"/>
          </w:p>
        </w:tc>
        <w:tc>
          <w:tcPr>
            <w:tcW w:w="1138" w:type="dxa"/>
            <w:gridSpan w:val="2"/>
            <w:vAlign w:val="center"/>
          </w:tcPr>
          <w:p w14:paraId="2A7E2C83">
            <w:pPr>
              <w:keepNext/>
              <w:keepLines/>
              <w:jc w:val="center"/>
              <w:outlineLvl w:val="2"/>
              <w:rPr>
                <w:rFonts w:ascii="Calibri" w:hAnsi="Calibri" w:cs="Calibri"/>
                <w:color w:val="auto"/>
                <w:sz w:val="18"/>
                <w:szCs w:val="21"/>
                <w:highlight w:val="none"/>
              </w:rPr>
            </w:pPr>
            <w:bookmarkStart w:id="175" w:name="_Toc195800154"/>
            <w:bookmarkStart w:id="176" w:name="_Toc193802827"/>
            <w:bookmarkStart w:id="177" w:name="_Toc17374"/>
            <w:r>
              <w:rPr>
                <w:rFonts w:hint="eastAsia" w:ascii="Calibri" w:hAnsi="Calibri" w:cs="Calibri"/>
                <w:color w:val="auto"/>
                <w:sz w:val="18"/>
                <w:szCs w:val="21"/>
                <w:highlight w:val="none"/>
              </w:rPr>
              <w:t>验收日期</w:t>
            </w:r>
            <w:bookmarkEnd w:id="175"/>
            <w:bookmarkEnd w:id="176"/>
            <w:bookmarkEnd w:id="177"/>
          </w:p>
        </w:tc>
        <w:tc>
          <w:tcPr>
            <w:tcW w:w="1375" w:type="dxa"/>
            <w:gridSpan w:val="3"/>
            <w:vAlign w:val="center"/>
          </w:tcPr>
          <w:p w14:paraId="1733535C">
            <w:pPr>
              <w:keepNext/>
              <w:keepLines/>
              <w:jc w:val="center"/>
              <w:outlineLvl w:val="2"/>
              <w:rPr>
                <w:rFonts w:ascii="Calibri" w:hAnsi="Calibri" w:cs="Calibri"/>
                <w:color w:val="auto"/>
                <w:sz w:val="18"/>
                <w:szCs w:val="21"/>
                <w:highlight w:val="none"/>
              </w:rPr>
            </w:pPr>
            <w:bookmarkStart w:id="178" w:name="_Toc195800155"/>
            <w:bookmarkStart w:id="179" w:name="_Toc19673"/>
            <w:bookmarkStart w:id="180" w:name="_Toc193802828"/>
            <w:r>
              <w:rPr>
                <w:rFonts w:hint="eastAsia" w:ascii="Calibri" w:hAnsi="Calibri" w:cs="Calibri"/>
                <w:color w:val="auto"/>
                <w:sz w:val="18"/>
                <w:szCs w:val="21"/>
                <w:highlight w:val="none"/>
              </w:rPr>
              <w:t>工程名称</w:t>
            </w:r>
            <w:bookmarkEnd w:id="178"/>
            <w:bookmarkEnd w:id="179"/>
            <w:bookmarkEnd w:id="180"/>
          </w:p>
        </w:tc>
        <w:tc>
          <w:tcPr>
            <w:tcW w:w="900" w:type="dxa"/>
            <w:vAlign w:val="center"/>
          </w:tcPr>
          <w:p w14:paraId="499F61C4">
            <w:pPr>
              <w:keepNext/>
              <w:keepLines/>
              <w:ind w:left="2" w:leftChars="-95" w:hanging="201"/>
              <w:jc w:val="center"/>
              <w:outlineLvl w:val="2"/>
              <w:rPr>
                <w:rFonts w:ascii="Calibri" w:hAnsi="Calibri" w:cs="Calibri"/>
                <w:color w:val="auto"/>
                <w:sz w:val="18"/>
                <w:szCs w:val="21"/>
                <w:highlight w:val="none"/>
              </w:rPr>
            </w:pPr>
            <w:bookmarkStart w:id="181" w:name="_Toc193802829"/>
            <w:bookmarkStart w:id="182" w:name="_Toc30058"/>
            <w:bookmarkStart w:id="183" w:name="_Toc195800156"/>
            <w:r>
              <w:rPr>
                <w:rFonts w:hint="eastAsia" w:ascii="Calibri" w:hAnsi="Calibri" w:cs="Calibri"/>
                <w:color w:val="auto"/>
                <w:sz w:val="18"/>
                <w:szCs w:val="21"/>
                <w:highlight w:val="none"/>
              </w:rPr>
              <w:t>合同金额</w:t>
            </w:r>
            <w:bookmarkEnd w:id="181"/>
            <w:bookmarkEnd w:id="182"/>
            <w:bookmarkEnd w:id="183"/>
          </w:p>
        </w:tc>
        <w:tc>
          <w:tcPr>
            <w:tcW w:w="2237" w:type="dxa"/>
            <w:gridSpan w:val="2"/>
            <w:vAlign w:val="center"/>
          </w:tcPr>
          <w:p w14:paraId="1F655B53">
            <w:pPr>
              <w:keepNext/>
              <w:keepLines/>
              <w:jc w:val="center"/>
              <w:outlineLvl w:val="2"/>
              <w:rPr>
                <w:rFonts w:ascii="Calibri" w:hAnsi="Calibri" w:cs="Calibri"/>
                <w:color w:val="auto"/>
                <w:sz w:val="18"/>
                <w:szCs w:val="21"/>
                <w:highlight w:val="none"/>
              </w:rPr>
            </w:pPr>
            <w:bookmarkStart w:id="184" w:name="_Toc606"/>
            <w:bookmarkStart w:id="185" w:name="_Toc193802830"/>
            <w:bookmarkStart w:id="186" w:name="_Toc195800157"/>
            <w:r>
              <w:rPr>
                <w:rFonts w:hint="eastAsia" w:ascii="Calibri" w:hAnsi="Calibri" w:cs="Calibri"/>
                <w:color w:val="auto"/>
                <w:sz w:val="18"/>
                <w:szCs w:val="21"/>
                <w:highlight w:val="none"/>
              </w:rPr>
              <w:t>发包人及联系电话</w:t>
            </w:r>
            <w:bookmarkEnd w:id="184"/>
            <w:bookmarkEnd w:id="185"/>
            <w:bookmarkEnd w:id="186"/>
          </w:p>
        </w:tc>
        <w:tc>
          <w:tcPr>
            <w:tcW w:w="888" w:type="dxa"/>
            <w:vMerge w:val="restart"/>
            <w:vAlign w:val="center"/>
          </w:tcPr>
          <w:p w14:paraId="3990963D">
            <w:pPr>
              <w:keepNext/>
              <w:keepLines/>
              <w:ind w:firstLine="360"/>
              <w:jc w:val="center"/>
              <w:outlineLvl w:val="2"/>
              <w:rPr>
                <w:rFonts w:ascii="Calibri" w:hAnsi="Calibri" w:cs="Calibri"/>
                <w:color w:val="auto"/>
                <w:sz w:val="18"/>
                <w:szCs w:val="21"/>
                <w:highlight w:val="none"/>
              </w:rPr>
            </w:pPr>
          </w:p>
        </w:tc>
      </w:tr>
      <w:tr w14:paraId="258A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06662BDF">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2D2F61B3">
            <w:pPr>
              <w:keepNext/>
              <w:keepLines/>
              <w:jc w:val="center"/>
              <w:outlineLvl w:val="2"/>
              <w:rPr>
                <w:rFonts w:ascii="Calibri" w:hAnsi="Calibri" w:cs="Calibri"/>
                <w:color w:val="auto"/>
                <w:sz w:val="18"/>
                <w:szCs w:val="21"/>
                <w:highlight w:val="none"/>
              </w:rPr>
            </w:pPr>
          </w:p>
        </w:tc>
        <w:tc>
          <w:tcPr>
            <w:tcW w:w="937" w:type="dxa"/>
            <w:vAlign w:val="center"/>
          </w:tcPr>
          <w:p w14:paraId="021C180C">
            <w:pPr>
              <w:keepNext/>
              <w:keepLines/>
              <w:jc w:val="center"/>
              <w:outlineLvl w:val="2"/>
              <w:rPr>
                <w:rFonts w:ascii="Calibri" w:hAnsi="Calibri" w:cs="Calibri"/>
                <w:color w:val="auto"/>
                <w:sz w:val="18"/>
                <w:szCs w:val="21"/>
                <w:highlight w:val="none"/>
              </w:rPr>
            </w:pPr>
            <w:bookmarkStart w:id="187" w:name="_Toc193802831"/>
            <w:bookmarkStart w:id="188" w:name="_Toc195800158"/>
            <w:bookmarkStart w:id="189" w:name="_Toc5113"/>
            <w:r>
              <w:rPr>
                <w:rFonts w:hint="eastAsia" w:ascii="Calibri" w:hAnsi="Calibri" w:cs="Calibri"/>
                <w:color w:val="auto"/>
                <w:sz w:val="18"/>
                <w:szCs w:val="21"/>
                <w:highlight w:val="none"/>
              </w:rPr>
              <w:t>第一个</w:t>
            </w:r>
            <w:bookmarkEnd w:id="187"/>
            <w:bookmarkEnd w:id="188"/>
            <w:bookmarkEnd w:id="189"/>
          </w:p>
        </w:tc>
        <w:tc>
          <w:tcPr>
            <w:tcW w:w="925" w:type="dxa"/>
            <w:vAlign w:val="center"/>
          </w:tcPr>
          <w:p w14:paraId="2B6B07C8">
            <w:pPr>
              <w:keepNext/>
              <w:keepLines/>
              <w:ind w:left="-202" w:leftChars="-96"/>
              <w:jc w:val="center"/>
              <w:outlineLvl w:val="2"/>
              <w:rPr>
                <w:rFonts w:ascii="Calibri" w:hAnsi="Calibri" w:cs="Calibri"/>
                <w:color w:val="auto"/>
                <w:sz w:val="18"/>
                <w:szCs w:val="21"/>
                <w:highlight w:val="none"/>
              </w:rPr>
            </w:pPr>
          </w:p>
        </w:tc>
        <w:tc>
          <w:tcPr>
            <w:tcW w:w="1138" w:type="dxa"/>
            <w:gridSpan w:val="2"/>
            <w:vAlign w:val="center"/>
          </w:tcPr>
          <w:p w14:paraId="63066B94">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3B68EBFB">
            <w:pPr>
              <w:keepNext/>
              <w:keepLines/>
              <w:ind w:firstLine="360"/>
              <w:jc w:val="center"/>
              <w:outlineLvl w:val="2"/>
              <w:rPr>
                <w:rFonts w:ascii="Calibri" w:hAnsi="Calibri" w:cs="Calibri"/>
                <w:color w:val="auto"/>
                <w:sz w:val="18"/>
                <w:szCs w:val="21"/>
                <w:highlight w:val="none"/>
              </w:rPr>
            </w:pPr>
          </w:p>
        </w:tc>
        <w:tc>
          <w:tcPr>
            <w:tcW w:w="900" w:type="dxa"/>
            <w:vAlign w:val="center"/>
          </w:tcPr>
          <w:p w14:paraId="7F227868">
            <w:pPr>
              <w:keepNext/>
              <w:keepLines/>
              <w:ind w:left="2" w:leftChars="-95" w:hanging="201"/>
              <w:jc w:val="center"/>
              <w:outlineLvl w:val="2"/>
              <w:rPr>
                <w:rFonts w:ascii="Calibri" w:hAnsi="Calibri" w:cs="Calibri"/>
                <w:color w:val="auto"/>
                <w:sz w:val="18"/>
                <w:szCs w:val="21"/>
                <w:highlight w:val="none"/>
              </w:rPr>
            </w:pPr>
          </w:p>
        </w:tc>
        <w:tc>
          <w:tcPr>
            <w:tcW w:w="2237" w:type="dxa"/>
            <w:gridSpan w:val="2"/>
            <w:vAlign w:val="center"/>
          </w:tcPr>
          <w:p w14:paraId="79326091">
            <w:pPr>
              <w:keepNext/>
              <w:keepLines/>
              <w:jc w:val="center"/>
              <w:outlineLvl w:val="2"/>
              <w:rPr>
                <w:rFonts w:ascii="Calibri" w:hAnsi="Calibri" w:cs="Calibri"/>
                <w:color w:val="auto"/>
                <w:sz w:val="18"/>
                <w:szCs w:val="21"/>
                <w:highlight w:val="none"/>
              </w:rPr>
            </w:pPr>
          </w:p>
        </w:tc>
        <w:tc>
          <w:tcPr>
            <w:tcW w:w="888" w:type="dxa"/>
            <w:vMerge w:val="continue"/>
            <w:vAlign w:val="center"/>
          </w:tcPr>
          <w:p w14:paraId="16F288B0">
            <w:pPr>
              <w:keepNext/>
              <w:keepLines/>
              <w:ind w:firstLine="360"/>
              <w:jc w:val="center"/>
              <w:outlineLvl w:val="2"/>
              <w:rPr>
                <w:rFonts w:ascii="Calibri" w:hAnsi="Calibri" w:cs="Calibri"/>
                <w:color w:val="auto"/>
                <w:sz w:val="18"/>
                <w:szCs w:val="21"/>
                <w:highlight w:val="none"/>
              </w:rPr>
            </w:pPr>
          </w:p>
        </w:tc>
      </w:tr>
      <w:tr w14:paraId="6D64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45601B6B">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1EF47A79">
            <w:pPr>
              <w:keepNext/>
              <w:keepLines/>
              <w:jc w:val="center"/>
              <w:outlineLvl w:val="2"/>
              <w:rPr>
                <w:rFonts w:ascii="Calibri" w:hAnsi="Calibri" w:cs="Calibri"/>
                <w:color w:val="auto"/>
                <w:sz w:val="18"/>
                <w:szCs w:val="21"/>
                <w:highlight w:val="none"/>
              </w:rPr>
            </w:pPr>
          </w:p>
        </w:tc>
        <w:tc>
          <w:tcPr>
            <w:tcW w:w="937" w:type="dxa"/>
            <w:vAlign w:val="center"/>
          </w:tcPr>
          <w:p w14:paraId="2655CED0">
            <w:pPr>
              <w:keepNext/>
              <w:keepLines/>
              <w:jc w:val="center"/>
              <w:outlineLvl w:val="2"/>
              <w:rPr>
                <w:rFonts w:ascii="Calibri" w:hAnsi="Calibri" w:cs="Calibri"/>
                <w:color w:val="auto"/>
                <w:sz w:val="18"/>
                <w:szCs w:val="21"/>
                <w:highlight w:val="none"/>
              </w:rPr>
            </w:pPr>
            <w:bookmarkStart w:id="190" w:name="_Toc193802832"/>
            <w:bookmarkStart w:id="191" w:name="_Toc4211"/>
            <w:bookmarkStart w:id="192" w:name="_Toc195800159"/>
            <w:r>
              <w:rPr>
                <w:rFonts w:hint="eastAsia" w:ascii="Calibri" w:hAnsi="Calibri" w:cs="Calibri"/>
                <w:color w:val="auto"/>
                <w:sz w:val="18"/>
                <w:szCs w:val="21"/>
                <w:highlight w:val="none"/>
              </w:rPr>
              <w:t>第二个</w:t>
            </w:r>
            <w:bookmarkEnd w:id="190"/>
            <w:bookmarkEnd w:id="191"/>
            <w:bookmarkEnd w:id="192"/>
          </w:p>
        </w:tc>
        <w:tc>
          <w:tcPr>
            <w:tcW w:w="925" w:type="dxa"/>
            <w:vAlign w:val="center"/>
          </w:tcPr>
          <w:p w14:paraId="3953E985">
            <w:pPr>
              <w:keepNext/>
              <w:keepLines/>
              <w:ind w:left="-202" w:leftChars="-96"/>
              <w:jc w:val="center"/>
              <w:outlineLvl w:val="2"/>
              <w:rPr>
                <w:rFonts w:ascii="Calibri" w:hAnsi="Calibri" w:cs="Calibri"/>
                <w:color w:val="auto"/>
                <w:sz w:val="18"/>
                <w:szCs w:val="21"/>
                <w:highlight w:val="none"/>
              </w:rPr>
            </w:pPr>
          </w:p>
        </w:tc>
        <w:tc>
          <w:tcPr>
            <w:tcW w:w="1138" w:type="dxa"/>
            <w:gridSpan w:val="2"/>
            <w:vAlign w:val="center"/>
          </w:tcPr>
          <w:p w14:paraId="7534E2D2">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74E6F517">
            <w:pPr>
              <w:keepNext/>
              <w:keepLines/>
              <w:ind w:firstLine="360"/>
              <w:jc w:val="center"/>
              <w:outlineLvl w:val="2"/>
              <w:rPr>
                <w:rFonts w:ascii="Calibri" w:hAnsi="Calibri" w:cs="Calibri"/>
                <w:color w:val="auto"/>
                <w:sz w:val="18"/>
                <w:szCs w:val="21"/>
                <w:highlight w:val="none"/>
              </w:rPr>
            </w:pPr>
          </w:p>
        </w:tc>
        <w:tc>
          <w:tcPr>
            <w:tcW w:w="900" w:type="dxa"/>
            <w:vAlign w:val="center"/>
          </w:tcPr>
          <w:p w14:paraId="446A8DF7">
            <w:pPr>
              <w:keepNext/>
              <w:keepLines/>
              <w:ind w:left="2" w:leftChars="-95" w:hanging="201"/>
              <w:jc w:val="center"/>
              <w:outlineLvl w:val="2"/>
              <w:rPr>
                <w:rFonts w:ascii="Calibri" w:hAnsi="Calibri" w:cs="Calibri"/>
                <w:color w:val="auto"/>
                <w:sz w:val="18"/>
                <w:szCs w:val="21"/>
                <w:highlight w:val="none"/>
              </w:rPr>
            </w:pPr>
          </w:p>
        </w:tc>
        <w:tc>
          <w:tcPr>
            <w:tcW w:w="2237" w:type="dxa"/>
            <w:gridSpan w:val="2"/>
            <w:vAlign w:val="center"/>
          </w:tcPr>
          <w:p w14:paraId="6DA22B00">
            <w:pPr>
              <w:keepNext/>
              <w:keepLines/>
              <w:jc w:val="center"/>
              <w:outlineLvl w:val="2"/>
              <w:rPr>
                <w:rFonts w:ascii="Calibri" w:hAnsi="Calibri" w:cs="Calibri"/>
                <w:color w:val="auto"/>
                <w:sz w:val="18"/>
                <w:szCs w:val="21"/>
                <w:highlight w:val="none"/>
              </w:rPr>
            </w:pPr>
          </w:p>
        </w:tc>
        <w:tc>
          <w:tcPr>
            <w:tcW w:w="888" w:type="dxa"/>
            <w:vMerge w:val="continue"/>
            <w:vAlign w:val="center"/>
          </w:tcPr>
          <w:p w14:paraId="727E4D34">
            <w:pPr>
              <w:keepNext/>
              <w:keepLines/>
              <w:ind w:firstLine="360"/>
              <w:jc w:val="center"/>
              <w:outlineLvl w:val="2"/>
              <w:rPr>
                <w:rFonts w:ascii="Calibri" w:hAnsi="Calibri" w:cs="Calibri"/>
                <w:color w:val="auto"/>
                <w:sz w:val="18"/>
                <w:szCs w:val="21"/>
                <w:highlight w:val="none"/>
              </w:rPr>
            </w:pPr>
          </w:p>
        </w:tc>
      </w:tr>
      <w:tr w14:paraId="3564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02B5E2C6">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52B1F243">
            <w:pPr>
              <w:keepNext/>
              <w:keepLines/>
              <w:jc w:val="center"/>
              <w:outlineLvl w:val="2"/>
              <w:rPr>
                <w:rFonts w:ascii="Calibri" w:hAnsi="Calibri" w:cs="Calibri"/>
                <w:color w:val="auto"/>
                <w:sz w:val="18"/>
                <w:szCs w:val="21"/>
                <w:highlight w:val="none"/>
              </w:rPr>
            </w:pPr>
          </w:p>
        </w:tc>
        <w:tc>
          <w:tcPr>
            <w:tcW w:w="937" w:type="dxa"/>
            <w:vAlign w:val="center"/>
          </w:tcPr>
          <w:p w14:paraId="72197A7F">
            <w:pPr>
              <w:keepNext/>
              <w:keepLines/>
              <w:jc w:val="center"/>
              <w:outlineLvl w:val="2"/>
              <w:rPr>
                <w:rFonts w:ascii="Calibri" w:hAnsi="Calibri" w:cs="Calibri"/>
                <w:color w:val="auto"/>
                <w:sz w:val="18"/>
                <w:szCs w:val="21"/>
                <w:highlight w:val="none"/>
              </w:rPr>
            </w:pPr>
            <w:bookmarkStart w:id="193" w:name="_Toc193802833"/>
            <w:bookmarkStart w:id="194" w:name="_Toc195800160"/>
            <w:bookmarkStart w:id="195" w:name="_Toc14099"/>
            <w:r>
              <w:rPr>
                <w:rFonts w:hint="eastAsia" w:ascii="Calibri" w:hAnsi="Calibri" w:cs="Calibri"/>
                <w:color w:val="auto"/>
                <w:sz w:val="18"/>
                <w:szCs w:val="21"/>
                <w:highlight w:val="none"/>
              </w:rPr>
              <w:t>第三个</w:t>
            </w:r>
            <w:bookmarkEnd w:id="193"/>
            <w:bookmarkEnd w:id="194"/>
            <w:bookmarkEnd w:id="195"/>
          </w:p>
        </w:tc>
        <w:tc>
          <w:tcPr>
            <w:tcW w:w="925" w:type="dxa"/>
            <w:vAlign w:val="center"/>
          </w:tcPr>
          <w:p w14:paraId="61C0D84B">
            <w:pPr>
              <w:keepNext/>
              <w:keepLines/>
              <w:ind w:left="-202" w:leftChars="-96"/>
              <w:jc w:val="center"/>
              <w:outlineLvl w:val="2"/>
              <w:rPr>
                <w:rFonts w:ascii="Calibri" w:hAnsi="Calibri" w:cs="Calibri"/>
                <w:color w:val="auto"/>
                <w:sz w:val="18"/>
                <w:szCs w:val="21"/>
                <w:highlight w:val="none"/>
              </w:rPr>
            </w:pPr>
          </w:p>
        </w:tc>
        <w:tc>
          <w:tcPr>
            <w:tcW w:w="1138" w:type="dxa"/>
            <w:gridSpan w:val="2"/>
            <w:vAlign w:val="center"/>
          </w:tcPr>
          <w:p w14:paraId="25E9B2B0">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799921D6">
            <w:pPr>
              <w:keepNext/>
              <w:keepLines/>
              <w:ind w:firstLine="360"/>
              <w:jc w:val="center"/>
              <w:outlineLvl w:val="2"/>
              <w:rPr>
                <w:rFonts w:ascii="Calibri" w:hAnsi="Calibri" w:cs="Calibri"/>
                <w:color w:val="auto"/>
                <w:sz w:val="18"/>
                <w:szCs w:val="21"/>
                <w:highlight w:val="none"/>
              </w:rPr>
            </w:pPr>
          </w:p>
        </w:tc>
        <w:tc>
          <w:tcPr>
            <w:tcW w:w="900" w:type="dxa"/>
            <w:vAlign w:val="center"/>
          </w:tcPr>
          <w:p w14:paraId="7EBF95A5">
            <w:pPr>
              <w:keepNext/>
              <w:keepLines/>
              <w:ind w:left="2" w:leftChars="-95" w:hanging="201"/>
              <w:jc w:val="center"/>
              <w:outlineLvl w:val="2"/>
              <w:rPr>
                <w:rFonts w:ascii="Calibri" w:hAnsi="Calibri" w:cs="Calibri"/>
                <w:color w:val="auto"/>
                <w:sz w:val="18"/>
                <w:szCs w:val="21"/>
                <w:highlight w:val="none"/>
              </w:rPr>
            </w:pPr>
          </w:p>
        </w:tc>
        <w:tc>
          <w:tcPr>
            <w:tcW w:w="2237" w:type="dxa"/>
            <w:gridSpan w:val="2"/>
            <w:vAlign w:val="center"/>
          </w:tcPr>
          <w:p w14:paraId="36576E33">
            <w:pPr>
              <w:keepNext/>
              <w:keepLines/>
              <w:jc w:val="center"/>
              <w:outlineLvl w:val="2"/>
              <w:rPr>
                <w:rFonts w:ascii="Calibri" w:hAnsi="Calibri" w:cs="Calibri"/>
                <w:color w:val="auto"/>
                <w:sz w:val="18"/>
                <w:szCs w:val="21"/>
                <w:highlight w:val="none"/>
              </w:rPr>
            </w:pPr>
          </w:p>
        </w:tc>
        <w:tc>
          <w:tcPr>
            <w:tcW w:w="888" w:type="dxa"/>
            <w:vMerge w:val="continue"/>
            <w:vAlign w:val="center"/>
          </w:tcPr>
          <w:p w14:paraId="22349DFD">
            <w:pPr>
              <w:keepNext/>
              <w:keepLines/>
              <w:ind w:firstLine="360"/>
              <w:jc w:val="center"/>
              <w:outlineLvl w:val="2"/>
              <w:rPr>
                <w:rFonts w:ascii="Calibri" w:hAnsi="Calibri" w:cs="Calibri"/>
                <w:color w:val="auto"/>
                <w:sz w:val="18"/>
                <w:szCs w:val="21"/>
                <w:highlight w:val="none"/>
              </w:rPr>
            </w:pPr>
          </w:p>
        </w:tc>
      </w:tr>
      <w:tr w14:paraId="6891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38FBE5CE">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6F0B12B3">
            <w:pPr>
              <w:keepNext/>
              <w:keepLines/>
              <w:jc w:val="center"/>
              <w:outlineLvl w:val="2"/>
              <w:rPr>
                <w:rFonts w:ascii="Calibri" w:hAnsi="Calibri" w:cs="Calibri"/>
                <w:color w:val="auto"/>
                <w:sz w:val="18"/>
                <w:szCs w:val="21"/>
                <w:highlight w:val="none"/>
              </w:rPr>
            </w:pPr>
          </w:p>
        </w:tc>
        <w:tc>
          <w:tcPr>
            <w:tcW w:w="937" w:type="dxa"/>
            <w:vAlign w:val="center"/>
          </w:tcPr>
          <w:p w14:paraId="5DD1A913">
            <w:pPr>
              <w:keepNext/>
              <w:keepLines/>
              <w:ind w:firstLine="360"/>
              <w:jc w:val="center"/>
              <w:outlineLvl w:val="2"/>
              <w:rPr>
                <w:rFonts w:ascii="Calibri" w:hAnsi="Calibri" w:cs="Calibri"/>
                <w:color w:val="auto"/>
                <w:sz w:val="18"/>
                <w:szCs w:val="21"/>
                <w:highlight w:val="none"/>
              </w:rPr>
            </w:pPr>
            <w:bookmarkStart w:id="196" w:name="_Toc7993"/>
            <w:bookmarkStart w:id="197" w:name="_Toc195800161"/>
            <w:bookmarkStart w:id="198" w:name="_Toc193802834"/>
            <w:r>
              <w:rPr>
                <w:rFonts w:hint="eastAsia" w:ascii="Calibri" w:hAnsi="Calibri" w:cs="Calibri"/>
                <w:color w:val="auto"/>
                <w:sz w:val="18"/>
                <w:szCs w:val="21"/>
                <w:highlight w:val="none"/>
              </w:rPr>
              <w:t>...</w:t>
            </w:r>
            <w:bookmarkEnd w:id="196"/>
            <w:bookmarkEnd w:id="197"/>
            <w:bookmarkEnd w:id="198"/>
          </w:p>
        </w:tc>
        <w:tc>
          <w:tcPr>
            <w:tcW w:w="925" w:type="dxa"/>
            <w:vAlign w:val="center"/>
          </w:tcPr>
          <w:p w14:paraId="18D4D342">
            <w:pPr>
              <w:keepNext/>
              <w:keepLines/>
              <w:ind w:left="-202" w:leftChars="-96"/>
              <w:jc w:val="center"/>
              <w:outlineLvl w:val="2"/>
              <w:rPr>
                <w:rFonts w:ascii="Calibri" w:hAnsi="Calibri" w:cs="Calibri"/>
                <w:color w:val="auto"/>
                <w:sz w:val="18"/>
                <w:szCs w:val="21"/>
                <w:highlight w:val="none"/>
              </w:rPr>
            </w:pPr>
          </w:p>
        </w:tc>
        <w:tc>
          <w:tcPr>
            <w:tcW w:w="1138" w:type="dxa"/>
            <w:gridSpan w:val="2"/>
            <w:vAlign w:val="center"/>
          </w:tcPr>
          <w:p w14:paraId="2148F958">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6E0E4AA8">
            <w:pPr>
              <w:keepNext/>
              <w:keepLines/>
              <w:ind w:firstLine="360"/>
              <w:jc w:val="center"/>
              <w:outlineLvl w:val="2"/>
              <w:rPr>
                <w:rFonts w:ascii="Calibri" w:hAnsi="Calibri" w:cs="Calibri"/>
                <w:color w:val="auto"/>
                <w:sz w:val="18"/>
                <w:szCs w:val="21"/>
                <w:highlight w:val="none"/>
              </w:rPr>
            </w:pPr>
          </w:p>
        </w:tc>
        <w:tc>
          <w:tcPr>
            <w:tcW w:w="900" w:type="dxa"/>
            <w:vAlign w:val="center"/>
          </w:tcPr>
          <w:p w14:paraId="43EFF2BD">
            <w:pPr>
              <w:keepNext/>
              <w:keepLines/>
              <w:ind w:left="2" w:leftChars="-95" w:hanging="201"/>
              <w:jc w:val="center"/>
              <w:outlineLvl w:val="2"/>
              <w:rPr>
                <w:rFonts w:ascii="Calibri" w:hAnsi="Calibri" w:cs="Calibri"/>
                <w:color w:val="auto"/>
                <w:sz w:val="18"/>
                <w:szCs w:val="21"/>
                <w:highlight w:val="none"/>
              </w:rPr>
            </w:pPr>
          </w:p>
        </w:tc>
        <w:tc>
          <w:tcPr>
            <w:tcW w:w="2237" w:type="dxa"/>
            <w:gridSpan w:val="2"/>
            <w:vAlign w:val="center"/>
          </w:tcPr>
          <w:p w14:paraId="3A3819CE">
            <w:pPr>
              <w:keepNext/>
              <w:keepLines/>
              <w:jc w:val="center"/>
              <w:outlineLvl w:val="2"/>
              <w:rPr>
                <w:rFonts w:ascii="Calibri" w:hAnsi="Calibri" w:cs="Calibri"/>
                <w:color w:val="auto"/>
                <w:sz w:val="18"/>
                <w:szCs w:val="21"/>
                <w:highlight w:val="none"/>
              </w:rPr>
            </w:pPr>
          </w:p>
        </w:tc>
        <w:tc>
          <w:tcPr>
            <w:tcW w:w="888" w:type="dxa"/>
            <w:vMerge w:val="continue"/>
            <w:vAlign w:val="center"/>
          </w:tcPr>
          <w:p w14:paraId="4E22D10C">
            <w:pPr>
              <w:keepNext/>
              <w:keepLines/>
              <w:ind w:firstLine="360"/>
              <w:jc w:val="center"/>
              <w:outlineLvl w:val="2"/>
              <w:rPr>
                <w:rFonts w:ascii="Calibri" w:hAnsi="Calibri" w:cs="Calibri"/>
                <w:color w:val="auto"/>
                <w:sz w:val="18"/>
                <w:szCs w:val="21"/>
                <w:highlight w:val="none"/>
              </w:rPr>
            </w:pPr>
          </w:p>
        </w:tc>
      </w:tr>
      <w:tr w14:paraId="1D28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restart"/>
            <w:vAlign w:val="center"/>
          </w:tcPr>
          <w:p w14:paraId="1C245384">
            <w:pPr>
              <w:keepNext/>
              <w:keepLines/>
              <w:jc w:val="center"/>
              <w:outlineLvl w:val="2"/>
              <w:rPr>
                <w:rFonts w:ascii="Calibri" w:hAnsi="Calibri" w:cs="Calibri"/>
                <w:color w:val="auto"/>
                <w:sz w:val="18"/>
                <w:szCs w:val="21"/>
                <w:highlight w:val="none"/>
              </w:rPr>
            </w:pPr>
            <w:bookmarkStart w:id="199" w:name="_Toc195800162"/>
            <w:bookmarkStart w:id="200" w:name="_Toc551"/>
            <w:bookmarkStart w:id="201" w:name="_Toc193802835"/>
            <w:r>
              <w:rPr>
                <w:rFonts w:hint="eastAsia" w:ascii="Calibri" w:hAnsi="Calibri" w:cs="Calibri"/>
                <w:color w:val="auto"/>
                <w:sz w:val="18"/>
                <w:szCs w:val="21"/>
                <w:highlight w:val="none"/>
              </w:rPr>
              <w:t>2</w:t>
            </w:r>
            <w:bookmarkEnd w:id="199"/>
            <w:bookmarkEnd w:id="200"/>
            <w:bookmarkEnd w:id="201"/>
          </w:p>
        </w:tc>
        <w:tc>
          <w:tcPr>
            <w:tcW w:w="1113" w:type="dxa"/>
            <w:vMerge w:val="restart"/>
            <w:vAlign w:val="center"/>
          </w:tcPr>
          <w:p w14:paraId="56723A67">
            <w:pPr>
              <w:keepNext/>
              <w:keepLines/>
              <w:outlineLvl w:val="2"/>
              <w:rPr>
                <w:rFonts w:ascii="Calibri" w:hAnsi="Calibri" w:cs="Calibri"/>
                <w:color w:val="auto"/>
                <w:sz w:val="18"/>
                <w:szCs w:val="21"/>
                <w:highlight w:val="none"/>
              </w:rPr>
            </w:pPr>
            <w:bookmarkStart w:id="202" w:name="_Toc195800163"/>
            <w:bookmarkStart w:id="203" w:name="_Toc14571"/>
            <w:bookmarkStart w:id="204" w:name="_Toc193802836"/>
            <w:r>
              <w:rPr>
                <w:rFonts w:hint="eastAsia" w:ascii="Calibri" w:hAnsi="Calibri" w:cs="Calibri"/>
                <w:color w:val="auto"/>
                <w:sz w:val="18"/>
                <w:szCs w:val="21"/>
                <w:highlight w:val="none"/>
              </w:rPr>
              <w:t>项目经理类似工程业绩（如有）</w:t>
            </w:r>
            <w:bookmarkEnd w:id="202"/>
            <w:bookmarkEnd w:id="203"/>
            <w:bookmarkEnd w:id="204"/>
          </w:p>
        </w:tc>
        <w:tc>
          <w:tcPr>
            <w:tcW w:w="937" w:type="dxa"/>
            <w:vAlign w:val="center"/>
          </w:tcPr>
          <w:p w14:paraId="2D487BBF">
            <w:pPr>
              <w:keepNext/>
              <w:keepLines/>
              <w:jc w:val="center"/>
              <w:outlineLvl w:val="2"/>
              <w:rPr>
                <w:rFonts w:ascii="Calibri" w:hAnsi="Calibri" w:cs="Calibri"/>
                <w:color w:val="auto"/>
                <w:sz w:val="18"/>
                <w:szCs w:val="21"/>
                <w:highlight w:val="none"/>
              </w:rPr>
            </w:pPr>
            <w:bookmarkStart w:id="205" w:name="_Toc195800164"/>
            <w:bookmarkStart w:id="206" w:name="_Toc8423"/>
            <w:bookmarkStart w:id="207" w:name="_Toc193802837"/>
            <w:r>
              <w:rPr>
                <w:rFonts w:hint="eastAsia" w:ascii="Calibri" w:hAnsi="Calibri" w:cs="Calibri"/>
                <w:color w:val="auto"/>
                <w:sz w:val="18"/>
                <w:szCs w:val="21"/>
                <w:highlight w:val="none"/>
              </w:rPr>
              <w:t>序号</w:t>
            </w:r>
            <w:bookmarkEnd w:id="205"/>
            <w:bookmarkEnd w:id="206"/>
            <w:bookmarkEnd w:id="207"/>
          </w:p>
        </w:tc>
        <w:tc>
          <w:tcPr>
            <w:tcW w:w="925" w:type="dxa"/>
            <w:vAlign w:val="center"/>
          </w:tcPr>
          <w:p w14:paraId="75C325B8">
            <w:pPr>
              <w:keepNext/>
              <w:keepLines/>
              <w:ind w:left="-202" w:leftChars="-96"/>
              <w:jc w:val="center"/>
              <w:outlineLvl w:val="2"/>
              <w:rPr>
                <w:rFonts w:ascii="Calibri" w:hAnsi="Calibri" w:cs="Calibri"/>
                <w:color w:val="auto"/>
                <w:sz w:val="18"/>
                <w:szCs w:val="21"/>
                <w:highlight w:val="none"/>
              </w:rPr>
            </w:pPr>
            <w:bookmarkStart w:id="208" w:name="_Toc849"/>
            <w:bookmarkStart w:id="209" w:name="_Toc195800165"/>
            <w:bookmarkStart w:id="210" w:name="_Toc193802838"/>
            <w:r>
              <w:rPr>
                <w:rFonts w:hint="eastAsia" w:ascii="Calibri" w:hAnsi="Calibri" w:cs="Calibri"/>
                <w:color w:val="auto"/>
                <w:sz w:val="18"/>
                <w:szCs w:val="21"/>
                <w:highlight w:val="none"/>
              </w:rPr>
              <w:t>开工</w:t>
            </w:r>
            <w:bookmarkEnd w:id="208"/>
            <w:bookmarkEnd w:id="209"/>
            <w:bookmarkStart w:id="211" w:name="_Toc195800166"/>
            <w:bookmarkStart w:id="212" w:name="_Toc3945"/>
            <w:r>
              <w:rPr>
                <w:rFonts w:hint="eastAsia" w:ascii="Calibri" w:hAnsi="Calibri" w:cs="Calibri"/>
                <w:color w:val="auto"/>
                <w:sz w:val="18"/>
                <w:szCs w:val="21"/>
                <w:highlight w:val="none"/>
              </w:rPr>
              <w:t>日期</w:t>
            </w:r>
            <w:bookmarkEnd w:id="210"/>
            <w:bookmarkEnd w:id="211"/>
            <w:bookmarkEnd w:id="212"/>
          </w:p>
        </w:tc>
        <w:tc>
          <w:tcPr>
            <w:tcW w:w="1138" w:type="dxa"/>
            <w:gridSpan w:val="2"/>
            <w:vAlign w:val="center"/>
          </w:tcPr>
          <w:p w14:paraId="6BD27614">
            <w:pPr>
              <w:keepNext/>
              <w:keepLines/>
              <w:jc w:val="center"/>
              <w:outlineLvl w:val="2"/>
              <w:rPr>
                <w:rFonts w:ascii="Calibri" w:hAnsi="Calibri" w:cs="Calibri"/>
                <w:color w:val="auto"/>
                <w:sz w:val="18"/>
                <w:szCs w:val="21"/>
                <w:highlight w:val="none"/>
              </w:rPr>
            </w:pPr>
            <w:bookmarkStart w:id="213" w:name="_Toc195800167"/>
            <w:bookmarkStart w:id="214" w:name="_Toc193802839"/>
            <w:bookmarkStart w:id="215" w:name="_Toc2510"/>
            <w:r>
              <w:rPr>
                <w:rFonts w:hint="eastAsia" w:ascii="Calibri" w:hAnsi="Calibri" w:cs="Calibri"/>
                <w:color w:val="auto"/>
                <w:sz w:val="18"/>
                <w:szCs w:val="21"/>
                <w:highlight w:val="none"/>
              </w:rPr>
              <w:t>验收日期</w:t>
            </w:r>
            <w:bookmarkEnd w:id="213"/>
            <w:bookmarkEnd w:id="214"/>
            <w:bookmarkEnd w:id="215"/>
          </w:p>
        </w:tc>
        <w:tc>
          <w:tcPr>
            <w:tcW w:w="1375" w:type="dxa"/>
            <w:gridSpan w:val="3"/>
            <w:vAlign w:val="center"/>
          </w:tcPr>
          <w:p w14:paraId="2D22D79F">
            <w:pPr>
              <w:keepNext/>
              <w:keepLines/>
              <w:jc w:val="center"/>
              <w:outlineLvl w:val="2"/>
              <w:rPr>
                <w:rFonts w:ascii="Calibri" w:hAnsi="Calibri" w:cs="Calibri"/>
                <w:color w:val="auto"/>
                <w:sz w:val="18"/>
                <w:szCs w:val="21"/>
                <w:highlight w:val="none"/>
              </w:rPr>
            </w:pPr>
            <w:bookmarkStart w:id="216" w:name="_Toc193802840"/>
            <w:bookmarkStart w:id="217" w:name="_Toc21640"/>
            <w:bookmarkStart w:id="218" w:name="_Toc195800168"/>
            <w:r>
              <w:rPr>
                <w:rFonts w:hint="eastAsia" w:ascii="Calibri" w:hAnsi="Calibri" w:cs="Calibri"/>
                <w:color w:val="auto"/>
                <w:sz w:val="18"/>
                <w:szCs w:val="21"/>
                <w:highlight w:val="none"/>
              </w:rPr>
              <w:t>工程名称</w:t>
            </w:r>
            <w:bookmarkEnd w:id="216"/>
            <w:bookmarkEnd w:id="217"/>
            <w:bookmarkEnd w:id="218"/>
          </w:p>
        </w:tc>
        <w:tc>
          <w:tcPr>
            <w:tcW w:w="900" w:type="dxa"/>
            <w:vAlign w:val="center"/>
          </w:tcPr>
          <w:p w14:paraId="26443633">
            <w:pPr>
              <w:keepNext/>
              <w:keepLines/>
              <w:ind w:left="2" w:leftChars="-95" w:hanging="201"/>
              <w:jc w:val="center"/>
              <w:outlineLvl w:val="2"/>
              <w:rPr>
                <w:rFonts w:ascii="Calibri" w:hAnsi="Calibri" w:cs="Calibri"/>
                <w:color w:val="auto"/>
                <w:sz w:val="18"/>
                <w:szCs w:val="21"/>
                <w:highlight w:val="none"/>
              </w:rPr>
            </w:pPr>
            <w:bookmarkStart w:id="219" w:name="_Toc17610"/>
            <w:bookmarkStart w:id="220" w:name="_Toc195800169"/>
            <w:bookmarkStart w:id="221" w:name="_Toc193802841"/>
            <w:r>
              <w:rPr>
                <w:rFonts w:hint="eastAsia" w:ascii="Calibri" w:hAnsi="Calibri" w:cs="Calibri"/>
                <w:color w:val="auto"/>
                <w:sz w:val="18"/>
                <w:szCs w:val="21"/>
                <w:highlight w:val="none"/>
              </w:rPr>
              <w:t>合同金额</w:t>
            </w:r>
            <w:bookmarkEnd w:id="219"/>
            <w:bookmarkEnd w:id="220"/>
            <w:bookmarkEnd w:id="221"/>
          </w:p>
        </w:tc>
        <w:tc>
          <w:tcPr>
            <w:tcW w:w="2237" w:type="dxa"/>
            <w:gridSpan w:val="2"/>
            <w:vAlign w:val="center"/>
          </w:tcPr>
          <w:p w14:paraId="3934FCDF">
            <w:pPr>
              <w:keepNext/>
              <w:keepLines/>
              <w:jc w:val="center"/>
              <w:outlineLvl w:val="2"/>
              <w:rPr>
                <w:rFonts w:ascii="Calibri" w:hAnsi="Calibri" w:cs="Calibri"/>
                <w:color w:val="auto"/>
                <w:sz w:val="18"/>
                <w:szCs w:val="21"/>
                <w:highlight w:val="none"/>
              </w:rPr>
            </w:pPr>
            <w:bookmarkStart w:id="222" w:name="_Toc18461"/>
            <w:bookmarkStart w:id="223" w:name="_Toc193802842"/>
            <w:bookmarkStart w:id="224" w:name="_Toc195800170"/>
            <w:r>
              <w:rPr>
                <w:rFonts w:hint="eastAsia" w:ascii="Calibri" w:hAnsi="Calibri" w:cs="Calibri"/>
                <w:color w:val="auto"/>
                <w:sz w:val="18"/>
                <w:szCs w:val="21"/>
                <w:highlight w:val="none"/>
              </w:rPr>
              <w:t>发包人及联系电话</w:t>
            </w:r>
            <w:bookmarkEnd w:id="222"/>
            <w:bookmarkEnd w:id="223"/>
            <w:bookmarkEnd w:id="224"/>
          </w:p>
        </w:tc>
        <w:tc>
          <w:tcPr>
            <w:tcW w:w="888" w:type="dxa"/>
            <w:vMerge w:val="restart"/>
            <w:vAlign w:val="center"/>
          </w:tcPr>
          <w:p w14:paraId="7D840F0B">
            <w:pPr>
              <w:keepNext/>
              <w:keepLines/>
              <w:ind w:firstLine="360"/>
              <w:jc w:val="center"/>
              <w:outlineLvl w:val="2"/>
              <w:rPr>
                <w:rFonts w:ascii="Calibri" w:hAnsi="Calibri" w:cs="Calibri"/>
                <w:color w:val="auto"/>
                <w:sz w:val="18"/>
                <w:szCs w:val="21"/>
                <w:highlight w:val="none"/>
              </w:rPr>
            </w:pPr>
          </w:p>
        </w:tc>
      </w:tr>
      <w:tr w14:paraId="72A4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6A216BFC">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028CDD66">
            <w:pPr>
              <w:keepNext/>
              <w:keepLines/>
              <w:jc w:val="center"/>
              <w:outlineLvl w:val="2"/>
              <w:rPr>
                <w:rFonts w:ascii="Calibri" w:hAnsi="Calibri" w:cs="Calibri"/>
                <w:color w:val="auto"/>
                <w:sz w:val="18"/>
                <w:szCs w:val="21"/>
                <w:highlight w:val="none"/>
              </w:rPr>
            </w:pPr>
          </w:p>
        </w:tc>
        <w:tc>
          <w:tcPr>
            <w:tcW w:w="937" w:type="dxa"/>
            <w:shd w:val="clear" w:color="auto" w:fill="auto"/>
            <w:vAlign w:val="center"/>
          </w:tcPr>
          <w:p w14:paraId="2718695E">
            <w:pPr>
              <w:keepNext/>
              <w:keepLines/>
              <w:jc w:val="center"/>
              <w:outlineLvl w:val="2"/>
              <w:rPr>
                <w:rFonts w:ascii="Calibri" w:hAnsi="Calibri" w:cs="Calibri"/>
                <w:color w:val="auto"/>
                <w:sz w:val="18"/>
                <w:szCs w:val="21"/>
                <w:highlight w:val="none"/>
              </w:rPr>
            </w:pPr>
            <w:bookmarkStart w:id="225" w:name="_Toc195800171"/>
            <w:bookmarkStart w:id="226" w:name="_Toc193802843"/>
            <w:bookmarkStart w:id="227" w:name="_Toc12685"/>
            <w:r>
              <w:rPr>
                <w:rFonts w:hint="eastAsia" w:ascii="Calibri" w:hAnsi="Calibri" w:cs="Calibri"/>
                <w:color w:val="auto"/>
                <w:sz w:val="18"/>
                <w:szCs w:val="21"/>
                <w:highlight w:val="none"/>
              </w:rPr>
              <w:t>第一个</w:t>
            </w:r>
            <w:bookmarkEnd w:id="225"/>
            <w:bookmarkEnd w:id="226"/>
            <w:bookmarkEnd w:id="227"/>
          </w:p>
        </w:tc>
        <w:tc>
          <w:tcPr>
            <w:tcW w:w="925" w:type="dxa"/>
            <w:vAlign w:val="center"/>
          </w:tcPr>
          <w:p w14:paraId="57523037">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19FBC934">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39C68009">
            <w:pPr>
              <w:keepNext/>
              <w:keepLines/>
              <w:ind w:firstLine="360"/>
              <w:jc w:val="center"/>
              <w:outlineLvl w:val="2"/>
              <w:rPr>
                <w:rFonts w:ascii="Calibri" w:hAnsi="Calibri" w:cs="Calibri"/>
                <w:color w:val="auto"/>
                <w:sz w:val="18"/>
                <w:szCs w:val="21"/>
                <w:highlight w:val="none"/>
              </w:rPr>
            </w:pPr>
          </w:p>
        </w:tc>
        <w:tc>
          <w:tcPr>
            <w:tcW w:w="900" w:type="dxa"/>
            <w:vAlign w:val="center"/>
          </w:tcPr>
          <w:p w14:paraId="0F82B15E">
            <w:pPr>
              <w:keepNext/>
              <w:keepLines/>
              <w:ind w:firstLine="360"/>
              <w:jc w:val="center"/>
              <w:outlineLvl w:val="2"/>
              <w:rPr>
                <w:rFonts w:ascii="Calibri" w:hAnsi="Calibri" w:cs="Calibri"/>
                <w:color w:val="auto"/>
                <w:sz w:val="18"/>
                <w:szCs w:val="21"/>
                <w:highlight w:val="none"/>
              </w:rPr>
            </w:pPr>
          </w:p>
        </w:tc>
        <w:tc>
          <w:tcPr>
            <w:tcW w:w="2237" w:type="dxa"/>
            <w:gridSpan w:val="2"/>
            <w:vAlign w:val="center"/>
          </w:tcPr>
          <w:p w14:paraId="57F57DEA">
            <w:pPr>
              <w:keepNext/>
              <w:keepLines/>
              <w:ind w:firstLine="360"/>
              <w:jc w:val="center"/>
              <w:outlineLvl w:val="2"/>
              <w:rPr>
                <w:rFonts w:ascii="Calibri" w:hAnsi="Calibri" w:cs="Calibri"/>
                <w:color w:val="auto"/>
                <w:sz w:val="18"/>
                <w:szCs w:val="21"/>
                <w:highlight w:val="none"/>
              </w:rPr>
            </w:pPr>
          </w:p>
        </w:tc>
        <w:tc>
          <w:tcPr>
            <w:tcW w:w="888" w:type="dxa"/>
            <w:vMerge w:val="continue"/>
            <w:vAlign w:val="center"/>
          </w:tcPr>
          <w:p w14:paraId="406374A6">
            <w:pPr>
              <w:keepNext/>
              <w:keepLines/>
              <w:ind w:firstLine="360"/>
              <w:jc w:val="center"/>
              <w:outlineLvl w:val="2"/>
              <w:rPr>
                <w:rFonts w:ascii="Calibri" w:hAnsi="Calibri" w:cs="Calibri"/>
                <w:color w:val="auto"/>
                <w:sz w:val="18"/>
                <w:szCs w:val="21"/>
                <w:highlight w:val="none"/>
              </w:rPr>
            </w:pPr>
          </w:p>
        </w:tc>
      </w:tr>
      <w:tr w14:paraId="4125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034ED018">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7DA96BDF">
            <w:pPr>
              <w:keepNext/>
              <w:keepLines/>
              <w:jc w:val="center"/>
              <w:outlineLvl w:val="2"/>
              <w:rPr>
                <w:rFonts w:ascii="Calibri" w:hAnsi="Calibri" w:cs="Calibri"/>
                <w:color w:val="auto"/>
                <w:sz w:val="18"/>
                <w:szCs w:val="21"/>
                <w:highlight w:val="none"/>
              </w:rPr>
            </w:pPr>
          </w:p>
        </w:tc>
        <w:tc>
          <w:tcPr>
            <w:tcW w:w="937" w:type="dxa"/>
            <w:shd w:val="clear" w:color="auto" w:fill="auto"/>
            <w:vAlign w:val="center"/>
          </w:tcPr>
          <w:p w14:paraId="6B7511F7">
            <w:pPr>
              <w:keepNext/>
              <w:keepLines/>
              <w:jc w:val="center"/>
              <w:outlineLvl w:val="2"/>
              <w:rPr>
                <w:rFonts w:ascii="Calibri" w:hAnsi="Calibri" w:cs="Calibri"/>
                <w:color w:val="auto"/>
                <w:sz w:val="18"/>
                <w:szCs w:val="21"/>
                <w:highlight w:val="none"/>
              </w:rPr>
            </w:pPr>
            <w:bookmarkStart w:id="228" w:name="_Toc195800172"/>
            <w:bookmarkStart w:id="229" w:name="_Toc193802844"/>
            <w:bookmarkStart w:id="230" w:name="_Toc3061"/>
            <w:r>
              <w:rPr>
                <w:rFonts w:hint="eastAsia" w:ascii="Calibri" w:hAnsi="Calibri" w:cs="Calibri"/>
                <w:color w:val="auto"/>
                <w:sz w:val="18"/>
                <w:szCs w:val="21"/>
                <w:highlight w:val="none"/>
              </w:rPr>
              <w:t>第二个</w:t>
            </w:r>
            <w:bookmarkEnd w:id="228"/>
            <w:bookmarkEnd w:id="229"/>
            <w:bookmarkEnd w:id="230"/>
          </w:p>
        </w:tc>
        <w:tc>
          <w:tcPr>
            <w:tcW w:w="925" w:type="dxa"/>
            <w:vAlign w:val="center"/>
          </w:tcPr>
          <w:p w14:paraId="7BA0C4C1">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5026F96E">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608186EA">
            <w:pPr>
              <w:keepNext/>
              <w:keepLines/>
              <w:ind w:firstLine="360"/>
              <w:jc w:val="center"/>
              <w:outlineLvl w:val="2"/>
              <w:rPr>
                <w:rFonts w:ascii="Calibri" w:hAnsi="Calibri" w:cs="Calibri"/>
                <w:color w:val="auto"/>
                <w:sz w:val="18"/>
                <w:szCs w:val="21"/>
                <w:highlight w:val="none"/>
              </w:rPr>
            </w:pPr>
          </w:p>
        </w:tc>
        <w:tc>
          <w:tcPr>
            <w:tcW w:w="900" w:type="dxa"/>
            <w:vAlign w:val="center"/>
          </w:tcPr>
          <w:p w14:paraId="5C98B372">
            <w:pPr>
              <w:keepNext/>
              <w:keepLines/>
              <w:ind w:firstLine="360"/>
              <w:jc w:val="center"/>
              <w:outlineLvl w:val="2"/>
              <w:rPr>
                <w:rFonts w:ascii="Calibri" w:hAnsi="Calibri" w:cs="Calibri"/>
                <w:color w:val="auto"/>
                <w:sz w:val="18"/>
                <w:szCs w:val="21"/>
                <w:highlight w:val="none"/>
              </w:rPr>
            </w:pPr>
          </w:p>
        </w:tc>
        <w:tc>
          <w:tcPr>
            <w:tcW w:w="2237" w:type="dxa"/>
            <w:gridSpan w:val="2"/>
            <w:vAlign w:val="center"/>
          </w:tcPr>
          <w:p w14:paraId="02342415">
            <w:pPr>
              <w:keepNext/>
              <w:keepLines/>
              <w:ind w:firstLine="360"/>
              <w:jc w:val="center"/>
              <w:outlineLvl w:val="2"/>
              <w:rPr>
                <w:rFonts w:ascii="Calibri" w:hAnsi="Calibri" w:cs="Calibri"/>
                <w:color w:val="auto"/>
                <w:sz w:val="18"/>
                <w:szCs w:val="21"/>
                <w:highlight w:val="none"/>
              </w:rPr>
            </w:pPr>
          </w:p>
        </w:tc>
        <w:tc>
          <w:tcPr>
            <w:tcW w:w="888" w:type="dxa"/>
            <w:vMerge w:val="continue"/>
            <w:vAlign w:val="center"/>
          </w:tcPr>
          <w:p w14:paraId="499CD4EE">
            <w:pPr>
              <w:keepNext/>
              <w:keepLines/>
              <w:ind w:firstLine="360"/>
              <w:jc w:val="center"/>
              <w:outlineLvl w:val="2"/>
              <w:rPr>
                <w:rFonts w:ascii="Calibri" w:hAnsi="Calibri" w:cs="Calibri"/>
                <w:color w:val="auto"/>
                <w:sz w:val="18"/>
                <w:szCs w:val="21"/>
                <w:highlight w:val="none"/>
              </w:rPr>
            </w:pPr>
          </w:p>
        </w:tc>
      </w:tr>
      <w:tr w14:paraId="292B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4AC5731F">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7B153D97">
            <w:pPr>
              <w:keepNext/>
              <w:keepLines/>
              <w:jc w:val="center"/>
              <w:outlineLvl w:val="2"/>
              <w:rPr>
                <w:rFonts w:ascii="Calibri" w:hAnsi="Calibri" w:cs="Calibri"/>
                <w:color w:val="auto"/>
                <w:sz w:val="18"/>
                <w:szCs w:val="21"/>
                <w:highlight w:val="none"/>
              </w:rPr>
            </w:pPr>
          </w:p>
        </w:tc>
        <w:tc>
          <w:tcPr>
            <w:tcW w:w="937" w:type="dxa"/>
            <w:shd w:val="clear" w:color="auto" w:fill="auto"/>
            <w:vAlign w:val="center"/>
          </w:tcPr>
          <w:p w14:paraId="3769AF82">
            <w:pPr>
              <w:keepNext/>
              <w:keepLines/>
              <w:ind w:firstLine="360"/>
              <w:jc w:val="center"/>
              <w:outlineLvl w:val="2"/>
              <w:rPr>
                <w:rFonts w:ascii="Calibri" w:hAnsi="Calibri" w:cs="Calibri"/>
                <w:color w:val="auto"/>
                <w:sz w:val="18"/>
                <w:szCs w:val="21"/>
                <w:highlight w:val="none"/>
              </w:rPr>
            </w:pPr>
            <w:bookmarkStart w:id="231" w:name="_Toc9664"/>
            <w:bookmarkStart w:id="232" w:name="_Toc193802845"/>
            <w:bookmarkStart w:id="233" w:name="_Toc195800173"/>
            <w:r>
              <w:rPr>
                <w:rFonts w:hint="eastAsia" w:ascii="Calibri" w:hAnsi="Calibri" w:cs="Calibri"/>
                <w:color w:val="auto"/>
                <w:sz w:val="18"/>
                <w:szCs w:val="21"/>
                <w:highlight w:val="none"/>
              </w:rPr>
              <w:t>...</w:t>
            </w:r>
            <w:bookmarkEnd w:id="231"/>
            <w:bookmarkEnd w:id="232"/>
            <w:bookmarkEnd w:id="233"/>
          </w:p>
        </w:tc>
        <w:tc>
          <w:tcPr>
            <w:tcW w:w="925" w:type="dxa"/>
            <w:vAlign w:val="center"/>
          </w:tcPr>
          <w:p w14:paraId="6854E1EA">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6178D34B">
            <w:pPr>
              <w:keepNext/>
              <w:keepLines/>
              <w:ind w:firstLine="360"/>
              <w:jc w:val="center"/>
              <w:outlineLvl w:val="2"/>
              <w:rPr>
                <w:rFonts w:ascii="Calibri" w:hAnsi="Calibri" w:cs="Calibri"/>
                <w:color w:val="auto"/>
                <w:sz w:val="18"/>
                <w:szCs w:val="21"/>
                <w:highlight w:val="none"/>
              </w:rPr>
            </w:pPr>
          </w:p>
        </w:tc>
        <w:tc>
          <w:tcPr>
            <w:tcW w:w="1375" w:type="dxa"/>
            <w:gridSpan w:val="3"/>
            <w:vAlign w:val="center"/>
          </w:tcPr>
          <w:p w14:paraId="7AAF1842">
            <w:pPr>
              <w:keepNext/>
              <w:keepLines/>
              <w:ind w:firstLine="360"/>
              <w:jc w:val="center"/>
              <w:outlineLvl w:val="2"/>
              <w:rPr>
                <w:rFonts w:ascii="Calibri" w:hAnsi="Calibri" w:cs="Calibri"/>
                <w:color w:val="auto"/>
                <w:sz w:val="18"/>
                <w:szCs w:val="21"/>
                <w:highlight w:val="none"/>
              </w:rPr>
            </w:pPr>
          </w:p>
        </w:tc>
        <w:tc>
          <w:tcPr>
            <w:tcW w:w="900" w:type="dxa"/>
            <w:vAlign w:val="center"/>
          </w:tcPr>
          <w:p w14:paraId="2D94F451">
            <w:pPr>
              <w:keepNext/>
              <w:keepLines/>
              <w:ind w:firstLine="360"/>
              <w:jc w:val="center"/>
              <w:outlineLvl w:val="2"/>
              <w:rPr>
                <w:rFonts w:ascii="Calibri" w:hAnsi="Calibri" w:cs="Calibri"/>
                <w:color w:val="auto"/>
                <w:sz w:val="18"/>
                <w:szCs w:val="21"/>
                <w:highlight w:val="none"/>
              </w:rPr>
            </w:pPr>
          </w:p>
        </w:tc>
        <w:tc>
          <w:tcPr>
            <w:tcW w:w="2237" w:type="dxa"/>
            <w:gridSpan w:val="2"/>
            <w:vAlign w:val="center"/>
          </w:tcPr>
          <w:p w14:paraId="5F6158C0">
            <w:pPr>
              <w:keepNext/>
              <w:keepLines/>
              <w:ind w:firstLine="360"/>
              <w:jc w:val="center"/>
              <w:outlineLvl w:val="2"/>
              <w:rPr>
                <w:rFonts w:ascii="Calibri" w:hAnsi="Calibri" w:cs="Calibri"/>
                <w:color w:val="auto"/>
                <w:sz w:val="18"/>
                <w:szCs w:val="21"/>
                <w:highlight w:val="none"/>
              </w:rPr>
            </w:pPr>
          </w:p>
        </w:tc>
        <w:tc>
          <w:tcPr>
            <w:tcW w:w="888" w:type="dxa"/>
            <w:vMerge w:val="continue"/>
            <w:vAlign w:val="center"/>
          </w:tcPr>
          <w:p w14:paraId="17F18F75">
            <w:pPr>
              <w:keepNext/>
              <w:keepLines/>
              <w:ind w:firstLine="360"/>
              <w:jc w:val="center"/>
              <w:outlineLvl w:val="2"/>
              <w:rPr>
                <w:rFonts w:ascii="Calibri" w:hAnsi="Calibri" w:cs="Calibri"/>
                <w:color w:val="auto"/>
                <w:sz w:val="18"/>
                <w:szCs w:val="21"/>
                <w:highlight w:val="none"/>
              </w:rPr>
            </w:pPr>
          </w:p>
        </w:tc>
      </w:tr>
      <w:tr w14:paraId="4A05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02" w:type="dxa"/>
            <w:vMerge w:val="restart"/>
            <w:vAlign w:val="center"/>
          </w:tcPr>
          <w:p w14:paraId="5618FDEF">
            <w:pPr>
              <w:keepNext/>
              <w:keepLines/>
              <w:jc w:val="center"/>
              <w:outlineLvl w:val="2"/>
              <w:rPr>
                <w:rFonts w:ascii="Calibri" w:hAnsi="Calibri" w:cs="Calibri"/>
                <w:color w:val="auto"/>
                <w:sz w:val="18"/>
                <w:szCs w:val="21"/>
                <w:highlight w:val="none"/>
              </w:rPr>
            </w:pPr>
            <w:bookmarkStart w:id="234" w:name="_Toc193802846"/>
            <w:bookmarkStart w:id="235" w:name="_Toc21959"/>
            <w:bookmarkStart w:id="236" w:name="_Toc195800174"/>
            <w:r>
              <w:rPr>
                <w:rFonts w:hint="eastAsia" w:ascii="Calibri" w:hAnsi="Calibri" w:cs="Calibri"/>
                <w:color w:val="auto"/>
                <w:sz w:val="18"/>
                <w:szCs w:val="21"/>
                <w:highlight w:val="none"/>
              </w:rPr>
              <w:t>3</w:t>
            </w:r>
            <w:bookmarkEnd w:id="234"/>
            <w:bookmarkEnd w:id="235"/>
            <w:bookmarkEnd w:id="236"/>
          </w:p>
        </w:tc>
        <w:tc>
          <w:tcPr>
            <w:tcW w:w="1113" w:type="dxa"/>
            <w:vAlign w:val="center"/>
          </w:tcPr>
          <w:p w14:paraId="54B54DB4">
            <w:pPr>
              <w:keepNext/>
              <w:keepLines/>
              <w:outlineLvl w:val="2"/>
              <w:rPr>
                <w:rFonts w:ascii="Calibri" w:hAnsi="Calibri" w:cs="Calibri"/>
                <w:color w:val="auto"/>
                <w:sz w:val="18"/>
                <w:szCs w:val="21"/>
                <w:highlight w:val="none"/>
              </w:rPr>
            </w:pPr>
            <w:bookmarkStart w:id="237" w:name="_Toc9265"/>
            <w:bookmarkStart w:id="238" w:name="_Toc195800175"/>
            <w:bookmarkStart w:id="239" w:name="_Toc193802847"/>
            <w:r>
              <w:rPr>
                <w:rFonts w:hint="eastAsia" w:ascii="Calibri" w:hAnsi="Calibri" w:cs="Calibri"/>
                <w:color w:val="auto"/>
                <w:sz w:val="18"/>
                <w:szCs w:val="21"/>
                <w:highlight w:val="none"/>
              </w:rPr>
              <w:t>信用得分</w:t>
            </w:r>
            <w:bookmarkEnd w:id="237"/>
            <w:bookmarkEnd w:id="238"/>
            <w:bookmarkEnd w:id="239"/>
          </w:p>
        </w:tc>
        <w:tc>
          <w:tcPr>
            <w:tcW w:w="5275" w:type="dxa"/>
            <w:gridSpan w:val="8"/>
            <w:vAlign w:val="center"/>
          </w:tcPr>
          <w:p w14:paraId="78BD9DAB">
            <w:pPr>
              <w:keepNext/>
              <w:keepLines/>
              <w:ind w:firstLine="360"/>
              <w:jc w:val="center"/>
              <w:outlineLvl w:val="2"/>
              <w:rPr>
                <w:rFonts w:ascii="Calibri" w:hAnsi="Calibri" w:cs="Calibri"/>
                <w:color w:val="auto"/>
                <w:sz w:val="18"/>
                <w:szCs w:val="21"/>
                <w:highlight w:val="none"/>
              </w:rPr>
            </w:pPr>
          </w:p>
        </w:tc>
        <w:tc>
          <w:tcPr>
            <w:tcW w:w="2237" w:type="dxa"/>
            <w:gridSpan w:val="2"/>
            <w:vAlign w:val="center"/>
          </w:tcPr>
          <w:p w14:paraId="60C02BB9">
            <w:pPr>
              <w:keepNext/>
              <w:keepLines/>
              <w:ind w:firstLine="360"/>
              <w:jc w:val="center"/>
              <w:outlineLvl w:val="2"/>
              <w:rPr>
                <w:rFonts w:ascii="Calibri" w:hAnsi="Calibri" w:cs="Calibri"/>
                <w:color w:val="auto"/>
                <w:sz w:val="18"/>
                <w:szCs w:val="21"/>
                <w:highlight w:val="none"/>
              </w:rPr>
            </w:pPr>
          </w:p>
        </w:tc>
        <w:tc>
          <w:tcPr>
            <w:tcW w:w="888" w:type="dxa"/>
            <w:vMerge w:val="restart"/>
            <w:vAlign w:val="center"/>
          </w:tcPr>
          <w:p w14:paraId="310CAB5E">
            <w:pPr>
              <w:keepNext/>
              <w:keepLines/>
              <w:ind w:firstLine="360"/>
              <w:jc w:val="center"/>
              <w:outlineLvl w:val="2"/>
              <w:rPr>
                <w:rFonts w:ascii="Calibri" w:hAnsi="Calibri" w:cs="Calibri"/>
                <w:color w:val="auto"/>
                <w:sz w:val="18"/>
                <w:szCs w:val="21"/>
                <w:highlight w:val="none"/>
              </w:rPr>
            </w:pPr>
          </w:p>
        </w:tc>
      </w:tr>
      <w:tr w14:paraId="6AF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0488D2AF">
            <w:pPr>
              <w:keepNext/>
              <w:keepLines/>
              <w:ind w:firstLine="360"/>
              <w:jc w:val="center"/>
              <w:outlineLvl w:val="2"/>
              <w:rPr>
                <w:rFonts w:ascii="Calibri" w:hAnsi="Calibri" w:cs="Calibri"/>
                <w:color w:val="auto"/>
                <w:sz w:val="18"/>
                <w:szCs w:val="21"/>
                <w:highlight w:val="none"/>
              </w:rPr>
            </w:pPr>
          </w:p>
        </w:tc>
        <w:tc>
          <w:tcPr>
            <w:tcW w:w="1113" w:type="dxa"/>
            <w:vMerge w:val="restart"/>
            <w:vAlign w:val="center"/>
          </w:tcPr>
          <w:p w14:paraId="2CB062EA">
            <w:pPr>
              <w:keepNext/>
              <w:keepLines/>
              <w:outlineLvl w:val="2"/>
              <w:rPr>
                <w:rFonts w:ascii="Calibri" w:hAnsi="Calibri" w:cs="Calibri"/>
                <w:color w:val="auto"/>
                <w:sz w:val="18"/>
                <w:szCs w:val="21"/>
                <w:highlight w:val="none"/>
              </w:rPr>
            </w:pPr>
            <w:bookmarkStart w:id="240" w:name="_Toc22888"/>
            <w:r>
              <w:rPr>
                <w:rFonts w:hint="eastAsia" w:ascii="Calibri" w:hAnsi="Calibri" w:cs="Calibri"/>
                <w:color w:val="auto"/>
                <w:sz w:val="18"/>
                <w:szCs w:val="21"/>
                <w:highlight w:val="none"/>
              </w:rPr>
              <w:t>未参加信用评价存在信用评价不良信用信息的</w:t>
            </w:r>
            <w:bookmarkEnd w:id="240"/>
          </w:p>
        </w:tc>
        <w:tc>
          <w:tcPr>
            <w:tcW w:w="937" w:type="dxa"/>
            <w:shd w:val="clear" w:color="auto" w:fill="auto"/>
            <w:vAlign w:val="center"/>
          </w:tcPr>
          <w:p w14:paraId="62282540">
            <w:pPr>
              <w:keepNext/>
              <w:keepLines/>
              <w:jc w:val="center"/>
              <w:outlineLvl w:val="2"/>
              <w:rPr>
                <w:rFonts w:ascii="Calibri" w:hAnsi="Calibri" w:cs="Calibri"/>
                <w:color w:val="auto"/>
                <w:sz w:val="18"/>
                <w:szCs w:val="21"/>
                <w:highlight w:val="none"/>
              </w:rPr>
            </w:pPr>
            <w:bookmarkStart w:id="241" w:name="_Toc25747"/>
            <w:bookmarkStart w:id="242" w:name="_Toc193802849"/>
            <w:bookmarkStart w:id="243" w:name="_Toc195800177"/>
            <w:r>
              <w:rPr>
                <w:rFonts w:hint="eastAsia" w:ascii="Calibri" w:hAnsi="Calibri" w:cs="Calibri"/>
                <w:color w:val="auto"/>
                <w:sz w:val="18"/>
                <w:szCs w:val="21"/>
                <w:highlight w:val="none"/>
              </w:rPr>
              <w:t>序号</w:t>
            </w:r>
            <w:bookmarkEnd w:id="241"/>
            <w:bookmarkEnd w:id="242"/>
            <w:bookmarkEnd w:id="243"/>
          </w:p>
        </w:tc>
        <w:tc>
          <w:tcPr>
            <w:tcW w:w="988" w:type="dxa"/>
            <w:gridSpan w:val="2"/>
            <w:shd w:val="clear" w:color="auto" w:fill="auto"/>
            <w:vAlign w:val="center"/>
          </w:tcPr>
          <w:p w14:paraId="27D7D136">
            <w:pPr>
              <w:keepNext/>
              <w:keepLines/>
              <w:jc w:val="center"/>
              <w:outlineLvl w:val="2"/>
              <w:rPr>
                <w:rFonts w:ascii="Calibri" w:hAnsi="Calibri" w:cs="Calibri"/>
                <w:color w:val="auto"/>
                <w:sz w:val="18"/>
                <w:szCs w:val="21"/>
                <w:highlight w:val="none"/>
              </w:rPr>
            </w:pPr>
            <w:bookmarkStart w:id="244" w:name="_Toc24080"/>
            <w:bookmarkStart w:id="245" w:name="_Toc193802850"/>
            <w:bookmarkStart w:id="246" w:name="_Toc195800178"/>
            <w:r>
              <w:rPr>
                <w:rFonts w:hint="eastAsia" w:ascii="Calibri" w:hAnsi="Calibri" w:cs="Calibri"/>
                <w:color w:val="auto"/>
                <w:sz w:val="18"/>
                <w:szCs w:val="21"/>
                <w:highlight w:val="none"/>
              </w:rPr>
              <w:t>不良信用类型</w:t>
            </w:r>
            <w:bookmarkEnd w:id="244"/>
            <w:bookmarkEnd w:id="245"/>
            <w:bookmarkEnd w:id="246"/>
          </w:p>
        </w:tc>
        <w:tc>
          <w:tcPr>
            <w:tcW w:w="1075" w:type="dxa"/>
            <w:shd w:val="clear" w:color="auto" w:fill="auto"/>
            <w:vAlign w:val="center"/>
          </w:tcPr>
          <w:p w14:paraId="2D405C8B">
            <w:pPr>
              <w:keepNext/>
              <w:keepLines/>
              <w:jc w:val="center"/>
              <w:outlineLvl w:val="2"/>
              <w:rPr>
                <w:rFonts w:ascii="Calibri" w:hAnsi="Calibri" w:cs="Calibri"/>
                <w:color w:val="auto"/>
                <w:sz w:val="18"/>
                <w:szCs w:val="21"/>
                <w:highlight w:val="none"/>
              </w:rPr>
            </w:pPr>
            <w:bookmarkStart w:id="247" w:name="_Toc3658"/>
            <w:bookmarkStart w:id="248" w:name="_Toc193802851"/>
            <w:bookmarkStart w:id="249" w:name="_Toc195800179"/>
            <w:r>
              <w:rPr>
                <w:rFonts w:hint="eastAsia" w:ascii="Calibri" w:hAnsi="Calibri" w:cs="Calibri"/>
                <w:color w:val="auto"/>
                <w:sz w:val="18"/>
                <w:szCs w:val="21"/>
                <w:highlight w:val="none"/>
              </w:rPr>
              <w:t>发文单位</w:t>
            </w:r>
            <w:bookmarkEnd w:id="247"/>
          </w:p>
        </w:tc>
        <w:tc>
          <w:tcPr>
            <w:tcW w:w="732" w:type="dxa"/>
            <w:gridSpan w:val="2"/>
            <w:shd w:val="clear" w:color="auto" w:fill="auto"/>
            <w:vAlign w:val="center"/>
          </w:tcPr>
          <w:p w14:paraId="3061ECF0">
            <w:pPr>
              <w:keepNext/>
              <w:keepLines/>
              <w:jc w:val="center"/>
              <w:outlineLvl w:val="2"/>
              <w:rPr>
                <w:rFonts w:ascii="Calibri" w:hAnsi="Calibri" w:cs="Calibri"/>
                <w:color w:val="auto"/>
                <w:sz w:val="18"/>
                <w:szCs w:val="21"/>
                <w:highlight w:val="none"/>
              </w:rPr>
            </w:pPr>
            <w:bookmarkStart w:id="250" w:name="_Toc7802"/>
            <w:r>
              <w:rPr>
                <w:rFonts w:hint="eastAsia" w:ascii="Calibri" w:hAnsi="Calibri" w:cs="Calibri"/>
                <w:color w:val="auto"/>
                <w:sz w:val="18"/>
                <w:szCs w:val="21"/>
                <w:highlight w:val="none"/>
              </w:rPr>
              <w:t>事项</w:t>
            </w:r>
            <w:bookmarkEnd w:id="248"/>
            <w:bookmarkEnd w:id="249"/>
            <w:bookmarkEnd w:id="250"/>
          </w:p>
        </w:tc>
        <w:tc>
          <w:tcPr>
            <w:tcW w:w="1543" w:type="dxa"/>
            <w:gridSpan w:val="2"/>
            <w:shd w:val="clear" w:color="auto" w:fill="auto"/>
            <w:vAlign w:val="center"/>
          </w:tcPr>
          <w:p w14:paraId="615E1338">
            <w:pPr>
              <w:keepNext/>
              <w:keepLines/>
              <w:jc w:val="center"/>
              <w:outlineLvl w:val="2"/>
              <w:rPr>
                <w:rFonts w:ascii="Calibri" w:hAnsi="Calibri" w:cs="Calibri"/>
                <w:color w:val="auto"/>
                <w:sz w:val="18"/>
                <w:szCs w:val="21"/>
                <w:highlight w:val="none"/>
              </w:rPr>
            </w:pPr>
            <w:bookmarkStart w:id="251" w:name="_Toc195800180"/>
            <w:bookmarkStart w:id="252" w:name="_Toc26242"/>
            <w:bookmarkStart w:id="253" w:name="_Toc193802852"/>
            <w:r>
              <w:rPr>
                <w:rFonts w:hint="eastAsia" w:ascii="Calibri" w:hAnsi="Calibri" w:cs="Calibri"/>
                <w:color w:val="auto"/>
                <w:sz w:val="18"/>
                <w:szCs w:val="21"/>
                <w:highlight w:val="none"/>
              </w:rPr>
              <w:t>作出处罚决定时间</w:t>
            </w:r>
            <w:bookmarkEnd w:id="251"/>
            <w:bookmarkEnd w:id="252"/>
            <w:bookmarkEnd w:id="253"/>
          </w:p>
        </w:tc>
        <w:tc>
          <w:tcPr>
            <w:tcW w:w="1237" w:type="dxa"/>
            <w:shd w:val="clear" w:color="auto" w:fill="auto"/>
            <w:vAlign w:val="center"/>
          </w:tcPr>
          <w:p w14:paraId="11A3FEBC">
            <w:pPr>
              <w:keepNext/>
              <w:keepLines/>
              <w:jc w:val="center"/>
              <w:outlineLvl w:val="2"/>
              <w:rPr>
                <w:rFonts w:ascii="Calibri" w:hAnsi="Calibri" w:cs="Calibri"/>
                <w:color w:val="auto"/>
                <w:sz w:val="18"/>
                <w:szCs w:val="21"/>
                <w:highlight w:val="none"/>
              </w:rPr>
            </w:pPr>
            <w:bookmarkStart w:id="254" w:name="_Toc195800181"/>
            <w:bookmarkStart w:id="255" w:name="_Toc193802853"/>
            <w:bookmarkStart w:id="256" w:name="_Toc21263"/>
            <w:r>
              <w:rPr>
                <w:rFonts w:hint="eastAsia" w:ascii="Calibri" w:hAnsi="Calibri" w:cs="Calibri"/>
                <w:color w:val="auto"/>
                <w:sz w:val="18"/>
                <w:szCs w:val="21"/>
                <w:highlight w:val="none"/>
              </w:rPr>
              <w:t>行政处罚金额</w:t>
            </w:r>
            <w:bookmarkEnd w:id="254"/>
            <w:bookmarkEnd w:id="255"/>
            <w:bookmarkEnd w:id="256"/>
          </w:p>
        </w:tc>
        <w:tc>
          <w:tcPr>
            <w:tcW w:w="1000" w:type="dxa"/>
            <w:vAlign w:val="center"/>
          </w:tcPr>
          <w:p w14:paraId="16FB1801">
            <w:pPr>
              <w:keepNext/>
              <w:keepLines/>
              <w:jc w:val="center"/>
              <w:outlineLvl w:val="2"/>
              <w:rPr>
                <w:rFonts w:ascii="Calibri" w:hAnsi="Calibri" w:cs="Calibri"/>
                <w:color w:val="auto"/>
                <w:sz w:val="18"/>
                <w:szCs w:val="21"/>
                <w:highlight w:val="none"/>
              </w:rPr>
            </w:pPr>
            <w:bookmarkStart w:id="257" w:name="_Toc195800182"/>
            <w:bookmarkStart w:id="258" w:name="_Toc29736"/>
            <w:bookmarkStart w:id="259" w:name="_Toc193802854"/>
            <w:r>
              <w:rPr>
                <w:rFonts w:hint="eastAsia" w:ascii="Calibri" w:hAnsi="Calibri" w:cs="Calibri"/>
                <w:color w:val="auto"/>
                <w:sz w:val="18"/>
                <w:szCs w:val="21"/>
                <w:highlight w:val="none"/>
              </w:rPr>
              <w:t>不良信用公布平台</w:t>
            </w:r>
            <w:bookmarkEnd w:id="257"/>
            <w:bookmarkEnd w:id="258"/>
          </w:p>
          <w:bookmarkEnd w:id="259"/>
        </w:tc>
        <w:tc>
          <w:tcPr>
            <w:tcW w:w="888" w:type="dxa"/>
            <w:vMerge w:val="continue"/>
            <w:vAlign w:val="center"/>
          </w:tcPr>
          <w:p w14:paraId="37E2CDA4">
            <w:pPr>
              <w:keepNext/>
              <w:keepLines/>
              <w:ind w:firstLine="360"/>
              <w:jc w:val="center"/>
              <w:outlineLvl w:val="2"/>
              <w:rPr>
                <w:rFonts w:ascii="Calibri" w:hAnsi="Calibri" w:cs="Calibri"/>
                <w:color w:val="auto"/>
                <w:sz w:val="18"/>
                <w:szCs w:val="21"/>
                <w:highlight w:val="none"/>
              </w:rPr>
            </w:pPr>
          </w:p>
        </w:tc>
      </w:tr>
      <w:tr w14:paraId="05A7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04F9062B">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22C9B8A8">
            <w:pPr>
              <w:keepNext/>
              <w:keepLines/>
              <w:ind w:firstLine="360"/>
              <w:jc w:val="center"/>
              <w:outlineLvl w:val="2"/>
              <w:rPr>
                <w:rFonts w:ascii="Calibri" w:hAnsi="Calibri" w:cs="Calibri"/>
                <w:color w:val="auto"/>
                <w:sz w:val="18"/>
                <w:szCs w:val="21"/>
                <w:highlight w:val="none"/>
              </w:rPr>
            </w:pPr>
          </w:p>
        </w:tc>
        <w:tc>
          <w:tcPr>
            <w:tcW w:w="937" w:type="dxa"/>
            <w:vAlign w:val="center"/>
          </w:tcPr>
          <w:p w14:paraId="7AB478D7">
            <w:pPr>
              <w:keepNext/>
              <w:keepLines/>
              <w:ind w:firstLine="360"/>
              <w:jc w:val="center"/>
              <w:outlineLvl w:val="2"/>
              <w:rPr>
                <w:rFonts w:ascii="Calibri" w:hAnsi="Calibri" w:cs="Calibri"/>
                <w:color w:val="auto"/>
                <w:sz w:val="18"/>
                <w:szCs w:val="21"/>
                <w:highlight w:val="none"/>
              </w:rPr>
            </w:pPr>
          </w:p>
        </w:tc>
        <w:tc>
          <w:tcPr>
            <w:tcW w:w="988" w:type="dxa"/>
            <w:gridSpan w:val="2"/>
            <w:vAlign w:val="center"/>
          </w:tcPr>
          <w:p w14:paraId="74429A9A">
            <w:pPr>
              <w:keepNext/>
              <w:keepLines/>
              <w:ind w:firstLine="360"/>
              <w:jc w:val="center"/>
              <w:outlineLvl w:val="2"/>
              <w:rPr>
                <w:rFonts w:ascii="Calibri" w:hAnsi="Calibri" w:cs="Calibri"/>
                <w:color w:val="auto"/>
                <w:sz w:val="18"/>
                <w:szCs w:val="21"/>
                <w:highlight w:val="none"/>
              </w:rPr>
            </w:pPr>
          </w:p>
        </w:tc>
        <w:tc>
          <w:tcPr>
            <w:tcW w:w="1075" w:type="dxa"/>
            <w:vAlign w:val="center"/>
          </w:tcPr>
          <w:p w14:paraId="38EAA764">
            <w:pPr>
              <w:keepNext/>
              <w:keepLines/>
              <w:ind w:firstLine="360"/>
              <w:jc w:val="center"/>
              <w:outlineLvl w:val="2"/>
              <w:rPr>
                <w:rFonts w:ascii="Calibri" w:hAnsi="Calibri" w:cs="Calibri"/>
                <w:color w:val="auto"/>
                <w:sz w:val="18"/>
                <w:szCs w:val="21"/>
                <w:highlight w:val="none"/>
              </w:rPr>
            </w:pPr>
          </w:p>
        </w:tc>
        <w:tc>
          <w:tcPr>
            <w:tcW w:w="732" w:type="dxa"/>
            <w:gridSpan w:val="2"/>
            <w:vAlign w:val="center"/>
          </w:tcPr>
          <w:p w14:paraId="30C9BBCF">
            <w:pPr>
              <w:keepNext/>
              <w:keepLines/>
              <w:ind w:firstLine="360"/>
              <w:jc w:val="center"/>
              <w:outlineLvl w:val="2"/>
              <w:rPr>
                <w:rFonts w:ascii="Calibri" w:hAnsi="Calibri" w:cs="Calibri"/>
                <w:color w:val="auto"/>
                <w:sz w:val="18"/>
                <w:szCs w:val="21"/>
                <w:highlight w:val="none"/>
              </w:rPr>
            </w:pPr>
          </w:p>
        </w:tc>
        <w:tc>
          <w:tcPr>
            <w:tcW w:w="1543" w:type="dxa"/>
            <w:gridSpan w:val="2"/>
            <w:vAlign w:val="center"/>
          </w:tcPr>
          <w:p w14:paraId="3CE32771">
            <w:pPr>
              <w:keepNext/>
              <w:keepLines/>
              <w:ind w:firstLine="360"/>
              <w:jc w:val="center"/>
              <w:outlineLvl w:val="2"/>
              <w:rPr>
                <w:rFonts w:ascii="Calibri" w:hAnsi="Calibri" w:cs="Calibri"/>
                <w:color w:val="auto"/>
                <w:sz w:val="18"/>
                <w:szCs w:val="21"/>
                <w:highlight w:val="none"/>
              </w:rPr>
            </w:pPr>
          </w:p>
        </w:tc>
        <w:tc>
          <w:tcPr>
            <w:tcW w:w="1237" w:type="dxa"/>
            <w:vAlign w:val="center"/>
          </w:tcPr>
          <w:p w14:paraId="2E124618">
            <w:pPr>
              <w:keepNext/>
              <w:keepLines/>
              <w:ind w:firstLine="360"/>
              <w:jc w:val="center"/>
              <w:outlineLvl w:val="2"/>
              <w:rPr>
                <w:rFonts w:ascii="Calibri" w:hAnsi="Calibri" w:cs="Calibri"/>
                <w:color w:val="auto"/>
                <w:sz w:val="18"/>
                <w:szCs w:val="21"/>
                <w:highlight w:val="none"/>
              </w:rPr>
            </w:pPr>
          </w:p>
        </w:tc>
        <w:tc>
          <w:tcPr>
            <w:tcW w:w="1000" w:type="dxa"/>
            <w:vAlign w:val="center"/>
          </w:tcPr>
          <w:p w14:paraId="720D264B">
            <w:pPr>
              <w:keepNext/>
              <w:keepLines/>
              <w:ind w:firstLine="360"/>
              <w:jc w:val="center"/>
              <w:outlineLvl w:val="2"/>
              <w:rPr>
                <w:rFonts w:ascii="Calibri" w:hAnsi="Calibri" w:cs="Calibri"/>
                <w:color w:val="auto"/>
                <w:sz w:val="18"/>
                <w:szCs w:val="21"/>
                <w:highlight w:val="none"/>
              </w:rPr>
            </w:pPr>
          </w:p>
        </w:tc>
        <w:tc>
          <w:tcPr>
            <w:tcW w:w="888" w:type="dxa"/>
            <w:vMerge w:val="continue"/>
            <w:vAlign w:val="center"/>
          </w:tcPr>
          <w:p w14:paraId="24E7E1B2">
            <w:pPr>
              <w:keepNext/>
              <w:keepLines/>
              <w:ind w:firstLine="360"/>
              <w:jc w:val="center"/>
              <w:outlineLvl w:val="2"/>
              <w:rPr>
                <w:rFonts w:ascii="Calibri" w:hAnsi="Calibri" w:cs="Calibri"/>
                <w:color w:val="auto"/>
                <w:sz w:val="18"/>
                <w:szCs w:val="21"/>
                <w:highlight w:val="none"/>
              </w:rPr>
            </w:pPr>
          </w:p>
        </w:tc>
      </w:tr>
      <w:tr w14:paraId="26A2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1BD41377">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20F2C4E2">
            <w:pPr>
              <w:keepNext/>
              <w:keepLines/>
              <w:ind w:firstLine="360"/>
              <w:jc w:val="center"/>
              <w:outlineLvl w:val="2"/>
              <w:rPr>
                <w:rFonts w:ascii="Calibri" w:hAnsi="Calibri" w:cs="Calibri"/>
                <w:color w:val="auto"/>
                <w:sz w:val="18"/>
                <w:szCs w:val="21"/>
                <w:highlight w:val="none"/>
              </w:rPr>
            </w:pPr>
          </w:p>
        </w:tc>
        <w:tc>
          <w:tcPr>
            <w:tcW w:w="937" w:type="dxa"/>
            <w:vAlign w:val="center"/>
          </w:tcPr>
          <w:p w14:paraId="473F30B6">
            <w:pPr>
              <w:keepNext/>
              <w:keepLines/>
              <w:ind w:firstLine="360"/>
              <w:jc w:val="center"/>
              <w:outlineLvl w:val="2"/>
              <w:rPr>
                <w:rFonts w:ascii="Calibri" w:hAnsi="Calibri" w:cs="Calibri"/>
                <w:color w:val="auto"/>
                <w:sz w:val="18"/>
                <w:szCs w:val="21"/>
                <w:highlight w:val="none"/>
              </w:rPr>
            </w:pPr>
          </w:p>
        </w:tc>
        <w:tc>
          <w:tcPr>
            <w:tcW w:w="988" w:type="dxa"/>
            <w:gridSpan w:val="2"/>
            <w:vAlign w:val="center"/>
          </w:tcPr>
          <w:p w14:paraId="7536C800">
            <w:pPr>
              <w:keepNext/>
              <w:keepLines/>
              <w:ind w:firstLine="360"/>
              <w:jc w:val="center"/>
              <w:outlineLvl w:val="2"/>
              <w:rPr>
                <w:rFonts w:ascii="Calibri" w:hAnsi="Calibri" w:cs="Calibri"/>
                <w:color w:val="auto"/>
                <w:sz w:val="18"/>
                <w:szCs w:val="21"/>
                <w:highlight w:val="none"/>
              </w:rPr>
            </w:pPr>
          </w:p>
        </w:tc>
        <w:tc>
          <w:tcPr>
            <w:tcW w:w="1075" w:type="dxa"/>
            <w:vAlign w:val="center"/>
          </w:tcPr>
          <w:p w14:paraId="4F0CAF2B">
            <w:pPr>
              <w:keepNext/>
              <w:keepLines/>
              <w:ind w:firstLine="360"/>
              <w:jc w:val="center"/>
              <w:outlineLvl w:val="2"/>
              <w:rPr>
                <w:rFonts w:ascii="Calibri" w:hAnsi="Calibri" w:cs="Calibri"/>
                <w:color w:val="auto"/>
                <w:sz w:val="18"/>
                <w:szCs w:val="21"/>
                <w:highlight w:val="none"/>
              </w:rPr>
            </w:pPr>
          </w:p>
        </w:tc>
        <w:tc>
          <w:tcPr>
            <w:tcW w:w="732" w:type="dxa"/>
            <w:gridSpan w:val="2"/>
            <w:vAlign w:val="center"/>
          </w:tcPr>
          <w:p w14:paraId="1A3F4ABC">
            <w:pPr>
              <w:keepNext/>
              <w:keepLines/>
              <w:ind w:firstLine="360"/>
              <w:jc w:val="center"/>
              <w:outlineLvl w:val="2"/>
              <w:rPr>
                <w:rFonts w:ascii="Calibri" w:hAnsi="Calibri" w:cs="Calibri"/>
                <w:color w:val="auto"/>
                <w:sz w:val="18"/>
                <w:szCs w:val="21"/>
                <w:highlight w:val="none"/>
              </w:rPr>
            </w:pPr>
          </w:p>
        </w:tc>
        <w:tc>
          <w:tcPr>
            <w:tcW w:w="1543" w:type="dxa"/>
            <w:gridSpan w:val="2"/>
            <w:vAlign w:val="center"/>
          </w:tcPr>
          <w:p w14:paraId="54D5C74A">
            <w:pPr>
              <w:keepNext/>
              <w:keepLines/>
              <w:ind w:firstLine="360"/>
              <w:jc w:val="center"/>
              <w:outlineLvl w:val="2"/>
              <w:rPr>
                <w:rFonts w:ascii="Calibri" w:hAnsi="Calibri" w:cs="Calibri"/>
                <w:color w:val="auto"/>
                <w:sz w:val="18"/>
                <w:szCs w:val="21"/>
                <w:highlight w:val="none"/>
              </w:rPr>
            </w:pPr>
          </w:p>
        </w:tc>
        <w:tc>
          <w:tcPr>
            <w:tcW w:w="1237" w:type="dxa"/>
            <w:vAlign w:val="center"/>
          </w:tcPr>
          <w:p w14:paraId="722521E1">
            <w:pPr>
              <w:keepNext/>
              <w:keepLines/>
              <w:ind w:firstLine="360"/>
              <w:jc w:val="center"/>
              <w:outlineLvl w:val="2"/>
              <w:rPr>
                <w:rFonts w:ascii="Calibri" w:hAnsi="Calibri" w:cs="Calibri"/>
                <w:color w:val="auto"/>
                <w:sz w:val="18"/>
                <w:szCs w:val="21"/>
                <w:highlight w:val="none"/>
              </w:rPr>
            </w:pPr>
          </w:p>
        </w:tc>
        <w:tc>
          <w:tcPr>
            <w:tcW w:w="1000" w:type="dxa"/>
            <w:vAlign w:val="center"/>
          </w:tcPr>
          <w:p w14:paraId="682FC97D">
            <w:pPr>
              <w:keepNext/>
              <w:keepLines/>
              <w:ind w:firstLine="360"/>
              <w:jc w:val="center"/>
              <w:outlineLvl w:val="2"/>
              <w:rPr>
                <w:rFonts w:ascii="Calibri" w:hAnsi="Calibri" w:cs="Calibri"/>
                <w:color w:val="auto"/>
                <w:sz w:val="18"/>
                <w:szCs w:val="21"/>
                <w:highlight w:val="none"/>
              </w:rPr>
            </w:pPr>
          </w:p>
        </w:tc>
        <w:tc>
          <w:tcPr>
            <w:tcW w:w="888" w:type="dxa"/>
            <w:vMerge w:val="continue"/>
            <w:vAlign w:val="center"/>
          </w:tcPr>
          <w:p w14:paraId="66BA4603">
            <w:pPr>
              <w:keepNext/>
              <w:keepLines/>
              <w:ind w:firstLine="360"/>
              <w:jc w:val="center"/>
              <w:outlineLvl w:val="2"/>
              <w:rPr>
                <w:rFonts w:ascii="Calibri" w:hAnsi="Calibri" w:cs="Calibri"/>
                <w:color w:val="auto"/>
                <w:sz w:val="18"/>
                <w:szCs w:val="21"/>
                <w:highlight w:val="none"/>
              </w:rPr>
            </w:pPr>
          </w:p>
        </w:tc>
      </w:tr>
      <w:tr w14:paraId="5F75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6DC6F5CB">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4CED0226">
            <w:pPr>
              <w:keepNext/>
              <w:keepLines/>
              <w:ind w:firstLine="360"/>
              <w:jc w:val="center"/>
              <w:outlineLvl w:val="2"/>
              <w:rPr>
                <w:rFonts w:ascii="Calibri" w:hAnsi="Calibri" w:cs="Calibri"/>
                <w:color w:val="auto"/>
                <w:sz w:val="18"/>
                <w:szCs w:val="21"/>
                <w:highlight w:val="none"/>
              </w:rPr>
            </w:pPr>
          </w:p>
        </w:tc>
        <w:tc>
          <w:tcPr>
            <w:tcW w:w="937" w:type="dxa"/>
            <w:vAlign w:val="center"/>
          </w:tcPr>
          <w:p w14:paraId="27546290">
            <w:pPr>
              <w:keepNext/>
              <w:keepLines/>
              <w:ind w:firstLine="360"/>
              <w:jc w:val="center"/>
              <w:outlineLvl w:val="2"/>
              <w:rPr>
                <w:rFonts w:ascii="Calibri" w:hAnsi="Calibri" w:cs="Calibri"/>
                <w:color w:val="auto"/>
                <w:sz w:val="18"/>
                <w:szCs w:val="21"/>
                <w:highlight w:val="none"/>
              </w:rPr>
            </w:pPr>
            <w:bookmarkStart w:id="260" w:name="_Toc195800185"/>
            <w:bookmarkStart w:id="261" w:name="_Toc32397"/>
            <w:bookmarkStart w:id="262" w:name="_Toc193802857"/>
            <w:r>
              <w:rPr>
                <w:rFonts w:hint="eastAsia" w:ascii="Calibri" w:hAnsi="Calibri" w:cs="Calibri"/>
                <w:color w:val="auto"/>
                <w:sz w:val="18"/>
                <w:szCs w:val="21"/>
                <w:highlight w:val="none"/>
              </w:rPr>
              <w:t>...</w:t>
            </w:r>
            <w:bookmarkEnd w:id="260"/>
            <w:bookmarkEnd w:id="261"/>
            <w:bookmarkEnd w:id="262"/>
          </w:p>
        </w:tc>
        <w:tc>
          <w:tcPr>
            <w:tcW w:w="988" w:type="dxa"/>
            <w:gridSpan w:val="2"/>
            <w:vAlign w:val="center"/>
          </w:tcPr>
          <w:p w14:paraId="0B779B9E">
            <w:pPr>
              <w:keepNext/>
              <w:keepLines/>
              <w:ind w:firstLine="360"/>
              <w:jc w:val="center"/>
              <w:outlineLvl w:val="2"/>
              <w:rPr>
                <w:rFonts w:ascii="Calibri" w:hAnsi="Calibri" w:cs="Calibri"/>
                <w:color w:val="auto"/>
                <w:sz w:val="18"/>
                <w:szCs w:val="21"/>
                <w:highlight w:val="none"/>
              </w:rPr>
            </w:pPr>
          </w:p>
        </w:tc>
        <w:tc>
          <w:tcPr>
            <w:tcW w:w="1075" w:type="dxa"/>
            <w:vAlign w:val="center"/>
          </w:tcPr>
          <w:p w14:paraId="5103AD26">
            <w:pPr>
              <w:keepNext/>
              <w:keepLines/>
              <w:ind w:firstLine="360"/>
              <w:jc w:val="center"/>
              <w:outlineLvl w:val="2"/>
              <w:rPr>
                <w:rFonts w:ascii="Calibri" w:hAnsi="Calibri" w:cs="Calibri"/>
                <w:color w:val="auto"/>
                <w:sz w:val="18"/>
                <w:szCs w:val="21"/>
                <w:highlight w:val="none"/>
              </w:rPr>
            </w:pPr>
          </w:p>
        </w:tc>
        <w:tc>
          <w:tcPr>
            <w:tcW w:w="732" w:type="dxa"/>
            <w:gridSpan w:val="2"/>
            <w:vAlign w:val="center"/>
          </w:tcPr>
          <w:p w14:paraId="71CE8C60">
            <w:pPr>
              <w:keepNext/>
              <w:keepLines/>
              <w:ind w:firstLine="360"/>
              <w:jc w:val="center"/>
              <w:outlineLvl w:val="2"/>
              <w:rPr>
                <w:rFonts w:ascii="Calibri" w:hAnsi="Calibri" w:cs="Calibri"/>
                <w:color w:val="auto"/>
                <w:sz w:val="18"/>
                <w:szCs w:val="21"/>
                <w:highlight w:val="none"/>
              </w:rPr>
            </w:pPr>
          </w:p>
        </w:tc>
        <w:tc>
          <w:tcPr>
            <w:tcW w:w="1543" w:type="dxa"/>
            <w:gridSpan w:val="2"/>
            <w:vAlign w:val="center"/>
          </w:tcPr>
          <w:p w14:paraId="75942A23">
            <w:pPr>
              <w:keepNext/>
              <w:keepLines/>
              <w:ind w:firstLine="360"/>
              <w:jc w:val="center"/>
              <w:outlineLvl w:val="2"/>
              <w:rPr>
                <w:rFonts w:ascii="Calibri" w:hAnsi="Calibri" w:cs="Calibri"/>
                <w:color w:val="auto"/>
                <w:sz w:val="18"/>
                <w:szCs w:val="21"/>
                <w:highlight w:val="none"/>
              </w:rPr>
            </w:pPr>
          </w:p>
        </w:tc>
        <w:tc>
          <w:tcPr>
            <w:tcW w:w="1237" w:type="dxa"/>
            <w:vAlign w:val="center"/>
          </w:tcPr>
          <w:p w14:paraId="54D322C6">
            <w:pPr>
              <w:keepNext/>
              <w:keepLines/>
              <w:ind w:firstLine="360"/>
              <w:jc w:val="center"/>
              <w:outlineLvl w:val="2"/>
              <w:rPr>
                <w:rFonts w:ascii="Calibri" w:hAnsi="Calibri" w:cs="Calibri"/>
                <w:color w:val="auto"/>
                <w:sz w:val="18"/>
                <w:szCs w:val="21"/>
                <w:highlight w:val="none"/>
              </w:rPr>
            </w:pPr>
          </w:p>
        </w:tc>
        <w:tc>
          <w:tcPr>
            <w:tcW w:w="1000" w:type="dxa"/>
            <w:vAlign w:val="center"/>
          </w:tcPr>
          <w:p w14:paraId="1E499C34">
            <w:pPr>
              <w:keepNext/>
              <w:keepLines/>
              <w:ind w:firstLine="360"/>
              <w:jc w:val="center"/>
              <w:outlineLvl w:val="2"/>
              <w:rPr>
                <w:rFonts w:ascii="Calibri" w:hAnsi="Calibri" w:cs="Calibri"/>
                <w:color w:val="auto"/>
                <w:sz w:val="18"/>
                <w:szCs w:val="21"/>
                <w:highlight w:val="none"/>
              </w:rPr>
            </w:pPr>
          </w:p>
        </w:tc>
        <w:tc>
          <w:tcPr>
            <w:tcW w:w="888" w:type="dxa"/>
            <w:vMerge w:val="continue"/>
            <w:vAlign w:val="center"/>
          </w:tcPr>
          <w:p w14:paraId="6BA8ABA8">
            <w:pPr>
              <w:keepNext/>
              <w:keepLines/>
              <w:ind w:firstLine="360"/>
              <w:jc w:val="center"/>
              <w:outlineLvl w:val="2"/>
              <w:rPr>
                <w:rFonts w:ascii="Calibri" w:hAnsi="Calibri" w:cs="Calibri"/>
                <w:color w:val="auto"/>
                <w:sz w:val="18"/>
                <w:szCs w:val="21"/>
                <w:highlight w:val="none"/>
              </w:rPr>
            </w:pPr>
          </w:p>
        </w:tc>
      </w:tr>
      <w:tr w14:paraId="4421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restart"/>
            <w:vAlign w:val="center"/>
          </w:tcPr>
          <w:p w14:paraId="794A8C08">
            <w:pPr>
              <w:keepNext/>
              <w:keepLines/>
              <w:jc w:val="center"/>
              <w:outlineLvl w:val="2"/>
              <w:rPr>
                <w:rFonts w:ascii="Calibri" w:hAnsi="Calibri" w:cs="Calibri"/>
                <w:color w:val="auto"/>
                <w:sz w:val="18"/>
                <w:szCs w:val="21"/>
                <w:highlight w:val="none"/>
              </w:rPr>
            </w:pPr>
            <w:bookmarkStart w:id="263" w:name="_Toc193802858"/>
            <w:bookmarkStart w:id="264" w:name="_Toc195800186"/>
            <w:bookmarkStart w:id="265" w:name="_Toc28796"/>
            <w:r>
              <w:rPr>
                <w:rFonts w:hint="eastAsia" w:ascii="Calibri" w:hAnsi="Calibri" w:cs="Calibri"/>
                <w:color w:val="auto"/>
                <w:sz w:val="18"/>
                <w:szCs w:val="21"/>
                <w:highlight w:val="none"/>
              </w:rPr>
              <w:t>4</w:t>
            </w:r>
            <w:bookmarkEnd w:id="263"/>
            <w:bookmarkEnd w:id="264"/>
            <w:bookmarkEnd w:id="265"/>
          </w:p>
        </w:tc>
        <w:tc>
          <w:tcPr>
            <w:tcW w:w="1113" w:type="dxa"/>
            <w:vMerge w:val="restart"/>
            <w:vAlign w:val="center"/>
          </w:tcPr>
          <w:p w14:paraId="6D3A4EFF">
            <w:pPr>
              <w:keepNext/>
              <w:keepLines/>
              <w:outlineLvl w:val="2"/>
              <w:rPr>
                <w:rFonts w:ascii="Calibri" w:hAnsi="Calibri" w:cs="Calibri"/>
                <w:color w:val="auto"/>
                <w:sz w:val="18"/>
                <w:szCs w:val="21"/>
                <w:highlight w:val="none"/>
              </w:rPr>
            </w:pPr>
            <w:bookmarkStart w:id="266" w:name="_Toc195800187"/>
            <w:bookmarkStart w:id="267" w:name="_Toc193802859"/>
            <w:bookmarkStart w:id="268" w:name="_Toc6344"/>
            <w:r>
              <w:rPr>
                <w:rFonts w:hint="eastAsia" w:ascii="Calibri" w:hAnsi="Calibri" w:cs="Calibri"/>
                <w:color w:val="auto"/>
                <w:sz w:val="18"/>
                <w:szCs w:val="21"/>
                <w:highlight w:val="none"/>
              </w:rPr>
              <w:t>奖项（如有）</w:t>
            </w:r>
            <w:bookmarkEnd w:id="266"/>
            <w:bookmarkEnd w:id="267"/>
            <w:bookmarkEnd w:id="268"/>
          </w:p>
        </w:tc>
        <w:tc>
          <w:tcPr>
            <w:tcW w:w="937" w:type="dxa"/>
            <w:vAlign w:val="center"/>
          </w:tcPr>
          <w:p w14:paraId="3838D13A">
            <w:pPr>
              <w:keepNext/>
              <w:keepLines/>
              <w:jc w:val="center"/>
              <w:outlineLvl w:val="2"/>
              <w:rPr>
                <w:rFonts w:ascii="Calibri" w:hAnsi="Calibri" w:cs="Calibri"/>
                <w:color w:val="auto"/>
                <w:sz w:val="18"/>
                <w:szCs w:val="21"/>
                <w:highlight w:val="none"/>
              </w:rPr>
            </w:pPr>
            <w:bookmarkStart w:id="269" w:name="_Toc20814"/>
            <w:bookmarkStart w:id="270" w:name="_Toc193802860"/>
            <w:bookmarkStart w:id="271" w:name="_Toc195800188"/>
            <w:r>
              <w:rPr>
                <w:rFonts w:hint="eastAsia" w:ascii="Calibri" w:hAnsi="Calibri" w:cs="Calibri"/>
                <w:color w:val="auto"/>
                <w:sz w:val="18"/>
                <w:szCs w:val="21"/>
                <w:highlight w:val="none"/>
              </w:rPr>
              <w:t>序号</w:t>
            </w:r>
            <w:bookmarkEnd w:id="269"/>
            <w:bookmarkEnd w:id="270"/>
            <w:bookmarkEnd w:id="271"/>
          </w:p>
        </w:tc>
        <w:tc>
          <w:tcPr>
            <w:tcW w:w="925" w:type="dxa"/>
            <w:vAlign w:val="center"/>
          </w:tcPr>
          <w:p w14:paraId="357AC3A6">
            <w:pPr>
              <w:keepNext/>
              <w:keepLines/>
              <w:outlineLvl w:val="2"/>
              <w:rPr>
                <w:rFonts w:ascii="Calibri" w:hAnsi="Calibri" w:cs="Calibri"/>
                <w:color w:val="auto"/>
                <w:sz w:val="18"/>
                <w:szCs w:val="21"/>
                <w:highlight w:val="none"/>
              </w:rPr>
            </w:pPr>
            <w:bookmarkStart w:id="272" w:name="_Toc193802861"/>
            <w:bookmarkStart w:id="273" w:name="_Toc195800189"/>
            <w:bookmarkStart w:id="274" w:name="_Toc20587"/>
            <w:r>
              <w:rPr>
                <w:rFonts w:hint="eastAsia" w:ascii="Calibri" w:hAnsi="Calibri" w:cs="Calibri"/>
                <w:color w:val="auto"/>
                <w:sz w:val="18"/>
                <w:szCs w:val="21"/>
                <w:highlight w:val="none"/>
              </w:rPr>
              <w:t>奖项</w:t>
            </w:r>
            <w:bookmarkEnd w:id="272"/>
            <w:r>
              <w:rPr>
                <w:rFonts w:hint="eastAsia" w:ascii="Calibri" w:hAnsi="Calibri" w:cs="Calibri"/>
                <w:color w:val="auto"/>
                <w:sz w:val="18"/>
                <w:szCs w:val="21"/>
                <w:highlight w:val="none"/>
              </w:rPr>
              <w:t>名称</w:t>
            </w:r>
            <w:bookmarkEnd w:id="273"/>
            <w:bookmarkEnd w:id="274"/>
          </w:p>
        </w:tc>
        <w:tc>
          <w:tcPr>
            <w:tcW w:w="1138" w:type="dxa"/>
            <w:gridSpan w:val="2"/>
            <w:vAlign w:val="center"/>
          </w:tcPr>
          <w:p w14:paraId="4547E50C">
            <w:pPr>
              <w:keepNext/>
              <w:keepLines/>
              <w:outlineLvl w:val="2"/>
              <w:rPr>
                <w:rFonts w:ascii="Calibri" w:hAnsi="Calibri" w:cs="Calibri"/>
                <w:color w:val="auto"/>
                <w:sz w:val="18"/>
                <w:szCs w:val="21"/>
                <w:highlight w:val="none"/>
              </w:rPr>
            </w:pPr>
            <w:bookmarkStart w:id="275" w:name="_Toc195800190"/>
            <w:bookmarkStart w:id="276" w:name="_Toc25138"/>
            <w:r>
              <w:rPr>
                <w:rFonts w:hint="eastAsia" w:ascii="Calibri" w:hAnsi="Calibri" w:cs="Calibri"/>
                <w:color w:val="auto"/>
                <w:sz w:val="18"/>
                <w:szCs w:val="21"/>
                <w:highlight w:val="none"/>
              </w:rPr>
              <w:t>工程项目名称</w:t>
            </w:r>
            <w:bookmarkEnd w:id="275"/>
            <w:bookmarkEnd w:id="276"/>
          </w:p>
        </w:tc>
        <w:tc>
          <w:tcPr>
            <w:tcW w:w="612" w:type="dxa"/>
            <w:vAlign w:val="center"/>
          </w:tcPr>
          <w:p w14:paraId="51EFA7E9">
            <w:pPr>
              <w:keepNext/>
              <w:keepLines/>
              <w:outlineLvl w:val="2"/>
              <w:rPr>
                <w:rFonts w:ascii="Calibri" w:hAnsi="Calibri" w:cs="Calibri"/>
                <w:color w:val="auto"/>
                <w:sz w:val="18"/>
                <w:szCs w:val="21"/>
                <w:highlight w:val="none"/>
              </w:rPr>
            </w:pPr>
            <w:bookmarkStart w:id="277" w:name="_Toc9202"/>
            <w:bookmarkStart w:id="278" w:name="_Toc195800191"/>
            <w:r>
              <w:rPr>
                <w:rFonts w:hint="eastAsia" w:ascii="Calibri" w:hAnsi="Calibri" w:cs="Calibri"/>
                <w:color w:val="auto"/>
                <w:sz w:val="18"/>
                <w:szCs w:val="21"/>
                <w:highlight w:val="none"/>
              </w:rPr>
              <w:t>获奖单位</w:t>
            </w:r>
            <w:bookmarkEnd w:id="277"/>
            <w:bookmarkEnd w:id="278"/>
          </w:p>
        </w:tc>
        <w:tc>
          <w:tcPr>
            <w:tcW w:w="763" w:type="dxa"/>
            <w:gridSpan w:val="2"/>
            <w:vAlign w:val="center"/>
          </w:tcPr>
          <w:p w14:paraId="45385480">
            <w:pPr>
              <w:keepNext/>
              <w:keepLines/>
              <w:outlineLvl w:val="2"/>
              <w:rPr>
                <w:rFonts w:ascii="Calibri" w:hAnsi="Calibri" w:cs="Calibri"/>
                <w:color w:val="auto"/>
                <w:sz w:val="18"/>
                <w:szCs w:val="21"/>
                <w:highlight w:val="none"/>
              </w:rPr>
            </w:pPr>
            <w:bookmarkStart w:id="279" w:name="_Toc19492"/>
            <w:bookmarkStart w:id="280" w:name="_Toc195800192"/>
            <w:r>
              <w:rPr>
                <w:rFonts w:hint="eastAsia" w:ascii="Calibri" w:hAnsi="Calibri" w:cs="Calibri"/>
                <w:color w:val="auto"/>
                <w:sz w:val="18"/>
                <w:szCs w:val="21"/>
                <w:highlight w:val="none"/>
              </w:rPr>
              <w:t>所属工程类别</w:t>
            </w:r>
            <w:bookmarkEnd w:id="279"/>
            <w:bookmarkEnd w:id="280"/>
          </w:p>
        </w:tc>
        <w:tc>
          <w:tcPr>
            <w:tcW w:w="2137" w:type="dxa"/>
            <w:gridSpan w:val="2"/>
            <w:vAlign w:val="center"/>
          </w:tcPr>
          <w:p w14:paraId="5F507F7B">
            <w:pPr>
              <w:keepNext/>
              <w:keepLines/>
              <w:jc w:val="center"/>
              <w:outlineLvl w:val="2"/>
              <w:rPr>
                <w:rFonts w:ascii="Calibri" w:hAnsi="Calibri" w:cs="Calibri"/>
                <w:color w:val="auto"/>
                <w:sz w:val="18"/>
                <w:szCs w:val="21"/>
                <w:highlight w:val="none"/>
              </w:rPr>
            </w:pPr>
            <w:bookmarkStart w:id="281" w:name="_Toc193802863"/>
            <w:bookmarkStart w:id="282" w:name="_Toc195800193"/>
            <w:bookmarkStart w:id="283" w:name="_Toc21291"/>
            <w:r>
              <w:rPr>
                <w:rFonts w:hint="eastAsia" w:ascii="Calibri" w:hAnsi="Calibri" w:cs="Calibri"/>
                <w:color w:val="auto"/>
                <w:sz w:val="18"/>
                <w:szCs w:val="21"/>
                <w:highlight w:val="none"/>
              </w:rPr>
              <w:t>级别（国家级/省级）</w:t>
            </w:r>
            <w:bookmarkEnd w:id="281"/>
            <w:bookmarkEnd w:id="282"/>
            <w:bookmarkEnd w:id="283"/>
          </w:p>
        </w:tc>
        <w:tc>
          <w:tcPr>
            <w:tcW w:w="1000" w:type="dxa"/>
            <w:shd w:val="clear" w:color="auto" w:fill="auto"/>
            <w:vAlign w:val="center"/>
          </w:tcPr>
          <w:p w14:paraId="76A60165">
            <w:pPr>
              <w:keepNext/>
              <w:keepLines/>
              <w:outlineLvl w:val="2"/>
              <w:rPr>
                <w:rFonts w:ascii="Calibri" w:hAnsi="Calibri" w:cs="Calibri"/>
                <w:color w:val="auto"/>
                <w:sz w:val="18"/>
                <w:szCs w:val="21"/>
                <w:highlight w:val="none"/>
              </w:rPr>
            </w:pPr>
            <w:bookmarkStart w:id="284" w:name="_Toc10097"/>
            <w:bookmarkStart w:id="285" w:name="_Toc195800195"/>
            <w:r>
              <w:rPr>
                <w:rFonts w:hint="eastAsia" w:ascii="Calibri" w:hAnsi="Calibri" w:cs="Calibri"/>
                <w:color w:val="auto"/>
                <w:sz w:val="18"/>
                <w:szCs w:val="21"/>
                <w:highlight w:val="none"/>
              </w:rPr>
              <w:t>获奖时间</w:t>
            </w:r>
            <w:bookmarkEnd w:id="284"/>
            <w:bookmarkEnd w:id="285"/>
          </w:p>
        </w:tc>
        <w:tc>
          <w:tcPr>
            <w:tcW w:w="888" w:type="dxa"/>
            <w:vMerge w:val="restart"/>
            <w:shd w:val="clear" w:color="auto" w:fill="auto"/>
            <w:vAlign w:val="center"/>
          </w:tcPr>
          <w:p w14:paraId="0520189D">
            <w:pPr>
              <w:keepNext/>
              <w:keepLines/>
              <w:ind w:firstLine="360"/>
              <w:jc w:val="center"/>
              <w:outlineLvl w:val="2"/>
              <w:rPr>
                <w:rFonts w:ascii="Calibri" w:hAnsi="Calibri" w:cs="Calibri"/>
                <w:color w:val="auto"/>
                <w:sz w:val="18"/>
                <w:szCs w:val="21"/>
                <w:highlight w:val="none"/>
              </w:rPr>
            </w:pPr>
          </w:p>
        </w:tc>
      </w:tr>
      <w:tr w14:paraId="5D94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3155369A">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07BA22E7">
            <w:pPr>
              <w:keepNext/>
              <w:keepLines/>
              <w:jc w:val="center"/>
              <w:outlineLvl w:val="2"/>
              <w:rPr>
                <w:rFonts w:ascii="Calibri" w:hAnsi="Calibri" w:cs="Calibri"/>
                <w:color w:val="auto"/>
                <w:sz w:val="18"/>
                <w:szCs w:val="21"/>
                <w:highlight w:val="none"/>
              </w:rPr>
            </w:pPr>
          </w:p>
        </w:tc>
        <w:tc>
          <w:tcPr>
            <w:tcW w:w="937" w:type="dxa"/>
            <w:shd w:val="clear" w:color="auto" w:fill="auto"/>
            <w:vAlign w:val="center"/>
          </w:tcPr>
          <w:p w14:paraId="43A716B2">
            <w:pPr>
              <w:keepNext/>
              <w:keepLines/>
              <w:jc w:val="center"/>
              <w:outlineLvl w:val="2"/>
              <w:rPr>
                <w:rFonts w:ascii="Calibri" w:hAnsi="Calibri" w:cs="Calibri"/>
                <w:color w:val="auto"/>
                <w:sz w:val="18"/>
                <w:szCs w:val="21"/>
                <w:highlight w:val="none"/>
              </w:rPr>
            </w:pPr>
            <w:bookmarkStart w:id="286" w:name="_Toc195800196"/>
            <w:bookmarkStart w:id="287" w:name="_Toc193802865"/>
            <w:bookmarkStart w:id="288" w:name="_Toc30206"/>
            <w:r>
              <w:rPr>
                <w:rFonts w:hint="eastAsia" w:ascii="Calibri" w:hAnsi="Calibri" w:cs="Calibri"/>
                <w:color w:val="auto"/>
                <w:sz w:val="18"/>
                <w:szCs w:val="21"/>
                <w:highlight w:val="none"/>
              </w:rPr>
              <w:t>第一项</w:t>
            </w:r>
            <w:bookmarkEnd w:id="286"/>
            <w:bookmarkEnd w:id="287"/>
            <w:bookmarkEnd w:id="288"/>
          </w:p>
        </w:tc>
        <w:tc>
          <w:tcPr>
            <w:tcW w:w="925" w:type="dxa"/>
            <w:vAlign w:val="center"/>
          </w:tcPr>
          <w:p w14:paraId="40F10E9F">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27379B38">
            <w:pPr>
              <w:keepNext/>
              <w:keepLines/>
              <w:ind w:firstLine="360"/>
              <w:jc w:val="center"/>
              <w:outlineLvl w:val="2"/>
              <w:rPr>
                <w:rFonts w:ascii="Calibri" w:hAnsi="Calibri" w:cs="Calibri"/>
                <w:color w:val="auto"/>
                <w:sz w:val="18"/>
                <w:szCs w:val="21"/>
                <w:highlight w:val="none"/>
              </w:rPr>
            </w:pPr>
          </w:p>
        </w:tc>
        <w:tc>
          <w:tcPr>
            <w:tcW w:w="612" w:type="dxa"/>
            <w:vAlign w:val="center"/>
          </w:tcPr>
          <w:p w14:paraId="045018A5">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134058CC">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165790FB">
            <w:pPr>
              <w:keepNext/>
              <w:keepLines/>
              <w:jc w:val="center"/>
              <w:outlineLvl w:val="2"/>
              <w:rPr>
                <w:rFonts w:ascii="Calibri" w:hAnsi="Calibri" w:cs="Calibri"/>
                <w:color w:val="auto"/>
                <w:sz w:val="18"/>
                <w:szCs w:val="21"/>
                <w:highlight w:val="none"/>
              </w:rPr>
            </w:pPr>
          </w:p>
        </w:tc>
        <w:tc>
          <w:tcPr>
            <w:tcW w:w="1000" w:type="dxa"/>
            <w:vAlign w:val="center"/>
          </w:tcPr>
          <w:p w14:paraId="3B0FF353">
            <w:pPr>
              <w:keepNext/>
              <w:keepLines/>
              <w:jc w:val="center"/>
              <w:outlineLvl w:val="2"/>
              <w:rPr>
                <w:rFonts w:ascii="Calibri" w:hAnsi="Calibri" w:cs="Calibri"/>
                <w:color w:val="auto"/>
                <w:sz w:val="18"/>
                <w:szCs w:val="21"/>
                <w:highlight w:val="none"/>
              </w:rPr>
            </w:pPr>
          </w:p>
        </w:tc>
        <w:tc>
          <w:tcPr>
            <w:tcW w:w="888" w:type="dxa"/>
            <w:vMerge w:val="continue"/>
            <w:vAlign w:val="center"/>
          </w:tcPr>
          <w:p w14:paraId="3F84F344">
            <w:pPr>
              <w:keepNext/>
              <w:keepLines/>
              <w:ind w:firstLine="360"/>
              <w:jc w:val="center"/>
              <w:outlineLvl w:val="2"/>
              <w:rPr>
                <w:rFonts w:ascii="Calibri" w:hAnsi="Calibri" w:cs="Calibri"/>
                <w:color w:val="auto"/>
                <w:sz w:val="18"/>
                <w:szCs w:val="21"/>
                <w:highlight w:val="none"/>
              </w:rPr>
            </w:pPr>
          </w:p>
        </w:tc>
      </w:tr>
      <w:tr w14:paraId="185D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5B74422A">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58781B12">
            <w:pPr>
              <w:keepNext/>
              <w:keepLines/>
              <w:jc w:val="center"/>
              <w:outlineLvl w:val="2"/>
              <w:rPr>
                <w:rFonts w:ascii="Calibri" w:hAnsi="Calibri" w:cs="Calibri"/>
                <w:color w:val="auto"/>
                <w:sz w:val="18"/>
                <w:szCs w:val="21"/>
                <w:highlight w:val="none"/>
              </w:rPr>
            </w:pPr>
          </w:p>
        </w:tc>
        <w:tc>
          <w:tcPr>
            <w:tcW w:w="937" w:type="dxa"/>
            <w:shd w:val="clear" w:color="auto" w:fill="auto"/>
            <w:vAlign w:val="center"/>
          </w:tcPr>
          <w:p w14:paraId="2F96C01F">
            <w:pPr>
              <w:keepNext/>
              <w:keepLines/>
              <w:jc w:val="center"/>
              <w:outlineLvl w:val="2"/>
              <w:rPr>
                <w:rFonts w:ascii="Calibri" w:hAnsi="Calibri" w:cs="Calibri"/>
                <w:color w:val="auto"/>
                <w:sz w:val="18"/>
                <w:szCs w:val="21"/>
                <w:highlight w:val="none"/>
              </w:rPr>
            </w:pPr>
            <w:bookmarkStart w:id="289" w:name="_Toc193802866"/>
            <w:bookmarkStart w:id="290" w:name="_Toc195800197"/>
            <w:bookmarkStart w:id="291" w:name="_Toc20972"/>
            <w:r>
              <w:rPr>
                <w:rFonts w:hint="eastAsia" w:ascii="Calibri" w:hAnsi="Calibri" w:cs="Calibri"/>
                <w:color w:val="auto"/>
                <w:sz w:val="18"/>
                <w:szCs w:val="21"/>
                <w:highlight w:val="none"/>
              </w:rPr>
              <w:t>第二项</w:t>
            </w:r>
            <w:bookmarkEnd w:id="289"/>
            <w:bookmarkEnd w:id="290"/>
            <w:bookmarkEnd w:id="291"/>
          </w:p>
        </w:tc>
        <w:tc>
          <w:tcPr>
            <w:tcW w:w="925" w:type="dxa"/>
            <w:vAlign w:val="center"/>
          </w:tcPr>
          <w:p w14:paraId="11C1C1B6">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3A27CAB7">
            <w:pPr>
              <w:keepNext/>
              <w:keepLines/>
              <w:ind w:firstLine="360"/>
              <w:jc w:val="center"/>
              <w:outlineLvl w:val="2"/>
              <w:rPr>
                <w:rFonts w:ascii="Calibri" w:hAnsi="Calibri" w:cs="Calibri"/>
                <w:color w:val="auto"/>
                <w:sz w:val="18"/>
                <w:szCs w:val="21"/>
                <w:highlight w:val="none"/>
              </w:rPr>
            </w:pPr>
          </w:p>
        </w:tc>
        <w:tc>
          <w:tcPr>
            <w:tcW w:w="612" w:type="dxa"/>
            <w:vAlign w:val="center"/>
          </w:tcPr>
          <w:p w14:paraId="157C2E7E">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3C73C33F">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7FA86CA4">
            <w:pPr>
              <w:keepNext/>
              <w:keepLines/>
              <w:jc w:val="center"/>
              <w:outlineLvl w:val="2"/>
              <w:rPr>
                <w:rFonts w:ascii="Calibri" w:hAnsi="Calibri" w:cs="Calibri"/>
                <w:color w:val="auto"/>
                <w:sz w:val="18"/>
                <w:szCs w:val="21"/>
                <w:highlight w:val="none"/>
              </w:rPr>
            </w:pPr>
          </w:p>
        </w:tc>
        <w:tc>
          <w:tcPr>
            <w:tcW w:w="1000" w:type="dxa"/>
            <w:vAlign w:val="center"/>
          </w:tcPr>
          <w:p w14:paraId="55E9CBA0">
            <w:pPr>
              <w:keepNext/>
              <w:keepLines/>
              <w:jc w:val="center"/>
              <w:outlineLvl w:val="2"/>
              <w:rPr>
                <w:rFonts w:ascii="Calibri" w:hAnsi="Calibri" w:cs="Calibri"/>
                <w:color w:val="auto"/>
                <w:sz w:val="18"/>
                <w:szCs w:val="21"/>
                <w:highlight w:val="none"/>
              </w:rPr>
            </w:pPr>
          </w:p>
        </w:tc>
        <w:tc>
          <w:tcPr>
            <w:tcW w:w="888" w:type="dxa"/>
            <w:vMerge w:val="continue"/>
            <w:vAlign w:val="center"/>
          </w:tcPr>
          <w:p w14:paraId="66BAD4AA">
            <w:pPr>
              <w:keepNext/>
              <w:keepLines/>
              <w:ind w:firstLine="360"/>
              <w:jc w:val="center"/>
              <w:outlineLvl w:val="2"/>
              <w:rPr>
                <w:rFonts w:ascii="Calibri" w:hAnsi="Calibri" w:cs="Calibri"/>
                <w:color w:val="auto"/>
                <w:sz w:val="18"/>
                <w:szCs w:val="21"/>
                <w:highlight w:val="none"/>
              </w:rPr>
            </w:pPr>
          </w:p>
        </w:tc>
      </w:tr>
      <w:tr w14:paraId="042B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13CF8117">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3384982B">
            <w:pPr>
              <w:keepNext/>
              <w:keepLines/>
              <w:jc w:val="center"/>
              <w:outlineLvl w:val="2"/>
              <w:rPr>
                <w:rFonts w:ascii="Calibri" w:hAnsi="Calibri" w:cs="Calibri"/>
                <w:color w:val="auto"/>
                <w:sz w:val="18"/>
                <w:szCs w:val="21"/>
                <w:highlight w:val="none"/>
              </w:rPr>
            </w:pPr>
          </w:p>
        </w:tc>
        <w:tc>
          <w:tcPr>
            <w:tcW w:w="937" w:type="dxa"/>
            <w:vAlign w:val="center"/>
          </w:tcPr>
          <w:p w14:paraId="6C543DA0">
            <w:pPr>
              <w:keepNext/>
              <w:keepLines/>
              <w:jc w:val="center"/>
              <w:outlineLvl w:val="2"/>
              <w:rPr>
                <w:rFonts w:ascii="Calibri" w:hAnsi="Calibri" w:cs="Calibri"/>
                <w:color w:val="auto"/>
                <w:sz w:val="18"/>
                <w:szCs w:val="21"/>
                <w:highlight w:val="none"/>
              </w:rPr>
            </w:pPr>
            <w:bookmarkStart w:id="292" w:name="_Toc10837"/>
            <w:bookmarkStart w:id="293" w:name="_Toc193802867"/>
            <w:bookmarkStart w:id="294" w:name="_Toc195800198"/>
            <w:r>
              <w:rPr>
                <w:rFonts w:hint="eastAsia" w:ascii="Calibri" w:hAnsi="Calibri" w:cs="Calibri"/>
                <w:color w:val="auto"/>
                <w:sz w:val="18"/>
                <w:szCs w:val="21"/>
                <w:highlight w:val="none"/>
              </w:rPr>
              <w:t>第三项</w:t>
            </w:r>
            <w:bookmarkEnd w:id="292"/>
            <w:bookmarkEnd w:id="293"/>
            <w:bookmarkEnd w:id="294"/>
          </w:p>
        </w:tc>
        <w:tc>
          <w:tcPr>
            <w:tcW w:w="925" w:type="dxa"/>
            <w:vAlign w:val="center"/>
          </w:tcPr>
          <w:p w14:paraId="38541E8C">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085608F8">
            <w:pPr>
              <w:keepNext/>
              <w:keepLines/>
              <w:ind w:firstLine="360"/>
              <w:jc w:val="center"/>
              <w:outlineLvl w:val="2"/>
              <w:rPr>
                <w:rFonts w:ascii="Calibri" w:hAnsi="Calibri" w:cs="Calibri"/>
                <w:color w:val="auto"/>
                <w:sz w:val="18"/>
                <w:szCs w:val="21"/>
                <w:highlight w:val="none"/>
              </w:rPr>
            </w:pPr>
          </w:p>
        </w:tc>
        <w:tc>
          <w:tcPr>
            <w:tcW w:w="612" w:type="dxa"/>
            <w:vAlign w:val="center"/>
          </w:tcPr>
          <w:p w14:paraId="3217FC9F">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67D900D5">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3D9A0FC7">
            <w:pPr>
              <w:keepNext/>
              <w:keepLines/>
              <w:jc w:val="center"/>
              <w:outlineLvl w:val="2"/>
              <w:rPr>
                <w:rFonts w:ascii="Calibri" w:hAnsi="Calibri" w:cs="Calibri"/>
                <w:color w:val="auto"/>
                <w:sz w:val="18"/>
                <w:szCs w:val="21"/>
                <w:highlight w:val="none"/>
              </w:rPr>
            </w:pPr>
          </w:p>
        </w:tc>
        <w:tc>
          <w:tcPr>
            <w:tcW w:w="1000" w:type="dxa"/>
            <w:vAlign w:val="center"/>
          </w:tcPr>
          <w:p w14:paraId="0D8DD96F">
            <w:pPr>
              <w:keepNext/>
              <w:keepLines/>
              <w:jc w:val="center"/>
              <w:outlineLvl w:val="2"/>
              <w:rPr>
                <w:rFonts w:ascii="Calibri" w:hAnsi="Calibri" w:cs="Calibri"/>
                <w:color w:val="auto"/>
                <w:sz w:val="18"/>
                <w:szCs w:val="21"/>
                <w:highlight w:val="none"/>
              </w:rPr>
            </w:pPr>
          </w:p>
        </w:tc>
        <w:tc>
          <w:tcPr>
            <w:tcW w:w="888" w:type="dxa"/>
            <w:vMerge w:val="continue"/>
            <w:vAlign w:val="center"/>
          </w:tcPr>
          <w:p w14:paraId="03AC9B15">
            <w:pPr>
              <w:keepNext/>
              <w:keepLines/>
              <w:ind w:firstLine="360"/>
              <w:jc w:val="center"/>
              <w:outlineLvl w:val="2"/>
              <w:rPr>
                <w:rFonts w:ascii="Calibri" w:hAnsi="Calibri" w:cs="Calibri"/>
                <w:color w:val="auto"/>
                <w:sz w:val="18"/>
                <w:szCs w:val="21"/>
                <w:highlight w:val="none"/>
              </w:rPr>
            </w:pPr>
          </w:p>
        </w:tc>
      </w:tr>
      <w:tr w14:paraId="0362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6D38FB55">
            <w:pPr>
              <w:keepNext/>
              <w:keepLines/>
              <w:ind w:firstLine="360"/>
              <w:jc w:val="center"/>
              <w:outlineLvl w:val="2"/>
              <w:rPr>
                <w:rFonts w:ascii="Calibri" w:hAnsi="Calibri" w:cs="Calibri"/>
                <w:color w:val="auto"/>
                <w:sz w:val="18"/>
                <w:szCs w:val="21"/>
                <w:highlight w:val="none"/>
              </w:rPr>
            </w:pPr>
          </w:p>
        </w:tc>
        <w:tc>
          <w:tcPr>
            <w:tcW w:w="1113" w:type="dxa"/>
            <w:vMerge w:val="continue"/>
            <w:vAlign w:val="center"/>
          </w:tcPr>
          <w:p w14:paraId="494AC862">
            <w:pPr>
              <w:keepNext/>
              <w:keepLines/>
              <w:jc w:val="center"/>
              <w:outlineLvl w:val="2"/>
              <w:rPr>
                <w:rFonts w:ascii="Calibri" w:hAnsi="Calibri" w:cs="Calibri"/>
                <w:color w:val="auto"/>
                <w:sz w:val="18"/>
                <w:szCs w:val="21"/>
                <w:highlight w:val="none"/>
              </w:rPr>
            </w:pPr>
          </w:p>
        </w:tc>
        <w:tc>
          <w:tcPr>
            <w:tcW w:w="937" w:type="dxa"/>
            <w:vAlign w:val="center"/>
          </w:tcPr>
          <w:p w14:paraId="22D05098">
            <w:pPr>
              <w:keepNext/>
              <w:keepLines/>
              <w:jc w:val="center"/>
              <w:outlineLvl w:val="2"/>
              <w:rPr>
                <w:rFonts w:ascii="Calibri" w:hAnsi="Calibri" w:cs="Calibri"/>
                <w:color w:val="auto"/>
                <w:sz w:val="18"/>
                <w:szCs w:val="21"/>
                <w:highlight w:val="none"/>
              </w:rPr>
            </w:pPr>
            <w:bookmarkStart w:id="295" w:name="_Toc195800199"/>
            <w:bookmarkStart w:id="296" w:name="_Toc21423"/>
            <w:bookmarkStart w:id="297" w:name="_Toc193802868"/>
            <w:r>
              <w:rPr>
                <w:rFonts w:hint="eastAsia" w:ascii="Calibri" w:hAnsi="Calibri" w:cs="Calibri"/>
                <w:color w:val="auto"/>
                <w:sz w:val="18"/>
                <w:szCs w:val="21"/>
                <w:highlight w:val="none"/>
              </w:rPr>
              <w:t>...</w:t>
            </w:r>
            <w:bookmarkEnd w:id="295"/>
            <w:bookmarkEnd w:id="296"/>
            <w:bookmarkEnd w:id="297"/>
          </w:p>
        </w:tc>
        <w:tc>
          <w:tcPr>
            <w:tcW w:w="925" w:type="dxa"/>
            <w:vAlign w:val="center"/>
          </w:tcPr>
          <w:p w14:paraId="716E3E06">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5D46D934">
            <w:pPr>
              <w:keepNext/>
              <w:keepLines/>
              <w:ind w:firstLine="360"/>
              <w:jc w:val="center"/>
              <w:outlineLvl w:val="2"/>
              <w:rPr>
                <w:rFonts w:ascii="Calibri" w:hAnsi="Calibri" w:cs="Calibri"/>
                <w:color w:val="auto"/>
                <w:sz w:val="18"/>
                <w:szCs w:val="21"/>
                <w:highlight w:val="none"/>
              </w:rPr>
            </w:pPr>
          </w:p>
        </w:tc>
        <w:tc>
          <w:tcPr>
            <w:tcW w:w="612" w:type="dxa"/>
            <w:vAlign w:val="center"/>
          </w:tcPr>
          <w:p w14:paraId="5A118F6B">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5373541E">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21FE72B6">
            <w:pPr>
              <w:keepNext/>
              <w:keepLines/>
              <w:jc w:val="center"/>
              <w:outlineLvl w:val="2"/>
              <w:rPr>
                <w:rFonts w:ascii="Calibri" w:hAnsi="Calibri" w:cs="Calibri"/>
                <w:color w:val="auto"/>
                <w:sz w:val="18"/>
                <w:szCs w:val="21"/>
                <w:highlight w:val="none"/>
              </w:rPr>
            </w:pPr>
          </w:p>
        </w:tc>
        <w:tc>
          <w:tcPr>
            <w:tcW w:w="1000" w:type="dxa"/>
            <w:vAlign w:val="center"/>
          </w:tcPr>
          <w:p w14:paraId="69607270">
            <w:pPr>
              <w:keepNext/>
              <w:keepLines/>
              <w:jc w:val="center"/>
              <w:outlineLvl w:val="2"/>
              <w:rPr>
                <w:rFonts w:ascii="Calibri" w:hAnsi="Calibri" w:cs="Calibri"/>
                <w:color w:val="auto"/>
                <w:sz w:val="18"/>
                <w:szCs w:val="21"/>
                <w:highlight w:val="none"/>
              </w:rPr>
            </w:pPr>
          </w:p>
        </w:tc>
        <w:tc>
          <w:tcPr>
            <w:tcW w:w="888" w:type="dxa"/>
            <w:vMerge w:val="continue"/>
            <w:vAlign w:val="center"/>
          </w:tcPr>
          <w:p w14:paraId="0B179B91">
            <w:pPr>
              <w:keepNext/>
              <w:keepLines/>
              <w:ind w:firstLine="360"/>
              <w:jc w:val="center"/>
              <w:outlineLvl w:val="2"/>
              <w:rPr>
                <w:rFonts w:ascii="Calibri" w:hAnsi="Calibri" w:cs="Calibri"/>
                <w:color w:val="auto"/>
                <w:sz w:val="18"/>
                <w:szCs w:val="21"/>
                <w:highlight w:val="none"/>
              </w:rPr>
            </w:pPr>
          </w:p>
        </w:tc>
      </w:tr>
      <w:tr w14:paraId="6F12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restart"/>
            <w:vAlign w:val="center"/>
          </w:tcPr>
          <w:p w14:paraId="3725E873">
            <w:pPr>
              <w:keepNext/>
              <w:keepLines/>
              <w:ind w:firstLine="180" w:firstLineChars="100"/>
              <w:outlineLvl w:val="2"/>
              <w:rPr>
                <w:rFonts w:ascii="Calibri" w:hAnsi="Calibri" w:cs="Calibri"/>
                <w:color w:val="auto"/>
                <w:sz w:val="18"/>
                <w:szCs w:val="21"/>
                <w:highlight w:val="none"/>
              </w:rPr>
            </w:pPr>
            <w:bookmarkStart w:id="298" w:name="_Toc6740"/>
            <w:r>
              <w:rPr>
                <w:rFonts w:hint="eastAsia" w:ascii="Calibri" w:hAnsi="Calibri" w:cs="Calibri"/>
                <w:color w:val="auto"/>
                <w:sz w:val="18"/>
                <w:szCs w:val="21"/>
                <w:highlight w:val="none"/>
              </w:rPr>
              <w:t>5</w:t>
            </w:r>
            <w:bookmarkEnd w:id="298"/>
          </w:p>
        </w:tc>
        <w:tc>
          <w:tcPr>
            <w:tcW w:w="1113" w:type="dxa"/>
            <w:vMerge w:val="restart"/>
            <w:vAlign w:val="center"/>
          </w:tcPr>
          <w:p w14:paraId="164FABB5">
            <w:pPr>
              <w:keepNext/>
              <w:keepLines/>
              <w:jc w:val="center"/>
              <w:outlineLvl w:val="2"/>
              <w:rPr>
                <w:rFonts w:ascii="Calibri" w:hAnsi="Calibri" w:cs="Calibri"/>
                <w:color w:val="auto"/>
                <w:sz w:val="18"/>
                <w:szCs w:val="21"/>
                <w:highlight w:val="none"/>
              </w:rPr>
            </w:pPr>
            <w:bookmarkStart w:id="299" w:name="_Toc12023"/>
            <w:r>
              <w:rPr>
                <w:rFonts w:hint="eastAsia" w:ascii="Calibri" w:hAnsi="Calibri" w:cs="Calibri"/>
                <w:color w:val="auto"/>
                <w:sz w:val="18"/>
                <w:szCs w:val="21"/>
                <w:highlight w:val="none"/>
              </w:rPr>
              <w:t>项目经理奖项（如有）</w:t>
            </w:r>
            <w:bookmarkEnd w:id="299"/>
          </w:p>
        </w:tc>
        <w:tc>
          <w:tcPr>
            <w:tcW w:w="937" w:type="dxa"/>
            <w:vAlign w:val="center"/>
          </w:tcPr>
          <w:p w14:paraId="619CD390">
            <w:pPr>
              <w:keepNext/>
              <w:keepLines/>
              <w:jc w:val="center"/>
              <w:outlineLvl w:val="2"/>
              <w:rPr>
                <w:rFonts w:ascii="Calibri" w:hAnsi="Calibri" w:cs="Calibri"/>
                <w:color w:val="auto"/>
                <w:sz w:val="18"/>
                <w:szCs w:val="21"/>
                <w:highlight w:val="none"/>
              </w:rPr>
            </w:pPr>
            <w:bookmarkStart w:id="300" w:name="_Toc25926"/>
            <w:r>
              <w:rPr>
                <w:rFonts w:hint="eastAsia" w:ascii="Calibri" w:hAnsi="Calibri" w:cs="Calibri"/>
                <w:color w:val="auto"/>
                <w:sz w:val="18"/>
                <w:szCs w:val="21"/>
                <w:highlight w:val="none"/>
              </w:rPr>
              <w:t>序号</w:t>
            </w:r>
            <w:bookmarkEnd w:id="300"/>
          </w:p>
        </w:tc>
        <w:tc>
          <w:tcPr>
            <w:tcW w:w="925" w:type="dxa"/>
            <w:vAlign w:val="center"/>
          </w:tcPr>
          <w:p w14:paraId="3190A149">
            <w:pPr>
              <w:keepNext/>
              <w:keepLines/>
              <w:outlineLvl w:val="2"/>
              <w:rPr>
                <w:rFonts w:ascii="Calibri" w:hAnsi="Calibri" w:cs="Calibri"/>
                <w:color w:val="auto"/>
                <w:sz w:val="18"/>
                <w:szCs w:val="21"/>
                <w:highlight w:val="none"/>
              </w:rPr>
            </w:pPr>
            <w:bookmarkStart w:id="301" w:name="_Toc7140"/>
            <w:r>
              <w:rPr>
                <w:rFonts w:hint="eastAsia" w:ascii="Calibri" w:hAnsi="Calibri" w:cs="Calibri"/>
                <w:color w:val="auto"/>
                <w:sz w:val="18"/>
                <w:szCs w:val="21"/>
                <w:highlight w:val="none"/>
              </w:rPr>
              <w:t>奖项名称</w:t>
            </w:r>
            <w:bookmarkEnd w:id="301"/>
          </w:p>
        </w:tc>
        <w:tc>
          <w:tcPr>
            <w:tcW w:w="1138" w:type="dxa"/>
            <w:gridSpan w:val="2"/>
            <w:vAlign w:val="center"/>
          </w:tcPr>
          <w:p w14:paraId="3AE8F1E8">
            <w:pPr>
              <w:keepNext/>
              <w:keepLines/>
              <w:outlineLvl w:val="2"/>
              <w:rPr>
                <w:rFonts w:ascii="Calibri" w:hAnsi="Calibri" w:cs="Calibri"/>
                <w:color w:val="auto"/>
                <w:sz w:val="18"/>
                <w:szCs w:val="21"/>
                <w:highlight w:val="none"/>
              </w:rPr>
            </w:pPr>
            <w:bookmarkStart w:id="302" w:name="_Toc2272"/>
            <w:r>
              <w:rPr>
                <w:rFonts w:hint="eastAsia" w:ascii="Calibri" w:hAnsi="Calibri" w:cs="Calibri"/>
                <w:color w:val="auto"/>
                <w:sz w:val="18"/>
                <w:szCs w:val="21"/>
                <w:highlight w:val="none"/>
              </w:rPr>
              <w:t>工程项目名称</w:t>
            </w:r>
            <w:bookmarkEnd w:id="302"/>
          </w:p>
        </w:tc>
        <w:tc>
          <w:tcPr>
            <w:tcW w:w="612" w:type="dxa"/>
            <w:vAlign w:val="center"/>
          </w:tcPr>
          <w:p w14:paraId="115C049F">
            <w:pPr>
              <w:keepNext/>
              <w:keepLines/>
              <w:outlineLvl w:val="2"/>
              <w:rPr>
                <w:rFonts w:ascii="Calibri" w:hAnsi="Calibri" w:cs="Calibri"/>
                <w:color w:val="auto"/>
                <w:sz w:val="18"/>
                <w:szCs w:val="21"/>
                <w:highlight w:val="none"/>
              </w:rPr>
            </w:pPr>
            <w:bookmarkStart w:id="303" w:name="_Toc30489"/>
            <w:r>
              <w:rPr>
                <w:rFonts w:hint="eastAsia" w:ascii="Calibri" w:hAnsi="Calibri" w:cs="Calibri"/>
                <w:color w:val="auto"/>
                <w:sz w:val="18"/>
                <w:szCs w:val="21"/>
                <w:highlight w:val="none"/>
              </w:rPr>
              <w:t>获奖单位</w:t>
            </w:r>
            <w:bookmarkEnd w:id="303"/>
          </w:p>
        </w:tc>
        <w:tc>
          <w:tcPr>
            <w:tcW w:w="763" w:type="dxa"/>
            <w:gridSpan w:val="2"/>
            <w:vAlign w:val="center"/>
          </w:tcPr>
          <w:p w14:paraId="08F87C96">
            <w:pPr>
              <w:keepNext/>
              <w:keepLines/>
              <w:outlineLvl w:val="2"/>
              <w:rPr>
                <w:rFonts w:ascii="Calibri" w:hAnsi="Calibri" w:cs="Calibri"/>
                <w:color w:val="auto"/>
                <w:sz w:val="18"/>
                <w:szCs w:val="21"/>
                <w:highlight w:val="none"/>
              </w:rPr>
            </w:pPr>
            <w:bookmarkStart w:id="304" w:name="_Toc5589"/>
            <w:r>
              <w:rPr>
                <w:rFonts w:hint="eastAsia" w:ascii="Calibri" w:hAnsi="Calibri" w:cs="Calibri"/>
                <w:color w:val="auto"/>
                <w:sz w:val="18"/>
                <w:szCs w:val="21"/>
                <w:highlight w:val="none"/>
              </w:rPr>
              <w:t>所属工程类别</w:t>
            </w:r>
            <w:bookmarkEnd w:id="304"/>
          </w:p>
        </w:tc>
        <w:tc>
          <w:tcPr>
            <w:tcW w:w="2137" w:type="dxa"/>
            <w:gridSpan w:val="2"/>
            <w:vAlign w:val="center"/>
          </w:tcPr>
          <w:p w14:paraId="1AF44FBB">
            <w:pPr>
              <w:keepNext/>
              <w:keepLines/>
              <w:jc w:val="center"/>
              <w:outlineLvl w:val="2"/>
              <w:rPr>
                <w:rFonts w:ascii="Calibri" w:hAnsi="Calibri" w:cs="Calibri"/>
                <w:color w:val="auto"/>
                <w:sz w:val="18"/>
                <w:szCs w:val="21"/>
                <w:highlight w:val="none"/>
              </w:rPr>
            </w:pPr>
            <w:bookmarkStart w:id="305" w:name="_Toc8859"/>
            <w:r>
              <w:rPr>
                <w:rFonts w:hint="eastAsia" w:ascii="Calibri" w:hAnsi="Calibri" w:cs="Calibri"/>
                <w:color w:val="auto"/>
                <w:sz w:val="18"/>
                <w:szCs w:val="21"/>
                <w:highlight w:val="none"/>
              </w:rPr>
              <w:t>级别（国家级/省级）</w:t>
            </w:r>
            <w:bookmarkEnd w:id="305"/>
          </w:p>
        </w:tc>
        <w:tc>
          <w:tcPr>
            <w:tcW w:w="1000" w:type="dxa"/>
            <w:vAlign w:val="center"/>
          </w:tcPr>
          <w:p w14:paraId="497469C4">
            <w:pPr>
              <w:keepNext/>
              <w:keepLines/>
              <w:jc w:val="center"/>
              <w:outlineLvl w:val="2"/>
              <w:rPr>
                <w:rFonts w:ascii="Calibri" w:hAnsi="Calibri" w:cs="Calibri"/>
                <w:color w:val="auto"/>
                <w:sz w:val="18"/>
                <w:szCs w:val="21"/>
                <w:highlight w:val="none"/>
              </w:rPr>
            </w:pPr>
            <w:bookmarkStart w:id="306" w:name="_Toc4557"/>
            <w:r>
              <w:rPr>
                <w:rFonts w:hint="eastAsia" w:ascii="Calibri" w:hAnsi="Calibri" w:cs="Calibri"/>
                <w:color w:val="auto"/>
                <w:sz w:val="18"/>
                <w:szCs w:val="21"/>
                <w:highlight w:val="none"/>
              </w:rPr>
              <w:t>获奖时间</w:t>
            </w:r>
            <w:bookmarkEnd w:id="306"/>
          </w:p>
        </w:tc>
        <w:tc>
          <w:tcPr>
            <w:tcW w:w="888" w:type="dxa"/>
            <w:vAlign w:val="center"/>
          </w:tcPr>
          <w:p w14:paraId="56F5ED0C">
            <w:pPr>
              <w:keepNext/>
              <w:keepLines/>
              <w:ind w:firstLine="360"/>
              <w:jc w:val="center"/>
              <w:outlineLvl w:val="2"/>
              <w:rPr>
                <w:rFonts w:ascii="Calibri" w:hAnsi="Calibri" w:cs="Calibri"/>
                <w:color w:val="auto"/>
                <w:sz w:val="18"/>
                <w:szCs w:val="21"/>
                <w:highlight w:val="none"/>
              </w:rPr>
            </w:pPr>
          </w:p>
        </w:tc>
      </w:tr>
      <w:tr w14:paraId="2CAD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7692AEC9">
            <w:pPr>
              <w:keepNext/>
              <w:keepLines/>
              <w:ind w:firstLine="180" w:firstLineChars="100"/>
              <w:outlineLvl w:val="2"/>
              <w:rPr>
                <w:rFonts w:ascii="Calibri" w:hAnsi="Calibri" w:cs="Calibri"/>
                <w:color w:val="auto"/>
                <w:sz w:val="18"/>
                <w:szCs w:val="21"/>
                <w:highlight w:val="none"/>
              </w:rPr>
            </w:pPr>
          </w:p>
        </w:tc>
        <w:tc>
          <w:tcPr>
            <w:tcW w:w="1113" w:type="dxa"/>
            <w:vMerge w:val="continue"/>
            <w:vAlign w:val="center"/>
          </w:tcPr>
          <w:p w14:paraId="5B0943BE">
            <w:pPr>
              <w:keepNext/>
              <w:keepLines/>
              <w:jc w:val="center"/>
              <w:outlineLvl w:val="2"/>
              <w:rPr>
                <w:rFonts w:ascii="Calibri" w:hAnsi="Calibri" w:cs="Calibri"/>
                <w:color w:val="auto"/>
                <w:sz w:val="18"/>
                <w:szCs w:val="21"/>
                <w:highlight w:val="none"/>
              </w:rPr>
            </w:pPr>
          </w:p>
        </w:tc>
        <w:tc>
          <w:tcPr>
            <w:tcW w:w="937" w:type="dxa"/>
            <w:vAlign w:val="center"/>
          </w:tcPr>
          <w:p w14:paraId="5F2A84C6">
            <w:pPr>
              <w:keepNext/>
              <w:keepLines/>
              <w:jc w:val="center"/>
              <w:outlineLvl w:val="2"/>
              <w:rPr>
                <w:rFonts w:ascii="Calibri" w:hAnsi="Calibri" w:cs="Calibri"/>
                <w:color w:val="auto"/>
                <w:sz w:val="18"/>
                <w:szCs w:val="21"/>
                <w:highlight w:val="none"/>
              </w:rPr>
            </w:pPr>
          </w:p>
        </w:tc>
        <w:tc>
          <w:tcPr>
            <w:tcW w:w="925" w:type="dxa"/>
            <w:vAlign w:val="center"/>
          </w:tcPr>
          <w:p w14:paraId="21751D70">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7957DD53">
            <w:pPr>
              <w:keepNext/>
              <w:keepLines/>
              <w:ind w:firstLine="360"/>
              <w:jc w:val="center"/>
              <w:outlineLvl w:val="2"/>
              <w:rPr>
                <w:rFonts w:ascii="Calibri" w:hAnsi="Calibri" w:cs="Calibri"/>
                <w:color w:val="auto"/>
                <w:sz w:val="18"/>
                <w:szCs w:val="21"/>
                <w:highlight w:val="none"/>
              </w:rPr>
            </w:pPr>
          </w:p>
        </w:tc>
        <w:tc>
          <w:tcPr>
            <w:tcW w:w="612" w:type="dxa"/>
            <w:vAlign w:val="center"/>
          </w:tcPr>
          <w:p w14:paraId="6E4EBEA1">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59A3692B">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53E5F49E">
            <w:pPr>
              <w:keepNext/>
              <w:keepLines/>
              <w:ind w:firstLine="360"/>
              <w:jc w:val="center"/>
              <w:outlineLvl w:val="2"/>
              <w:rPr>
                <w:rFonts w:ascii="Calibri" w:hAnsi="Calibri" w:cs="Calibri"/>
                <w:color w:val="auto"/>
                <w:sz w:val="18"/>
                <w:szCs w:val="21"/>
                <w:highlight w:val="none"/>
              </w:rPr>
            </w:pPr>
          </w:p>
        </w:tc>
        <w:tc>
          <w:tcPr>
            <w:tcW w:w="1000" w:type="dxa"/>
            <w:vAlign w:val="center"/>
          </w:tcPr>
          <w:p w14:paraId="7CACBF06">
            <w:pPr>
              <w:keepNext/>
              <w:keepLines/>
              <w:ind w:firstLine="360"/>
              <w:jc w:val="center"/>
              <w:outlineLvl w:val="2"/>
              <w:rPr>
                <w:rFonts w:ascii="Calibri" w:hAnsi="Calibri" w:cs="Calibri"/>
                <w:color w:val="auto"/>
                <w:sz w:val="18"/>
                <w:szCs w:val="21"/>
                <w:highlight w:val="none"/>
              </w:rPr>
            </w:pPr>
          </w:p>
        </w:tc>
        <w:tc>
          <w:tcPr>
            <w:tcW w:w="888" w:type="dxa"/>
            <w:vAlign w:val="center"/>
          </w:tcPr>
          <w:p w14:paraId="5DCE0B03">
            <w:pPr>
              <w:keepNext/>
              <w:keepLines/>
              <w:ind w:firstLine="360"/>
              <w:jc w:val="center"/>
              <w:outlineLvl w:val="2"/>
              <w:rPr>
                <w:rFonts w:ascii="Calibri" w:hAnsi="Calibri" w:cs="Calibri"/>
                <w:color w:val="auto"/>
                <w:sz w:val="18"/>
                <w:szCs w:val="21"/>
                <w:highlight w:val="none"/>
              </w:rPr>
            </w:pPr>
          </w:p>
        </w:tc>
      </w:tr>
      <w:tr w14:paraId="38D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Align w:val="center"/>
          </w:tcPr>
          <w:p w14:paraId="19799870">
            <w:pPr>
              <w:keepNext/>
              <w:keepLines/>
              <w:ind w:firstLine="180" w:firstLineChars="100"/>
              <w:outlineLvl w:val="2"/>
              <w:rPr>
                <w:rFonts w:ascii="Calibri" w:hAnsi="Calibri" w:cs="Calibri"/>
                <w:color w:val="auto"/>
                <w:sz w:val="18"/>
                <w:szCs w:val="21"/>
                <w:highlight w:val="none"/>
              </w:rPr>
            </w:pPr>
            <w:bookmarkStart w:id="307" w:name="_Toc21082"/>
            <w:bookmarkStart w:id="308" w:name="_Toc195800200"/>
            <w:r>
              <w:rPr>
                <w:rFonts w:hint="eastAsia" w:ascii="Calibri" w:hAnsi="Calibri" w:cs="Calibri"/>
                <w:color w:val="auto"/>
                <w:sz w:val="18"/>
                <w:szCs w:val="21"/>
                <w:highlight w:val="none"/>
              </w:rPr>
              <w:t>6</w:t>
            </w:r>
            <w:bookmarkEnd w:id="307"/>
            <w:bookmarkEnd w:id="308"/>
          </w:p>
        </w:tc>
        <w:tc>
          <w:tcPr>
            <w:tcW w:w="1113" w:type="dxa"/>
            <w:vAlign w:val="center"/>
          </w:tcPr>
          <w:p w14:paraId="7A31E2BF">
            <w:pPr>
              <w:keepNext/>
              <w:keepLines/>
              <w:jc w:val="center"/>
              <w:outlineLvl w:val="2"/>
              <w:rPr>
                <w:rFonts w:ascii="Calibri" w:hAnsi="Calibri" w:cs="Calibri"/>
                <w:color w:val="auto"/>
                <w:sz w:val="18"/>
                <w:szCs w:val="21"/>
                <w:highlight w:val="none"/>
              </w:rPr>
            </w:pPr>
            <w:bookmarkStart w:id="309" w:name="_Toc195800201"/>
            <w:bookmarkStart w:id="310" w:name="_Toc14902"/>
            <w:r>
              <w:rPr>
                <w:rFonts w:hint="eastAsia" w:ascii="Calibri" w:hAnsi="Calibri" w:cs="Calibri"/>
                <w:color w:val="auto"/>
                <w:sz w:val="18"/>
                <w:szCs w:val="21"/>
                <w:highlight w:val="none"/>
              </w:rPr>
              <w:t>质量安全评价</w:t>
            </w:r>
            <w:bookmarkEnd w:id="309"/>
            <w:r>
              <w:rPr>
                <w:rFonts w:hint="eastAsia" w:ascii="Calibri" w:hAnsi="Calibri" w:cs="Calibri"/>
                <w:color w:val="auto"/>
                <w:sz w:val="18"/>
                <w:szCs w:val="21"/>
                <w:highlight w:val="none"/>
              </w:rPr>
              <w:t>（如有）</w:t>
            </w:r>
            <w:bookmarkEnd w:id="310"/>
          </w:p>
        </w:tc>
        <w:tc>
          <w:tcPr>
            <w:tcW w:w="937" w:type="dxa"/>
            <w:vAlign w:val="center"/>
          </w:tcPr>
          <w:p w14:paraId="1DFCA5B5">
            <w:pPr>
              <w:keepNext/>
              <w:keepLines/>
              <w:jc w:val="center"/>
              <w:outlineLvl w:val="2"/>
              <w:rPr>
                <w:rFonts w:ascii="Calibri" w:hAnsi="Calibri" w:cs="Calibri"/>
                <w:color w:val="auto"/>
                <w:sz w:val="18"/>
                <w:szCs w:val="21"/>
                <w:highlight w:val="none"/>
              </w:rPr>
            </w:pPr>
          </w:p>
        </w:tc>
        <w:tc>
          <w:tcPr>
            <w:tcW w:w="925" w:type="dxa"/>
            <w:vAlign w:val="center"/>
          </w:tcPr>
          <w:p w14:paraId="770938D4">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25A59DB9">
            <w:pPr>
              <w:keepNext/>
              <w:keepLines/>
              <w:ind w:firstLine="360"/>
              <w:jc w:val="center"/>
              <w:outlineLvl w:val="2"/>
              <w:rPr>
                <w:rFonts w:ascii="Calibri" w:hAnsi="Calibri" w:cs="Calibri"/>
                <w:color w:val="auto"/>
                <w:sz w:val="18"/>
                <w:szCs w:val="21"/>
                <w:highlight w:val="none"/>
              </w:rPr>
            </w:pPr>
          </w:p>
        </w:tc>
        <w:tc>
          <w:tcPr>
            <w:tcW w:w="612" w:type="dxa"/>
            <w:vAlign w:val="center"/>
          </w:tcPr>
          <w:p w14:paraId="06961F71">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1A065CC1">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58FB3670">
            <w:pPr>
              <w:keepNext/>
              <w:keepLines/>
              <w:ind w:firstLine="360"/>
              <w:jc w:val="center"/>
              <w:outlineLvl w:val="2"/>
              <w:rPr>
                <w:rFonts w:ascii="Calibri" w:hAnsi="Calibri" w:cs="Calibri"/>
                <w:color w:val="auto"/>
                <w:sz w:val="18"/>
                <w:szCs w:val="21"/>
                <w:highlight w:val="none"/>
              </w:rPr>
            </w:pPr>
          </w:p>
        </w:tc>
        <w:tc>
          <w:tcPr>
            <w:tcW w:w="1000" w:type="dxa"/>
            <w:vAlign w:val="center"/>
          </w:tcPr>
          <w:p w14:paraId="7830D863">
            <w:pPr>
              <w:keepNext/>
              <w:keepLines/>
              <w:ind w:firstLine="360"/>
              <w:jc w:val="center"/>
              <w:outlineLvl w:val="2"/>
              <w:rPr>
                <w:rFonts w:ascii="Calibri" w:hAnsi="Calibri" w:cs="Calibri"/>
                <w:color w:val="auto"/>
                <w:sz w:val="18"/>
                <w:szCs w:val="21"/>
                <w:highlight w:val="none"/>
              </w:rPr>
            </w:pPr>
          </w:p>
        </w:tc>
        <w:tc>
          <w:tcPr>
            <w:tcW w:w="888" w:type="dxa"/>
            <w:vAlign w:val="center"/>
          </w:tcPr>
          <w:p w14:paraId="0D2F83FA">
            <w:pPr>
              <w:keepNext/>
              <w:keepLines/>
              <w:ind w:firstLine="360"/>
              <w:jc w:val="center"/>
              <w:outlineLvl w:val="2"/>
              <w:rPr>
                <w:rFonts w:ascii="Calibri" w:hAnsi="Calibri" w:cs="Calibri"/>
                <w:color w:val="auto"/>
                <w:sz w:val="18"/>
                <w:szCs w:val="21"/>
                <w:highlight w:val="none"/>
              </w:rPr>
            </w:pPr>
          </w:p>
        </w:tc>
      </w:tr>
      <w:tr w14:paraId="57B6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Align w:val="center"/>
          </w:tcPr>
          <w:p w14:paraId="268C33FD">
            <w:pPr>
              <w:keepNext/>
              <w:keepLines/>
              <w:ind w:firstLine="180" w:firstLineChars="100"/>
              <w:outlineLvl w:val="2"/>
              <w:rPr>
                <w:rFonts w:ascii="Calibri" w:hAnsi="Calibri" w:cs="Calibri"/>
                <w:color w:val="auto"/>
                <w:sz w:val="18"/>
                <w:szCs w:val="21"/>
                <w:highlight w:val="none"/>
              </w:rPr>
            </w:pPr>
            <w:bookmarkStart w:id="311" w:name="_Toc19016"/>
            <w:bookmarkStart w:id="312" w:name="_Toc195800202"/>
            <w:r>
              <w:rPr>
                <w:rFonts w:hint="eastAsia" w:ascii="Calibri" w:hAnsi="Calibri" w:cs="Calibri"/>
                <w:color w:val="auto"/>
                <w:sz w:val="18"/>
                <w:szCs w:val="21"/>
                <w:highlight w:val="none"/>
              </w:rPr>
              <w:t>7</w:t>
            </w:r>
            <w:bookmarkEnd w:id="311"/>
            <w:bookmarkEnd w:id="312"/>
          </w:p>
        </w:tc>
        <w:tc>
          <w:tcPr>
            <w:tcW w:w="1113" w:type="dxa"/>
            <w:vAlign w:val="center"/>
          </w:tcPr>
          <w:p w14:paraId="1FF90FB1">
            <w:pPr>
              <w:keepNext/>
              <w:keepLines/>
              <w:jc w:val="center"/>
              <w:outlineLvl w:val="2"/>
              <w:rPr>
                <w:rFonts w:ascii="Calibri" w:hAnsi="Calibri" w:cs="Calibri"/>
                <w:color w:val="auto"/>
                <w:sz w:val="18"/>
                <w:szCs w:val="21"/>
                <w:highlight w:val="none"/>
              </w:rPr>
            </w:pPr>
            <w:bookmarkStart w:id="313" w:name="_Toc195800203"/>
            <w:bookmarkStart w:id="314" w:name="_Toc13968"/>
            <w:r>
              <w:rPr>
                <w:rFonts w:hint="eastAsia" w:ascii="Calibri" w:hAnsi="Calibri" w:cs="Calibri"/>
                <w:color w:val="auto"/>
                <w:sz w:val="18"/>
                <w:szCs w:val="21"/>
                <w:highlight w:val="none"/>
              </w:rPr>
              <w:t>社会责任</w:t>
            </w:r>
            <w:bookmarkEnd w:id="313"/>
            <w:r>
              <w:rPr>
                <w:rFonts w:hint="eastAsia" w:ascii="Calibri" w:hAnsi="Calibri" w:cs="Calibri"/>
                <w:color w:val="auto"/>
                <w:sz w:val="18"/>
                <w:szCs w:val="21"/>
                <w:highlight w:val="none"/>
              </w:rPr>
              <w:t>（如有）</w:t>
            </w:r>
            <w:bookmarkEnd w:id="314"/>
          </w:p>
        </w:tc>
        <w:tc>
          <w:tcPr>
            <w:tcW w:w="937" w:type="dxa"/>
            <w:vAlign w:val="center"/>
          </w:tcPr>
          <w:p w14:paraId="00A71DA3">
            <w:pPr>
              <w:keepNext/>
              <w:keepLines/>
              <w:jc w:val="center"/>
              <w:outlineLvl w:val="2"/>
              <w:rPr>
                <w:rFonts w:ascii="Calibri" w:hAnsi="Calibri" w:cs="Calibri"/>
                <w:color w:val="auto"/>
                <w:sz w:val="18"/>
                <w:szCs w:val="21"/>
                <w:highlight w:val="none"/>
              </w:rPr>
            </w:pPr>
          </w:p>
        </w:tc>
        <w:tc>
          <w:tcPr>
            <w:tcW w:w="925" w:type="dxa"/>
            <w:vAlign w:val="center"/>
          </w:tcPr>
          <w:p w14:paraId="5ABCDE15">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2025989E">
            <w:pPr>
              <w:keepNext/>
              <w:keepLines/>
              <w:ind w:firstLine="360"/>
              <w:jc w:val="center"/>
              <w:outlineLvl w:val="2"/>
              <w:rPr>
                <w:rFonts w:ascii="Calibri" w:hAnsi="Calibri" w:cs="Calibri"/>
                <w:color w:val="auto"/>
                <w:sz w:val="18"/>
                <w:szCs w:val="21"/>
                <w:highlight w:val="none"/>
              </w:rPr>
            </w:pPr>
          </w:p>
        </w:tc>
        <w:tc>
          <w:tcPr>
            <w:tcW w:w="612" w:type="dxa"/>
            <w:vAlign w:val="center"/>
          </w:tcPr>
          <w:p w14:paraId="7DB19F2F">
            <w:pPr>
              <w:keepNext/>
              <w:keepLines/>
              <w:ind w:firstLine="360"/>
              <w:jc w:val="center"/>
              <w:outlineLvl w:val="2"/>
              <w:rPr>
                <w:rFonts w:ascii="Calibri" w:hAnsi="Calibri" w:cs="Calibri"/>
                <w:color w:val="auto"/>
                <w:sz w:val="18"/>
                <w:szCs w:val="21"/>
                <w:highlight w:val="none"/>
              </w:rPr>
            </w:pPr>
          </w:p>
        </w:tc>
        <w:tc>
          <w:tcPr>
            <w:tcW w:w="763" w:type="dxa"/>
            <w:gridSpan w:val="2"/>
            <w:vAlign w:val="center"/>
          </w:tcPr>
          <w:p w14:paraId="639FC4F6">
            <w:pPr>
              <w:keepNext/>
              <w:keepLines/>
              <w:ind w:firstLine="360"/>
              <w:jc w:val="center"/>
              <w:outlineLvl w:val="2"/>
              <w:rPr>
                <w:rFonts w:ascii="Calibri" w:hAnsi="Calibri" w:cs="Calibri"/>
                <w:color w:val="auto"/>
                <w:sz w:val="18"/>
                <w:szCs w:val="21"/>
                <w:highlight w:val="none"/>
              </w:rPr>
            </w:pPr>
          </w:p>
        </w:tc>
        <w:tc>
          <w:tcPr>
            <w:tcW w:w="2137" w:type="dxa"/>
            <w:gridSpan w:val="2"/>
            <w:vAlign w:val="center"/>
          </w:tcPr>
          <w:p w14:paraId="495150F1">
            <w:pPr>
              <w:keepNext/>
              <w:keepLines/>
              <w:ind w:firstLine="360"/>
              <w:jc w:val="center"/>
              <w:outlineLvl w:val="2"/>
              <w:rPr>
                <w:rFonts w:ascii="Calibri" w:hAnsi="Calibri" w:cs="Calibri"/>
                <w:color w:val="auto"/>
                <w:sz w:val="18"/>
                <w:szCs w:val="21"/>
                <w:highlight w:val="none"/>
              </w:rPr>
            </w:pPr>
          </w:p>
        </w:tc>
        <w:tc>
          <w:tcPr>
            <w:tcW w:w="1000" w:type="dxa"/>
            <w:vAlign w:val="center"/>
          </w:tcPr>
          <w:p w14:paraId="385D4415">
            <w:pPr>
              <w:keepNext/>
              <w:keepLines/>
              <w:ind w:firstLine="360"/>
              <w:jc w:val="center"/>
              <w:outlineLvl w:val="2"/>
              <w:rPr>
                <w:rFonts w:ascii="Calibri" w:hAnsi="Calibri" w:cs="Calibri"/>
                <w:color w:val="auto"/>
                <w:sz w:val="18"/>
                <w:szCs w:val="21"/>
                <w:highlight w:val="none"/>
              </w:rPr>
            </w:pPr>
          </w:p>
        </w:tc>
        <w:tc>
          <w:tcPr>
            <w:tcW w:w="888" w:type="dxa"/>
            <w:vAlign w:val="center"/>
          </w:tcPr>
          <w:p w14:paraId="5D8262FC">
            <w:pPr>
              <w:keepNext/>
              <w:keepLines/>
              <w:ind w:firstLine="360"/>
              <w:jc w:val="center"/>
              <w:outlineLvl w:val="2"/>
              <w:rPr>
                <w:rFonts w:ascii="Calibri" w:hAnsi="Calibri" w:cs="Calibri"/>
                <w:color w:val="auto"/>
                <w:sz w:val="18"/>
                <w:szCs w:val="21"/>
                <w:highlight w:val="none"/>
              </w:rPr>
            </w:pPr>
          </w:p>
        </w:tc>
      </w:tr>
      <w:tr w14:paraId="79CD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restart"/>
            <w:vAlign w:val="center"/>
          </w:tcPr>
          <w:p w14:paraId="24B4F5B5">
            <w:pPr>
              <w:keepNext/>
              <w:keepLines/>
              <w:ind w:firstLine="180" w:firstLineChars="100"/>
              <w:outlineLvl w:val="2"/>
              <w:rPr>
                <w:rFonts w:ascii="Calibri" w:hAnsi="Calibri" w:cs="Calibri"/>
                <w:color w:val="auto"/>
                <w:sz w:val="18"/>
                <w:szCs w:val="21"/>
                <w:highlight w:val="none"/>
              </w:rPr>
            </w:pPr>
            <w:bookmarkStart w:id="315" w:name="_Toc494"/>
            <w:r>
              <w:rPr>
                <w:rFonts w:hint="eastAsia" w:ascii="Calibri" w:hAnsi="Calibri" w:cs="Calibri"/>
                <w:color w:val="auto"/>
                <w:sz w:val="18"/>
                <w:szCs w:val="21"/>
                <w:highlight w:val="none"/>
              </w:rPr>
              <w:t>8</w:t>
            </w:r>
            <w:bookmarkEnd w:id="315"/>
          </w:p>
        </w:tc>
        <w:tc>
          <w:tcPr>
            <w:tcW w:w="1113" w:type="dxa"/>
            <w:vMerge w:val="restart"/>
            <w:vAlign w:val="center"/>
          </w:tcPr>
          <w:p w14:paraId="79514FA0">
            <w:pPr>
              <w:keepNext/>
              <w:keepLines/>
              <w:jc w:val="center"/>
              <w:outlineLvl w:val="2"/>
              <w:rPr>
                <w:rFonts w:ascii="Calibri" w:hAnsi="Calibri" w:cs="Calibri"/>
                <w:color w:val="auto"/>
                <w:sz w:val="18"/>
                <w:szCs w:val="21"/>
                <w:highlight w:val="none"/>
              </w:rPr>
            </w:pPr>
            <w:bookmarkStart w:id="316" w:name="_Toc32287"/>
            <w:r>
              <w:rPr>
                <w:rFonts w:hint="eastAsia" w:ascii="Calibri" w:hAnsi="Calibri" w:cs="Calibri"/>
                <w:color w:val="auto"/>
                <w:sz w:val="18"/>
                <w:szCs w:val="21"/>
                <w:highlight w:val="none"/>
              </w:rPr>
              <w:t>项目经理不良信用信息</w:t>
            </w:r>
            <w:bookmarkEnd w:id="316"/>
          </w:p>
        </w:tc>
        <w:tc>
          <w:tcPr>
            <w:tcW w:w="937" w:type="dxa"/>
            <w:vAlign w:val="center"/>
          </w:tcPr>
          <w:p w14:paraId="6B1D2242">
            <w:pPr>
              <w:keepNext/>
              <w:keepLines/>
              <w:jc w:val="center"/>
              <w:outlineLvl w:val="2"/>
              <w:rPr>
                <w:rFonts w:ascii="Calibri" w:hAnsi="Calibri" w:cs="Calibri"/>
                <w:color w:val="auto"/>
                <w:sz w:val="18"/>
                <w:szCs w:val="21"/>
                <w:highlight w:val="none"/>
              </w:rPr>
            </w:pPr>
            <w:bookmarkStart w:id="317" w:name="_Toc476"/>
            <w:r>
              <w:rPr>
                <w:rFonts w:hint="eastAsia" w:ascii="Calibri" w:hAnsi="Calibri" w:cs="Calibri"/>
                <w:color w:val="auto"/>
                <w:sz w:val="18"/>
                <w:szCs w:val="21"/>
                <w:highlight w:val="none"/>
              </w:rPr>
              <w:t>序号</w:t>
            </w:r>
            <w:bookmarkEnd w:id="317"/>
          </w:p>
        </w:tc>
        <w:tc>
          <w:tcPr>
            <w:tcW w:w="925" w:type="dxa"/>
            <w:vAlign w:val="center"/>
          </w:tcPr>
          <w:p w14:paraId="60528E6E">
            <w:pPr>
              <w:keepNext/>
              <w:keepLines/>
              <w:outlineLvl w:val="2"/>
              <w:rPr>
                <w:rFonts w:ascii="Calibri" w:hAnsi="Calibri" w:cs="Calibri"/>
                <w:color w:val="auto"/>
                <w:sz w:val="18"/>
                <w:szCs w:val="21"/>
                <w:highlight w:val="none"/>
              </w:rPr>
            </w:pPr>
            <w:bookmarkStart w:id="318" w:name="_Toc5161"/>
            <w:r>
              <w:rPr>
                <w:rFonts w:hint="eastAsia" w:ascii="Calibri" w:hAnsi="Calibri" w:cs="Calibri"/>
                <w:color w:val="auto"/>
                <w:sz w:val="18"/>
                <w:szCs w:val="21"/>
                <w:highlight w:val="none"/>
              </w:rPr>
              <w:t>不良信用类型</w:t>
            </w:r>
            <w:bookmarkEnd w:id="318"/>
          </w:p>
        </w:tc>
        <w:tc>
          <w:tcPr>
            <w:tcW w:w="1138" w:type="dxa"/>
            <w:gridSpan w:val="2"/>
            <w:vAlign w:val="center"/>
          </w:tcPr>
          <w:p w14:paraId="41C99C5B">
            <w:pPr>
              <w:keepNext/>
              <w:keepLines/>
              <w:outlineLvl w:val="2"/>
              <w:rPr>
                <w:rFonts w:ascii="Calibri" w:hAnsi="Calibri" w:cs="Calibri"/>
                <w:color w:val="auto"/>
                <w:sz w:val="18"/>
                <w:szCs w:val="21"/>
                <w:highlight w:val="none"/>
              </w:rPr>
            </w:pPr>
            <w:bookmarkStart w:id="319" w:name="_Toc12648"/>
            <w:r>
              <w:rPr>
                <w:rFonts w:hint="eastAsia" w:ascii="Calibri" w:hAnsi="Calibri" w:cs="Calibri"/>
                <w:color w:val="auto"/>
                <w:sz w:val="18"/>
                <w:szCs w:val="21"/>
                <w:highlight w:val="none"/>
              </w:rPr>
              <w:t>发文单位</w:t>
            </w:r>
            <w:bookmarkEnd w:id="319"/>
          </w:p>
        </w:tc>
        <w:tc>
          <w:tcPr>
            <w:tcW w:w="612" w:type="dxa"/>
            <w:vAlign w:val="center"/>
          </w:tcPr>
          <w:p w14:paraId="1A805325">
            <w:pPr>
              <w:keepNext/>
              <w:keepLines/>
              <w:outlineLvl w:val="2"/>
              <w:rPr>
                <w:rFonts w:ascii="Calibri" w:hAnsi="Calibri" w:cs="Calibri"/>
                <w:color w:val="auto"/>
                <w:sz w:val="18"/>
                <w:szCs w:val="21"/>
                <w:highlight w:val="none"/>
              </w:rPr>
            </w:pPr>
            <w:bookmarkStart w:id="320" w:name="_Toc5930"/>
            <w:r>
              <w:rPr>
                <w:rFonts w:hint="eastAsia" w:ascii="Calibri" w:hAnsi="Calibri" w:cs="Calibri"/>
                <w:color w:val="auto"/>
                <w:sz w:val="18"/>
                <w:szCs w:val="21"/>
                <w:highlight w:val="none"/>
              </w:rPr>
              <w:t>事项</w:t>
            </w:r>
            <w:bookmarkEnd w:id="320"/>
          </w:p>
        </w:tc>
        <w:tc>
          <w:tcPr>
            <w:tcW w:w="1663" w:type="dxa"/>
            <w:gridSpan w:val="3"/>
            <w:vAlign w:val="center"/>
          </w:tcPr>
          <w:p w14:paraId="4F679879">
            <w:pPr>
              <w:keepNext/>
              <w:keepLines/>
              <w:outlineLvl w:val="2"/>
              <w:rPr>
                <w:rFonts w:ascii="Calibri" w:hAnsi="Calibri" w:cs="Calibri"/>
                <w:color w:val="auto"/>
                <w:sz w:val="18"/>
                <w:szCs w:val="21"/>
                <w:highlight w:val="none"/>
              </w:rPr>
            </w:pPr>
            <w:bookmarkStart w:id="321" w:name="_Toc16279"/>
            <w:r>
              <w:rPr>
                <w:rFonts w:hint="eastAsia" w:ascii="Calibri" w:hAnsi="Calibri" w:cs="Calibri"/>
                <w:color w:val="auto"/>
                <w:sz w:val="18"/>
                <w:szCs w:val="21"/>
                <w:highlight w:val="none"/>
              </w:rPr>
              <w:t>作出处罚决定时间</w:t>
            </w:r>
            <w:bookmarkEnd w:id="321"/>
          </w:p>
        </w:tc>
        <w:tc>
          <w:tcPr>
            <w:tcW w:w="1237" w:type="dxa"/>
            <w:vAlign w:val="center"/>
          </w:tcPr>
          <w:p w14:paraId="022D4934">
            <w:pPr>
              <w:keepNext/>
              <w:keepLines/>
              <w:jc w:val="center"/>
              <w:outlineLvl w:val="2"/>
              <w:rPr>
                <w:rFonts w:ascii="Calibri" w:hAnsi="Calibri" w:cs="Calibri"/>
                <w:color w:val="auto"/>
                <w:sz w:val="18"/>
                <w:szCs w:val="21"/>
                <w:highlight w:val="none"/>
              </w:rPr>
            </w:pPr>
            <w:bookmarkStart w:id="322" w:name="_Toc17061"/>
            <w:r>
              <w:rPr>
                <w:rFonts w:hint="eastAsia" w:ascii="Calibri" w:hAnsi="Calibri" w:cs="Calibri"/>
                <w:color w:val="auto"/>
                <w:sz w:val="18"/>
                <w:szCs w:val="21"/>
                <w:highlight w:val="none"/>
              </w:rPr>
              <w:t>行政处罚金额</w:t>
            </w:r>
            <w:bookmarkEnd w:id="322"/>
          </w:p>
        </w:tc>
        <w:tc>
          <w:tcPr>
            <w:tcW w:w="1000" w:type="dxa"/>
            <w:vAlign w:val="center"/>
          </w:tcPr>
          <w:p w14:paraId="362AEE95">
            <w:pPr>
              <w:keepNext/>
              <w:keepLines/>
              <w:jc w:val="center"/>
              <w:outlineLvl w:val="2"/>
              <w:rPr>
                <w:rFonts w:ascii="Calibri" w:hAnsi="Calibri" w:cs="Calibri"/>
                <w:color w:val="auto"/>
                <w:sz w:val="18"/>
                <w:szCs w:val="21"/>
                <w:highlight w:val="none"/>
              </w:rPr>
            </w:pPr>
            <w:bookmarkStart w:id="323" w:name="_Toc26666"/>
            <w:r>
              <w:rPr>
                <w:rFonts w:hint="eastAsia" w:ascii="Calibri" w:hAnsi="Calibri" w:cs="Calibri"/>
                <w:color w:val="auto"/>
                <w:sz w:val="18"/>
                <w:szCs w:val="21"/>
                <w:highlight w:val="none"/>
              </w:rPr>
              <w:t>不良信用公布平台</w:t>
            </w:r>
            <w:bookmarkEnd w:id="323"/>
          </w:p>
        </w:tc>
        <w:tc>
          <w:tcPr>
            <w:tcW w:w="888" w:type="dxa"/>
            <w:vAlign w:val="center"/>
          </w:tcPr>
          <w:p w14:paraId="4053CD32">
            <w:pPr>
              <w:keepNext/>
              <w:keepLines/>
              <w:ind w:firstLine="360"/>
              <w:jc w:val="center"/>
              <w:outlineLvl w:val="2"/>
              <w:rPr>
                <w:rFonts w:ascii="Calibri" w:hAnsi="Calibri" w:cs="Calibri"/>
                <w:color w:val="auto"/>
                <w:sz w:val="18"/>
                <w:szCs w:val="21"/>
                <w:highlight w:val="none"/>
              </w:rPr>
            </w:pPr>
          </w:p>
        </w:tc>
      </w:tr>
      <w:tr w14:paraId="4359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2" w:type="dxa"/>
            <w:vMerge w:val="continue"/>
            <w:vAlign w:val="center"/>
          </w:tcPr>
          <w:p w14:paraId="70695A6A">
            <w:pPr>
              <w:keepNext/>
              <w:keepLines/>
              <w:ind w:firstLine="180" w:firstLineChars="100"/>
              <w:outlineLvl w:val="2"/>
              <w:rPr>
                <w:rFonts w:ascii="Calibri" w:hAnsi="Calibri" w:cs="Calibri"/>
                <w:color w:val="auto"/>
                <w:sz w:val="18"/>
                <w:szCs w:val="21"/>
                <w:highlight w:val="none"/>
              </w:rPr>
            </w:pPr>
          </w:p>
        </w:tc>
        <w:tc>
          <w:tcPr>
            <w:tcW w:w="1113" w:type="dxa"/>
            <w:vMerge w:val="continue"/>
            <w:vAlign w:val="center"/>
          </w:tcPr>
          <w:p w14:paraId="2073054F">
            <w:pPr>
              <w:keepNext/>
              <w:keepLines/>
              <w:ind w:firstLine="360"/>
              <w:jc w:val="center"/>
              <w:outlineLvl w:val="2"/>
              <w:rPr>
                <w:rFonts w:ascii="Calibri" w:hAnsi="Calibri" w:cs="Calibri"/>
                <w:color w:val="auto"/>
                <w:sz w:val="18"/>
                <w:szCs w:val="21"/>
                <w:highlight w:val="none"/>
              </w:rPr>
            </w:pPr>
          </w:p>
        </w:tc>
        <w:tc>
          <w:tcPr>
            <w:tcW w:w="937" w:type="dxa"/>
            <w:vAlign w:val="center"/>
          </w:tcPr>
          <w:p w14:paraId="0DCB0A90">
            <w:pPr>
              <w:keepNext/>
              <w:keepLines/>
              <w:ind w:firstLine="360"/>
              <w:jc w:val="center"/>
              <w:outlineLvl w:val="2"/>
              <w:rPr>
                <w:rFonts w:ascii="Calibri" w:hAnsi="Calibri" w:cs="Calibri"/>
                <w:color w:val="auto"/>
                <w:sz w:val="18"/>
                <w:szCs w:val="21"/>
                <w:highlight w:val="none"/>
              </w:rPr>
            </w:pPr>
          </w:p>
        </w:tc>
        <w:tc>
          <w:tcPr>
            <w:tcW w:w="925" w:type="dxa"/>
            <w:vAlign w:val="center"/>
          </w:tcPr>
          <w:p w14:paraId="09991E07">
            <w:pPr>
              <w:keepNext/>
              <w:keepLines/>
              <w:ind w:firstLine="360"/>
              <w:jc w:val="center"/>
              <w:outlineLvl w:val="2"/>
              <w:rPr>
                <w:rFonts w:ascii="Calibri" w:hAnsi="Calibri" w:cs="Calibri"/>
                <w:color w:val="auto"/>
                <w:sz w:val="18"/>
                <w:szCs w:val="21"/>
                <w:highlight w:val="none"/>
              </w:rPr>
            </w:pPr>
          </w:p>
        </w:tc>
        <w:tc>
          <w:tcPr>
            <w:tcW w:w="1138" w:type="dxa"/>
            <w:gridSpan w:val="2"/>
            <w:vAlign w:val="center"/>
          </w:tcPr>
          <w:p w14:paraId="479AF15B">
            <w:pPr>
              <w:keepNext/>
              <w:keepLines/>
              <w:ind w:firstLine="360"/>
              <w:jc w:val="center"/>
              <w:outlineLvl w:val="2"/>
              <w:rPr>
                <w:rFonts w:ascii="Calibri" w:hAnsi="Calibri" w:cs="Calibri"/>
                <w:color w:val="auto"/>
                <w:sz w:val="18"/>
                <w:szCs w:val="21"/>
                <w:highlight w:val="none"/>
              </w:rPr>
            </w:pPr>
          </w:p>
        </w:tc>
        <w:tc>
          <w:tcPr>
            <w:tcW w:w="612" w:type="dxa"/>
            <w:vAlign w:val="center"/>
          </w:tcPr>
          <w:p w14:paraId="73E32E93">
            <w:pPr>
              <w:keepNext/>
              <w:keepLines/>
              <w:ind w:firstLine="360"/>
              <w:jc w:val="center"/>
              <w:outlineLvl w:val="2"/>
              <w:rPr>
                <w:rFonts w:ascii="Calibri" w:hAnsi="Calibri" w:cs="Calibri"/>
                <w:color w:val="auto"/>
                <w:sz w:val="18"/>
                <w:szCs w:val="21"/>
                <w:highlight w:val="none"/>
              </w:rPr>
            </w:pPr>
          </w:p>
        </w:tc>
        <w:tc>
          <w:tcPr>
            <w:tcW w:w="1663" w:type="dxa"/>
            <w:gridSpan w:val="3"/>
            <w:vAlign w:val="center"/>
          </w:tcPr>
          <w:p w14:paraId="5C37ECF7">
            <w:pPr>
              <w:keepNext/>
              <w:keepLines/>
              <w:ind w:firstLine="360"/>
              <w:jc w:val="center"/>
              <w:outlineLvl w:val="2"/>
              <w:rPr>
                <w:rFonts w:ascii="Calibri" w:hAnsi="Calibri" w:cs="Calibri"/>
                <w:color w:val="auto"/>
                <w:sz w:val="18"/>
                <w:szCs w:val="21"/>
                <w:highlight w:val="none"/>
              </w:rPr>
            </w:pPr>
          </w:p>
        </w:tc>
        <w:tc>
          <w:tcPr>
            <w:tcW w:w="1237" w:type="dxa"/>
            <w:vAlign w:val="center"/>
          </w:tcPr>
          <w:p w14:paraId="0392D43B">
            <w:pPr>
              <w:keepNext/>
              <w:keepLines/>
              <w:ind w:firstLine="360"/>
              <w:jc w:val="center"/>
              <w:outlineLvl w:val="2"/>
              <w:rPr>
                <w:rFonts w:ascii="Calibri" w:hAnsi="Calibri" w:cs="Calibri"/>
                <w:color w:val="auto"/>
                <w:sz w:val="18"/>
                <w:szCs w:val="21"/>
                <w:highlight w:val="none"/>
              </w:rPr>
            </w:pPr>
          </w:p>
        </w:tc>
        <w:tc>
          <w:tcPr>
            <w:tcW w:w="1000" w:type="dxa"/>
            <w:vAlign w:val="center"/>
          </w:tcPr>
          <w:p w14:paraId="0508443B">
            <w:pPr>
              <w:keepNext/>
              <w:keepLines/>
              <w:ind w:firstLine="360"/>
              <w:jc w:val="center"/>
              <w:outlineLvl w:val="2"/>
              <w:rPr>
                <w:rFonts w:ascii="Calibri" w:hAnsi="Calibri" w:cs="Calibri"/>
                <w:color w:val="auto"/>
                <w:sz w:val="18"/>
                <w:szCs w:val="21"/>
                <w:highlight w:val="none"/>
              </w:rPr>
            </w:pPr>
          </w:p>
        </w:tc>
        <w:tc>
          <w:tcPr>
            <w:tcW w:w="888" w:type="dxa"/>
            <w:vAlign w:val="center"/>
          </w:tcPr>
          <w:p w14:paraId="4C0F39A5">
            <w:pPr>
              <w:keepNext/>
              <w:keepLines/>
              <w:ind w:firstLine="360"/>
              <w:jc w:val="center"/>
              <w:outlineLvl w:val="2"/>
              <w:rPr>
                <w:rFonts w:ascii="Calibri" w:hAnsi="Calibri" w:cs="Calibri"/>
                <w:color w:val="auto"/>
                <w:sz w:val="18"/>
                <w:szCs w:val="21"/>
                <w:highlight w:val="none"/>
              </w:rPr>
            </w:pPr>
          </w:p>
        </w:tc>
      </w:tr>
    </w:tbl>
    <w:p w14:paraId="14C7C6D8">
      <w:pPr>
        <w:ind w:firstLine="560"/>
        <w:rPr>
          <w:rFonts w:hint="eastAsia" w:ascii="宋体" w:hAnsi="宋体" w:cs="宋体"/>
          <w:color w:val="auto"/>
          <w:highlight w:val="none"/>
        </w:rPr>
      </w:pPr>
    </w:p>
    <w:p w14:paraId="3A0174CC">
      <w:pPr>
        <w:keepNext/>
        <w:keepLines/>
        <w:spacing w:line="360" w:lineRule="auto"/>
        <w:ind w:firstLine="360"/>
        <w:jc w:val="left"/>
        <w:outlineLvl w:val="2"/>
        <w:rPr>
          <w:rFonts w:ascii="Calibri" w:hAnsi="Calibri" w:cs="Calibri"/>
          <w:color w:val="auto"/>
          <w:sz w:val="18"/>
          <w:szCs w:val="21"/>
          <w:highlight w:val="none"/>
        </w:rPr>
      </w:pPr>
      <w:bookmarkStart w:id="324" w:name="_Toc16507"/>
      <w:r>
        <w:rPr>
          <w:rFonts w:hint="eastAsia" w:ascii="Calibri" w:hAnsi="Calibri" w:cs="Calibri"/>
          <w:color w:val="auto"/>
          <w:sz w:val="18"/>
          <w:szCs w:val="21"/>
          <w:highlight w:val="none"/>
        </w:rPr>
        <w:t>备注：</w:t>
      </w:r>
      <w:bookmarkEnd w:id="324"/>
    </w:p>
    <w:p w14:paraId="2E8AC95D">
      <w:pPr>
        <w:keepNext/>
        <w:keepLines/>
        <w:spacing w:line="360" w:lineRule="auto"/>
        <w:ind w:firstLine="360"/>
        <w:jc w:val="left"/>
        <w:outlineLvl w:val="2"/>
        <w:rPr>
          <w:rFonts w:ascii="Calibri" w:hAnsi="Calibri" w:cs="Calibri"/>
          <w:color w:val="auto"/>
          <w:sz w:val="18"/>
          <w:szCs w:val="21"/>
          <w:highlight w:val="none"/>
        </w:rPr>
      </w:pPr>
      <w:bookmarkStart w:id="325" w:name="_Toc7709"/>
      <w:r>
        <w:rPr>
          <w:rFonts w:hint="eastAsia" w:ascii="Calibri" w:hAnsi="Calibri" w:cs="Calibri"/>
          <w:color w:val="auto"/>
          <w:sz w:val="18"/>
          <w:szCs w:val="21"/>
          <w:highlight w:val="none"/>
        </w:rPr>
        <w:t>1.类似工程业绩栏填写说明：申请人提供的类似工程业绩如单项合同中同时具备不同工程内容的双牵引指标的，申请人应按照电子投标系统要求分牵引指标分别进行填报。</w:t>
      </w:r>
      <w:bookmarkEnd w:id="325"/>
    </w:p>
    <w:p w14:paraId="7417399E">
      <w:pPr>
        <w:keepNext/>
        <w:keepLines/>
        <w:spacing w:line="360" w:lineRule="auto"/>
        <w:ind w:firstLine="360"/>
        <w:jc w:val="left"/>
        <w:outlineLvl w:val="2"/>
        <w:rPr>
          <w:rFonts w:ascii="Calibri" w:hAnsi="Calibri" w:cs="Calibri"/>
          <w:color w:val="auto"/>
          <w:sz w:val="18"/>
          <w:szCs w:val="21"/>
          <w:highlight w:val="none"/>
        </w:rPr>
      </w:pPr>
      <w:bookmarkStart w:id="326" w:name="_Toc19944"/>
      <w:r>
        <w:rPr>
          <w:rFonts w:hint="eastAsia" w:ascii="Calibri" w:hAnsi="Calibri" w:cs="Calibri"/>
          <w:color w:val="auto"/>
          <w:sz w:val="18"/>
          <w:szCs w:val="21"/>
          <w:highlight w:val="none"/>
        </w:rPr>
        <w:t>2.</w:t>
      </w:r>
      <w:r>
        <w:rPr>
          <w:rFonts w:hint="eastAsia" w:ascii="Calibri" w:hAnsi="Calibri" w:cs="Calibri"/>
          <w:color w:val="auto"/>
          <w:sz w:val="18"/>
          <w:szCs w:val="21"/>
          <w:highlight w:val="none"/>
          <w:lang w:eastAsia="zh-CN"/>
        </w:rPr>
        <w:t>（全省统一的招标投标信用评价体系建立前）</w:t>
      </w:r>
      <w:r>
        <w:rPr>
          <w:rFonts w:hint="eastAsia" w:ascii="Calibri" w:hAnsi="Calibri" w:cs="Calibri"/>
          <w:color w:val="auto"/>
          <w:sz w:val="18"/>
          <w:szCs w:val="21"/>
          <w:highlight w:val="none"/>
        </w:rPr>
        <w:t>信用加分栏填写说明：在“湖南省数字城建档案馆|智慧住建云”有公布信息的，填写“湖南省数字城建档案馆|智慧住建云上”最新公布的信用评价总分；无信用评价结果的，填写“无信用评价总分”；省外企业无信用评价查询结果的，可以提供企业注册地省级住房和城乡建设部门公布的信用评价结果（非百分制的按照《导则》规定的原则，按照百分制自行折算后填写）；虽为百分制但不是 100分封顶的，要按照该企业得分与当年该省同期施工企业最高信用评价分自行折算后填写。</w:t>
      </w:r>
      <w:bookmarkEnd w:id="326"/>
    </w:p>
    <w:p w14:paraId="4C7A7ECA">
      <w:pPr>
        <w:keepNext/>
        <w:keepLines/>
        <w:spacing w:line="360" w:lineRule="auto"/>
        <w:ind w:firstLine="360"/>
        <w:jc w:val="left"/>
        <w:outlineLvl w:val="2"/>
        <w:rPr>
          <w:rFonts w:ascii="Calibri" w:hAnsi="Calibri" w:cs="Calibri"/>
          <w:color w:val="auto"/>
          <w:sz w:val="18"/>
          <w:szCs w:val="21"/>
          <w:highlight w:val="none"/>
        </w:rPr>
      </w:pPr>
      <w:bookmarkStart w:id="327" w:name="_Toc193802878"/>
      <w:bookmarkStart w:id="328" w:name="_Toc195800204"/>
      <w:bookmarkStart w:id="329" w:name="_Toc12064"/>
      <w:r>
        <w:rPr>
          <w:rFonts w:hint="eastAsia" w:ascii="Calibri" w:hAnsi="Calibri" w:cs="Calibri"/>
          <w:color w:val="auto"/>
          <w:sz w:val="18"/>
          <w:szCs w:val="21"/>
          <w:highlight w:val="none"/>
        </w:rPr>
        <w:t>3.本表后附信用得分、未参加信用评价存在信用评价不良信用信息证明资料的复印件（具体要求见第二章申请人须知前附表）。</w:t>
      </w:r>
      <w:bookmarkEnd w:id="327"/>
      <w:bookmarkEnd w:id="328"/>
      <w:bookmarkEnd w:id="329"/>
    </w:p>
    <w:p w14:paraId="67F1F866">
      <w:pPr>
        <w:keepNext/>
        <w:keepLines/>
        <w:spacing w:line="360" w:lineRule="auto"/>
        <w:ind w:firstLine="360"/>
        <w:jc w:val="left"/>
        <w:outlineLvl w:val="2"/>
        <w:rPr>
          <w:rFonts w:ascii="Calibri" w:hAnsi="Calibri" w:cs="Calibri"/>
          <w:color w:val="auto"/>
          <w:sz w:val="18"/>
          <w:szCs w:val="21"/>
          <w:highlight w:val="none"/>
        </w:rPr>
      </w:pPr>
      <w:bookmarkStart w:id="330" w:name="_Toc6562"/>
      <w:bookmarkStart w:id="331" w:name="_Toc195800205"/>
      <w:r>
        <w:rPr>
          <w:rFonts w:hint="eastAsia" w:ascii="Calibri" w:hAnsi="Calibri" w:cs="Calibri"/>
          <w:color w:val="auto"/>
          <w:sz w:val="18"/>
          <w:szCs w:val="21"/>
          <w:highlight w:val="none"/>
        </w:rPr>
        <w:t>4.本表后附奖项、质量安全评价</w:t>
      </w:r>
      <w:r>
        <w:rPr>
          <w:rFonts w:hint="eastAsia" w:ascii="Calibri" w:hAnsi="Calibri" w:cs="Calibri"/>
          <w:color w:val="auto"/>
          <w:sz w:val="18"/>
          <w:szCs w:val="21"/>
          <w:highlight w:val="none"/>
          <w:lang w:eastAsia="zh-CN"/>
        </w:rPr>
        <w:t>及其其他</w:t>
      </w:r>
      <w:r>
        <w:rPr>
          <w:rFonts w:hint="eastAsia" w:ascii="Calibri" w:hAnsi="Calibri" w:cs="Calibri"/>
          <w:color w:val="auto"/>
          <w:sz w:val="18"/>
          <w:szCs w:val="21"/>
          <w:highlight w:val="none"/>
        </w:rPr>
        <w:t>证明资料的复印件（具体要求见本资格预审文件第三章规定）。</w:t>
      </w:r>
      <w:bookmarkEnd w:id="330"/>
      <w:bookmarkEnd w:id="331"/>
    </w:p>
    <w:p w14:paraId="0FEB0115">
      <w:pPr>
        <w:keepNext/>
        <w:keepLines/>
        <w:spacing w:line="360" w:lineRule="auto"/>
        <w:ind w:firstLine="360"/>
        <w:jc w:val="left"/>
        <w:outlineLvl w:val="2"/>
        <w:rPr>
          <w:rFonts w:ascii="Calibri" w:hAnsi="Calibri" w:cs="Calibri"/>
          <w:color w:val="auto"/>
          <w:sz w:val="18"/>
          <w:szCs w:val="21"/>
          <w:highlight w:val="none"/>
        </w:rPr>
      </w:pPr>
      <w:bookmarkStart w:id="332" w:name="_Toc20429"/>
      <w:r>
        <w:rPr>
          <w:rFonts w:hint="eastAsia" w:ascii="Calibri" w:hAnsi="Calibri" w:cs="Calibri"/>
          <w:color w:val="auto"/>
          <w:sz w:val="18"/>
          <w:szCs w:val="21"/>
          <w:highlight w:val="none"/>
        </w:rPr>
        <w:t>5.本表后附项目经理不良信用信息证明资料的复印件（具体要求见本资格预审文件第三章规定）。</w:t>
      </w:r>
      <w:bookmarkEnd w:id="332"/>
    </w:p>
    <w:p w14:paraId="60C9F772">
      <w:pPr>
        <w:keepNext/>
        <w:keepLines/>
        <w:spacing w:line="360" w:lineRule="auto"/>
        <w:ind w:firstLine="360"/>
        <w:jc w:val="center"/>
        <w:outlineLvl w:val="2"/>
        <w:rPr>
          <w:rFonts w:ascii="Calibri" w:hAnsi="Calibri" w:cs="Calibri"/>
          <w:color w:val="auto"/>
          <w:sz w:val="18"/>
          <w:szCs w:val="21"/>
          <w:highlight w:val="none"/>
        </w:rPr>
      </w:pPr>
    </w:p>
    <w:p w14:paraId="1600067C">
      <w:pPr>
        <w:keepNext/>
        <w:keepLines/>
        <w:spacing w:line="360" w:lineRule="auto"/>
        <w:ind w:firstLine="360"/>
        <w:jc w:val="center"/>
        <w:outlineLvl w:val="2"/>
        <w:rPr>
          <w:rFonts w:ascii="Calibri" w:hAnsi="Calibri" w:cs="Calibri"/>
          <w:color w:val="auto"/>
          <w:sz w:val="18"/>
          <w:szCs w:val="21"/>
          <w:highlight w:val="none"/>
        </w:rPr>
      </w:pPr>
    </w:p>
    <w:p w14:paraId="47941901">
      <w:pPr>
        <w:keepNext/>
        <w:keepLines/>
        <w:ind w:firstLine="360"/>
        <w:jc w:val="center"/>
        <w:outlineLvl w:val="2"/>
        <w:rPr>
          <w:rFonts w:ascii="Calibri" w:hAnsi="Calibri" w:cs="Calibri"/>
          <w:color w:val="auto"/>
          <w:sz w:val="18"/>
          <w:szCs w:val="21"/>
          <w:highlight w:val="none"/>
        </w:rPr>
      </w:pPr>
    </w:p>
    <w:p w14:paraId="05F0DDD6">
      <w:pPr>
        <w:keepNext/>
        <w:keepLines/>
        <w:ind w:firstLine="360"/>
        <w:jc w:val="center"/>
        <w:outlineLvl w:val="2"/>
        <w:rPr>
          <w:rFonts w:ascii="Calibri" w:hAnsi="Calibri" w:cs="Calibri"/>
          <w:color w:val="auto"/>
          <w:sz w:val="18"/>
          <w:szCs w:val="21"/>
          <w:highlight w:val="none"/>
        </w:rPr>
      </w:pPr>
    </w:p>
    <w:p w14:paraId="76D6481D">
      <w:pPr>
        <w:keepNext/>
        <w:keepLines/>
        <w:ind w:firstLine="360"/>
        <w:jc w:val="center"/>
        <w:outlineLvl w:val="2"/>
        <w:rPr>
          <w:rFonts w:ascii="Calibri" w:hAnsi="Calibri" w:cs="Calibri"/>
          <w:color w:val="auto"/>
          <w:sz w:val="18"/>
          <w:szCs w:val="21"/>
          <w:highlight w:val="none"/>
        </w:rPr>
      </w:pPr>
    </w:p>
    <w:p w14:paraId="75D3E2F4">
      <w:pPr>
        <w:keepNext/>
        <w:keepLines/>
        <w:ind w:firstLine="360"/>
        <w:jc w:val="center"/>
        <w:outlineLvl w:val="2"/>
        <w:rPr>
          <w:rFonts w:ascii="Calibri" w:hAnsi="Calibri" w:cs="Calibri"/>
          <w:color w:val="auto"/>
          <w:sz w:val="18"/>
          <w:szCs w:val="21"/>
          <w:highlight w:val="none"/>
        </w:rPr>
      </w:pPr>
    </w:p>
    <w:p w14:paraId="0D9D3927">
      <w:pPr>
        <w:ind w:firstLine="360"/>
        <w:jc w:val="left"/>
        <w:rPr>
          <w:rFonts w:ascii="Calibri" w:hAnsi="Calibri" w:cs="Calibri"/>
          <w:color w:val="auto"/>
          <w:sz w:val="18"/>
          <w:szCs w:val="21"/>
          <w:highlight w:val="none"/>
        </w:rPr>
      </w:pPr>
      <w:r>
        <w:rPr>
          <w:rFonts w:ascii="Calibri" w:hAnsi="Calibri" w:cs="Calibri"/>
          <w:color w:val="auto"/>
          <w:sz w:val="18"/>
          <w:szCs w:val="21"/>
          <w:highlight w:val="none"/>
        </w:rPr>
        <w:br w:type="page"/>
      </w:r>
    </w:p>
    <w:p w14:paraId="0E8B2773">
      <w:pPr>
        <w:keepNext/>
        <w:keepLines/>
        <w:ind w:firstLine="360"/>
        <w:jc w:val="center"/>
        <w:outlineLvl w:val="2"/>
        <w:rPr>
          <w:rFonts w:ascii="Calibri" w:hAnsi="Calibri" w:cs="Calibri"/>
          <w:color w:val="auto"/>
          <w:sz w:val="18"/>
          <w:szCs w:val="21"/>
          <w:highlight w:val="none"/>
        </w:rPr>
      </w:pPr>
    </w:p>
    <w:p w14:paraId="1B241BAF">
      <w:pPr>
        <w:keepNext/>
        <w:keepLines/>
        <w:ind w:firstLine="360"/>
        <w:jc w:val="center"/>
        <w:outlineLvl w:val="2"/>
        <w:rPr>
          <w:rFonts w:ascii="Calibri" w:hAnsi="Calibri" w:cs="Calibri"/>
          <w:color w:val="auto"/>
          <w:sz w:val="18"/>
          <w:szCs w:val="21"/>
          <w:highlight w:val="none"/>
        </w:rPr>
      </w:pPr>
    </w:p>
    <w:p w14:paraId="15F780CD">
      <w:pPr>
        <w:ind w:firstLine="560"/>
        <w:rPr>
          <w:rFonts w:hint="eastAsia" w:ascii="宋体" w:hAnsi="宋体"/>
          <w:color w:val="auto"/>
          <w:sz w:val="28"/>
          <w:szCs w:val="28"/>
          <w:highlight w:val="none"/>
        </w:rPr>
      </w:pPr>
    </w:p>
    <w:p w14:paraId="56938A5D">
      <w:pPr>
        <w:ind w:firstLine="560"/>
        <w:jc w:val="center"/>
        <w:rPr>
          <w:rFonts w:eastAsia="黑体"/>
          <w:color w:val="auto"/>
          <w:kern w:val="0"/>
          <w:sz w:val="28"/>
          <w:highlight w:val="none"/>
        </w:rPr>
      </w:pPr>
      <w:r>
        <w:rPr>
          <w:rFonts w:hint="eastAsia" w:ascii="仿宋" w:hAnsi="仿宋" w:eastAsia="仿宋" w:cs="仿宋"/>
          <w:color w:val="auto"/>
          <w:kern w:val="0"/>
          <w:sz w:val="28"/>
          <w:highlight w:val="none"/>
        </w:rPr>
        <w:t>9-2</w:t>
      </w:r>
      <w:r>
        <w:rPr>
          <w:rFonts w:hint="eastAsia" w:eastAsia="黑体"/>
          <w:color w:val="auto"/>
          <w:kern w:val="0"/>
          <w:sz w:val="28"/>
          <w:highlight w:val="none"/>
        </w:rPr>
        <w:t>项目经理在建承诺书</w:t>
      </w:r>
    </w:p>
    <w:p w14:paraId="5BE44F2E">
      <w:pPr>
        <w:ind w:firstLine="560"/>
        <w:jc w:val="center"/>
        <w:rPr>
          <w:color w:val="auto"/>
          <w:highlight w:val="none"/>
        </w:rPr>
      </w:pPr>
    </w:p>
    <w:p w14:paraId="0F42D56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（招标人）</w:t>
      </w:r>
      <w:r>
        <w:rPr>
          <w:rFonts w:hint="eastAsia" w:ascii="宋体" w:hAnsi="宋体" w:cs="宋体"/>
          <w:color w:val="auto"/>
          <w:szCs w:val="21"/>
          <w:highlight w:val="none"/>
        </w:rPr>
        <w:t>：</w:t>
      </w:r>
    </w:p>
    <w:p w14:paraId="757A82E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(公司名称)</w:t>
      </w:r>
      <w:r>
        <w:rPr>
          <w:rFonts w:hint="eastAsia" w:ascii="宋体" w:hAnsi="宋体" w:cs="宋体"/>
          <w:color w:val="auto"/>
          <w:szCs w:val="21"/>
          <w:highlight w:val="none"/>
        </w:rPr>
        <w:t>的法定代表人，现拟派项目经理</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；项目经理证号: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担任</w:t>
      </w:r>
      <w:r>
        <w:rPr>
          <w:rFonts w:hint="eastAsia" w:ascii="宋体" w:hAnsi="宋体" w:cs="宋体"/>
          <w:color w:val="auto"/>
          <w:szCs w:val="21"/>
          <w:highlight w:val="none"/>
          <w:u w:val="single"/>
        </w:rPr>
        <w:t xml:space="preserve">              （招标项目名称）</w:t>
      </w:r>
      <w:r>
        <w:rPr>
          <w:rFonts w:hint="eastAsia" w:ascii="宋体" w:hAnsi="宋体" w:cs="宋体"/>
          <w:color w:val="auto"/>
          <w:szCs w:val="21"/>
          <w:highlight w:val="none"/>
        </w:rPr>
        <w:t>的项目经理，现就该项目经理在建情况承诺如下：</w:t>
      </w:r>
    </w:p>
    <w:p w14:paraId="7D0CE6E7">
      <w:pPr>
        <w:spacing w:line="360" w:lineRule="auto"/>
        <w:ind w:firstLine="420" w:firstLineChars="200"/>
        <w:jc w:val="left"/>
        <w:rPr>
          <w:rFonts w:hint="eastAsia" w:ascii="宋体" w:hAnsi="宋体" w:cs="宋体"/>
          <w:color w:val="auto"/>
          <w:szCs w:val="21"/>
          <w:highlight w:val="none"/>
        </w:rPr>
      </w:pPr>
      <w:r>
        <w:rPr>
          <w:rFonts w:hint="eastAsia" w:ascii="宋体" w:hAnsi="宋体" w:cs="仿宋_GB2312"/>
          <w:color w:val="auto"/>
          <w:highlight w:val="none"/>
        </w:rPr>
        <w:t>我司承诺：</w:t>
      </w:r>
    </w:p>
    <w:p w14:paraId="34C6551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拟任项目经理申请截止</w:t>
      </w:r>
      <w:r>
        <w:rPr>
          <w:rFonts w:hint="eastAsia" w:ascii="宋体" w:hAnsi="宋体" w:cs="宋体"/>
          <w:color w:val="auto"/>
          <w:szCs w:val="21"/>
          <w:highlight w:val="none"/>
        </w:rPr>
        <w:t>时未</w:t>
      </w:r>
      <w:r>
        <w:rPr>
          <w:rFonts w:hint="eastAsia" w:ascii="宋体" w:hAnsi="宋体" w:cs="仿宋_GB2312"/>
          <w:color w:val="auto"/>
          <w:highlight w:val="none"/>
        </w:rPr>
        <w:t>在其他任何项目上任关键岗位人员</w:t>
      </w:r>
      <w:r>
        <w:rPr>
          <w:rFonts w:hint="eastAsia" w:ascii="宋体" w:hAnsi="宋体" w:cs="宋体"/>
          <w:color w:val="auto"/>
          <w:szCs w:val="21"/>
          <w:highlight w:val="none"/>
        </w:rPr>
        <w:t>，</w:t>
      </w:r>
      <w:r>
        <w:rPr>
          <w:rFonts w:hint="eastAsia" w:ascii="宋体" w:hAnsi="宋体" w:cs="仿宋_GB2312"/>
          <w:color w:val="auto"/>
          <w:highlight w:val="none"/>
        </w:rPr>
        <w:t>在本招标项目中标候选人公示中明确的公示期满之前，项目经理保证按时到岗履职，如不能按时到岗履职，我方自愿接受处罚，并自愿接受招标人作出的取消我公司中标候选人或中标人资格的决定。</w:t>
      </w:r>
    </w:p>
    <w:p w14:paraId="7700D7FF">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拟任项目经理目前在</w:t>
      </w:r>
      <w:r>
        <w:rPr>
          <w:rFonts w:hint="eastAsia" w:ascii="宋体" w:hAnsi="宋体" w:cs="仿宋_GB2312"/>
          <w:color w:val="auto"/>
          <w:highlight w:val="none"/>
          <w:u w:val="single"/>
        </w:rPr>
        <w:t xml:space="preserve">                </w:t>
      </w:r>
      <w:r>
        <w:rPr>
          <w:rFonts w:hint="eastAsia" w:ascii="宋体" w:hAnsi="宋体" w:cs="仿宋_GB2312"/>
          <w:color w:val="auto"/>
          <w:highlight w:val="none"/>
        </w:rPr>
        <w:t>项目上任关键岗位人员，任职岗位为</w:t>
      </w:r>
      <w:r>
        <w:rPr>
          <w:rFonts w:hint="eastAsia" w:ascii="宋体" w:hAnsi="宋体" w:cs="仿宋_GB2312"/>
          <w:color w:val="auto"/>
          <w:highlight w:val="none"/>
          <w:u w:val="single"/>
        </w:rPr>
        <w:t xml:space="preserve">         </w:t>
      </w:r>
      <w:r>
        <w:rPr>
          <w:rFonts w:hint="eastAsia" w:ascii="宋体" w:hAnsi="宋体" w:cs="仿宋_GB2312"/>
          <w:color w:val="auto"/>
          <w:highlight w:val="none"/>
        </w:rPr>
        <w:t>，在本招标项目中标候选人公示中明确的公示期满之前，项目经理保证从该项目上撤离并按时到岗履职，如不能按时到岗履职或者不能从该项目上按期撤离，我方自愿接受处罚，并自愿接受招标人作出的取消我公司中标候选人或中标人资格的决定。</w:t>
      </w:r>
    </w:p>
    <w:p w14:paraId="421CC4D3">
      <w:pPr>
        <w:spacing w:line="360" w:lineRule="auto"/>
        <w:ind w:firstLine="560"/>
        <w:jc w:val="left"/>
        <w:rPr>
          <w:rFonts w:hint="eastAsia" w:ascii="宋体" w:hAnsi="宋体" w:cs="宋体"/>
          <w:color w:val="auto"/>
          <w:szCs w:val="21"/>
          <w:highlight w:val="none"/>
        </w:rPr>
      </w:pPr>
      <w:r>
        <w:rPr>
          <w:rFonts w:hint="eastAsia" w:ascii="宋体" w:hAnsi="宋体" w:cs="宋体"/>
          <w:color w:val="auto"/>
          <w:szCs w:val="21"/>
          <w:highlight w:val="none"/>
        </w:rPr>
        <w:t xml:space="preserve">特此承诺。 </w:t>
      </w:r>
    </w:p>
    <w:p w14:paraId="4F101062">
      <w:pPr>
        <w:spacing w:line="360" w:lineRule="auto"/>
        <w:ind w:firstLine="560"/>
        <w:jc w:val="left"/>
        <w:rPr>
          <w:rFonts w:hint="eastAsia" w:ascii="宋体" w:hAnsi="宋体" w:cs="宋体"/>
          <w:color w:val="auto"/>
          <w:szCs w:val="21"/>
          <w:highlight w:val="none"/>
        </w:rPr>
      </w:pPr>
    </w:p>
    <w:p w14:paraId="4E56E317">
      <w:pPr>
        <w:jc w:val="center"/>
        <w:rPr>
          <w:rFonts w:hint="eastAsia" w:ascii="黑体" w:hAnsi="黑体" w:eastAsia="黑体" w:cs="仿宋"/>
          <w:color w:val="auto"/>
          <w:kern w:val="0"/>
          <w:sz w:val="28"/>
          <w:highlight w:val="none"/>
        </w:rPr>
      </w:pPr>
      <w:r>
        <w:rPr>
          <w:rFonts w:hint="eastAsia" w:ascii="黑体" w:hAnsi="黑体" w:eastAsia="黑体" w:cs="仿宋"/>
          <w:color w:val="auto"/>
          <w:kern w:val="0"/>
          <w:sz w:val="28"/>
          <w:highlight w:val="none"/>
        </w:rPr>
        <w:t>9-3财务状况证明材料复印件（具体要求见本资格预审文件第三章）</w:t>
      </w:r>
    </w:p>
    <w:p w14:paraId="1D2EB78E">
      <w:pPr>
        <w:spacing w:line="360" w:lineRule="auto"/>
        <w:ind w:firstLine="420" w:firstLineChars="200"/>
        <w:jc w:val="left"/>
        <w:rPr>
          <w:rFonts w:hint="eastAsia" w:ascii="宋体" w:hAnsi="宋体" w:cs="仿宋_GB2312"/>
          <w:color w:val="auto"/>
          <w:highlight w:val="none"/>
        </w:rPr>
      </w:pPr>
      <w:r>
        <w:rPr>
          <w:rFonts w:hint="eastAsia" w:ascii="宋体" w:hAnsi="宋体" w:cs="仿宋_GB2312"/>
          <w:color w:val="auto"/>
          <w:highlight w:val="none"/>
        </w:rPr>
        <w:t>（</w:t>
      </w:r>
      <w:r>
        <w:rPr>
          <w:rFonts w:hint="eastAsia" w:ascii="宋体" w:hAnsi="宋体" w:cs="仿宋_GB2312"/>
          <w:color w:val="auto"/>
          <w:highlight w:val="none"/>
        </w:rPr>
        <w:sym w:font="Wingdings 2" w:char="00A3"/>
      </w:r>
      <w:r>
        <w:rPr>
          <w:rFonts w:hint="eastAsia" w:ascii="宋体" w:hAnsi="宋体" w:cs="仿宋_GB2312"/>
          <w:color w:val="auto"/>
          <w:highlight w:val="none"/>
        </w:rPr>
        <w:t xml:space="preserve">本项目适用  </w:t>
      </w:r>
      <w:r>
        <w:rPr>
          <w:rFonts w:hint="eastAsia" w:ascii="宋体" w:hAnsi="宋体" w:cs="仿宋_GB2312"/>
          <w:color w:val="auto"/>
          <w:highlight w:val="none"/>
        </w:rPr>
        <w:sym w:font="Wingdings 2" w:char="00A3"/>
      </w:r>
      <w:r>
        <w:rPr>
          <w:rFonts w:hint="eastAsia" w:ascii="宋体" w:hAnsi="宋体" w:cs="仿宋_GB2312"/>
          <w:color w:val="auto"/>
          <w:highlight w:val="none"/>
        </w:rPr>
        <w:t>本项目不适用）</w:t>
      </w:r>
    </w:p>
    <w:p w14:paraId="459E58D3">
      <w:pPr>
        <w:spacing w:line="360" w:lineRule="auto"/>
        <w:ind w:firstLine="420" w:firstLineChars="200"/>
        <w:jc w:val="left"/>
        <w:rPr>
          <w:rFonts w:hint="eastAsia" w:ascii="宋体" w:hAnsi="宋体" w:cs="仿宋_GB2312"/>
          <w:color w:val="auto"/>
          <w:highlight w:val="none"/>
        </w:rPr>
      </w:pPr>
    </w:p>
    <w:p w14:paraId="7E322ABD">
      <w:pPr>
        <w:spacing w:line="360" w:lineRule="auto"/>
        <w:ind w:firstLine="560" w:firstLineChars="200"/>
        <w:jc w:val="left"/>
        <w:rPr>
          <w:rFonts w:hint="eastAsia" w:ascii="黑体" w:hAnsi="黑体" w:eastAsia="黑体" w:cs="仿宋_GB2312"/>
          <w:color w:val="auto"/>
          <w:sz w:val="28"/>
          <w:szCs w:val="28"/>
          <w:highlight w:val="none"/>
        </w:rPr>
      </w:pPr>
      <w:r>
        <w:rPr>
          <w:rFonts w:hint="eastAsia" w:ascii="黑体" w:hAnsi="黑体" w:eastAsia="黑体" w:cs="仿宋_GB2312"/>
          <w:color w:val="auto"/>
          <w:sz w:val="28"/>
          <w:szCs w:val="28"/>
          <w:highlight w:val="none"/>
        </w:rPr>
        <w:t>9-4 其他（</w:t>
      </w:r>
      <w:r>
        <w:rPr>
          <w:rFonts w:hint="eastAsia" w:ascii="黑体" w:hAnsi="黑体" w:eastAsia="黑体" w:cs="Calibri"/>
          <w:color w:val="auto"/>
          <w:sz w:val="28"/>
          <w:szCs w:val="28"/>
          <w:highlight w:val="none"/>
        </w:rPr>
        <w:t>招标人</w:t>
      </w:r>
      <w:r>
        <w:rPr>
          <w:rFonts w:hint="eastAsia" w:ascii="黑体" w:hAnsi="黑体" w:eastAsia="黑体" w:cs="宋体"/>
          <w:color w:val="auto"/>
          <w:sz w:val="28"/>
          <w:szCs w:val="28"/>
          <w:highlight w:val="none"/>
        </w:rPr>
        <w:t>根据项目情况进行补充）</w:t>
      </w:r>
    </w:p>
    <w:p w14:paraId="15640608">
      <w:pPr>
        <w:spacing w:line="360" w:lineRule="auto"/>
        <w:ind w:firstLine="420" w:firstLineChars="200"/>
        <w:jc w:val="left"/>
        <w:rPr>
          <w:rFonts w:hint="eastAsia" w:ascii="宋体" w:hAnsi="宋体" w:cs="仿宋_GB2312"/>
          <w:color w:val="auto"/>
          <w:highlight w:val="none"/>
        </w:rPr>
      </w:pPr>
    </w:p>
    <w:sectPr>
      <w:pgSz w:w="11906" w:h="16838"/>
      <w:pgMar w:top="1304" w:right="1503" w:bottom="1304" w:left="150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黑体_x0008_...鍼.">
    <w:altName w:val="黑体"/>
    <w:panose1 w:val="00000000000000000000"/>
    <w:charset w:val="86"/>
    <w:family w:val="swiss"/>
    <w:pitch w:val="default"/>
    <w:sig w:usb0="00000000" w:usb1="00000000" w:usb2="00000010" w:usb3="00000000" w:csb0="00040000" w:csb1="00000000"/>
  </w:font>
  <w:font w:name="Hiragino Sans GB W6">
    <w:altName w:val="Noto Serif SC"/>
    <w:panose1 w:val="00000000000000000000"/>
    <w:charset w:val="80"/>
    <w:family w:val="swiss"/>
    <w:pitch w:val="default"/>
    <w:sig w:usb0="00000000" w:usb1="00000000" w:usb2="00000016" w:usb3="00000000" w:csb0="00060007" w:csb1="00000000"/>
  </w:font>
  <w:font w:name="Noto Serif SC">
    <w:panose1 w:val="02020200000000000000"/>
    <w:charset w:val="86"/>
    <w:family w:val="auto"/>
    <w:pitch w:val="default"/>
    <w:sig w:usb0="2000008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BCE4">
    <w:pPr>
      <w:tabs>
        <w:tab w:val="center" w:pos="4153"/>
        <w:tab w:val="right" w:pos="8306"/>
      </w:tabs>
      <w:snapToGrid w:val="0"/>
      <w:ind w:right="210" w:rightChars="100"/>
      <w:jc w:val="center"/>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36</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7DB6">
    <w:pPr>
      <w:pStyle w:val="13"/>
      <w:jc w:val="center"/>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531F">
    <w:pPr>
      <w:spacing w:line="14" w:lineRule="auto"/>
      <w:ind w:firstLine="440"/>
      <w:rPr>
        <w:sz w:val="20"/>
        <w:szCs w:val="20"/>
      </w:rPr>
    </w:pPr>
    <w:r>
      <w:rPr>
        <w:sz w:val="22"/>
        <w:szCs w:val="22"/>
      </w:rPr>
      <mc:AlternateContent>
        <mc:Choice Requires="wps">
          <w:drawing>
            <wp:anchor distT="0" distB="0" distL="114300" distR="114300" simplePos="0" relativeHeight="251659264" behindDoc="1" locked="0" layoutInCell="1" allowOverlap="1">
              <wp:simplePos x="0" y="0"/>
              <wp:positionH relativeFrom="page">
                <wp:posOffset>941705</wp:posOffset>
              </wp:positionH>
              <wp:positionV relativeFrom="page">
                <wp:posOffset>781685</wp:posOffset>
              </wp:positionV>
              <wp:extent cx="101600" cy="177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a:effectLst/>
                    </wps:spPr>
                    <wps:txbx>
                      <w:txbxContent>
                        <w:p w14:paraId="1719DD57">
                          <w:pPr>
                            <w:pStyle w:val="9"/>
                            <w:spacing w:line="260" w:lineRule="exact"/>
                            <w:ind w:left="20" w:right="141"/>
                            <w:rPr>
                              <w:rFonts w:hint="eastAsia" w:cs="宋体"/>
                            </w:rPr>
                          </w:pPr>
                        </w:p>
                      </w:txbxContent>
                    </wps:txbx>
                    <wps:bodyPr wrap="square" lIns="0" tIns="0" rIns="0" bIns="0" upright="1"/>
                  </wps:wsp>
                </a:graphicData>
              </a:graphic>
            </wp:anchor>
          </w:drawing>
        </mc:Choice>
        <mc:Fallback>
          <w:pict>
            <v:shape id="_x0000_s1026" o:spid="_x0000_s1026" o:spt="202" type="#_x0000_t202" style="position:absolute;left:0pt;margin-left:74.15pt;margin-top:61.55pt;height:14pt;width:8pt;mso-position-horizontal-relative:page;mso-position-vertical-relative:page;z-index:-251657216;mso-width-relative:page;mso-height-relative:page;" filled="f" stroked="f" coordsize="21600,21600" o:gfxdata="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VZDBTYAAAACwEAAA8AAAAAAAAAAQAgAAAAIgAAAGRycy9kb3du&#10;cmV2LnhtbFBLAQIUABQAAAAIAIdO4kCgczQ8xgEAAI0DAAAOAAAAAAAAAAEAIAAAACcBAABkcnMv&#10;ZTJvRG9jLnhtbFBLBQYAAAAABgAGAFkBAABfBQAAAAA=&#10;">
              <v:fill on="f" focussize="0,0"/>
              <v:stroke on="f"/>
              <v:imagedata o:title=""/>
              <o:lock v:ext="edit" aspectratio="f"/>
              <v:textbox inset="0mm,0mm,0mm,0mm">
                <w:txbxContent>
                  <w:p w14:paraId="1719DD57">
                    <w:pPr>
                      <w:pStyle w:val="9"/>
                      <w:spacing w:line="260" w:lineRule="exact"/>
                      <w:ind w:left="20" w:right="141"/>
                      <w:rPr>
                        <w:rFonts w:hint="eastAsia" w:cs="宋体"/>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7269"/>
    <w:multiLevelType w:val="singleLevel"/>
    <w:tmpl w:val="3F1B72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mYxNzRmZmJmZWZlZGE5Mzk4NDEwYjI1MWY2NTEifQ=="/>
  </w:docVars>
  <w:rsids>
    <w:rsidRoot w:val="00434A67"/>
    <w:rsid w:val="000005F1"/>
    <w:rsid w:val="000007BA"/>
    <w:rsid w:val="00000D5B"/>
    <w:rsid w:val="00001045"/>
    <w:rsid w:val="00001698"/>
    <w:rsid w:val="000019AD"/>
    <w:rsid w:val="00002AF5"/>
    <w:rsid w:val="00003A2E"/>
    <w:rsid w:val="00005462"/>
    <w:rsid w:val="000058BA"/>
    <w:rsid w:val="00005A4D"/>
    <w:rsid w:val="0000681B"/>
    <w:rsid w:val="00006EAE"/>
    <w:rsid w:val="00006F4C"/>
    <w:rsid w:val="00007A27"/>
    <w:rsid w:val="0001036D"/>
    <w:rsid w:val="000108C5"/>
    <w:rsid w:val="00010DD3"/>
    <w:rsid w:val="00010F34"/>
    <w:rsid w:val="000111B3"/>
    <w:rsid w:val="000115F1"/>
    <w:rsid w:val="00011D3F"/>
    <w:rsid w:val="0001218C"/>
    <w:rsid w:val="0001233E"/>
    <w:rsid w:val="00012441"/>
    <w:rsid w:val="00012C65"/>
    <w:rsid w:val="00014B90"/>
    <w:rsid w:val="0001515B"/>
    <w:rsid w:val="00016A2D"/>
    <w:rsid w:val="00016B8B"/>
    <w:rsid w:val="0001728A"/>
    <w:rsid w:val="0001751E"/>
    <w:rsid w:val="000175BE"/>
    <w:rsid w:val="00017F44"/>
    <w:rsid w:val="0002002A"/>
    <w:rsid w:val="00020169"/>
    <w:rsid w:val="00020A0D"/>
    <w:rsid w:val="00020DFB"/>
    <w:rsid w:val="000210A0"/>
    <w:rsid w:val="0002288F"/>
    <w:rsid w:val="00023643"/>
    <w:rsid w:val="00023873"/>
    <w:rsid w:val="00023885"/>
    <w:rsid w:val="00023CFB"/>
    <w:rsid w:val="000242BA"/>
    <w:rsid w:val="00025163"/>
    <w:rsid w:val="00025D24"/>
    <w:rsid w:val="0002616E"/>
    <w:rsid w:val="000261DA"/>
    <w:rsid w:val="00026B78"/>
    <w:rsid w:val="00027427"/>
    <w:rsid w:val="00027B5F"/>
    <w:rsid w:val="00027FC9"/>
    <w:rsid w:val="00030078"/>
    <w:rsid w:val="00030748"/>
    <w:rsid w:val="00031A22"/>
    <w:rsid w:val="00032520"/>
    <w:rsid w:val="00032741"/>
    <w:rsid w:val="00032EF3"/>
    <w:rsid w:val="000333BE"/>
    <w:rsid w:val="00033793"/>
    <w:rsid w:val="00033C71"/>
    <w:rsid w:val="000340D6"/>
    <w:rsid w:val="000348F9"/>
    <w:rsid w:val="00034B55"/>
    <w:rsid w:val="00034CF5"/>
    <w:rsid w:val="0003514E"/>
    <w:rsid w:val="00035CB5"/>
    <w:rsid w:val="00036225"/>
    <w:rsid w:val="00036862"/>
    <w:rsid w:val="00036A8F"/>
    <w:rsid w:val="00036E01"/>
    <w:rsid w:val="000402D9"/>
    <w:rsid w:val="0004044D"/>
    <w:rsid w:val="0004056E"/>
    <w:rsid w:val="000405A3"/>
    <w:rsid w:val="00040828"/>
    <w:rsid w:val="00040907"/>
    <w:rsid w:val="000410A3"/>
    <w:rsid w:val="00041A05"/>
    <w:rsid w:val="00041DDA"/>
    <w:rsid w:val="00042CBD"/>
    <w:rsid w:val="00044199"/>
    <w:rsid w:val="0004443D"/>
    <w:rsid w:val="000444D4"/>
    <w:rsid w:val="000452E2"/>
    <w:rsid w:val="000456B6"/>
    <w:rsid w:val="000459F6"/>
    <w:rsid w:val="00045D90"/>
    <w:rsid w:val="00046B42"/>
    <w:rsid w:val="00047120"/>
    <w:rsid w:val="0004715D"/>
    <w:rsid w:val="00047192"/>
    <w:rsid w:val="00047AC2"/>
    <w:rsid w:val="00047D03"/>
    <w:rsid w:val="00047F52"/>
    <w:rsid w:val="00050655"/>
    <w:rsid w:val="00050B1C"/>
    <w:rsid w:val="00051096"/>
    <w:rsid w:val="00051566"/>
    <w:rsid w:val="000517D4"/>
    <w:rsid w:val="00052D8A"/>
    <w:rsid w:val="00052F1A"/>
    <w:rsid w:val="000532CF"/>
    <w:rsid w:val="0005345A"/>
    <w:rsid w:val="00053D8E"/>
    <w:rsid w:val="000540BF"/>
    <w:rsid w:val="0005493E"/>
    <w:rsid w:val="000556A4"/>
    <w:rsid w:val="000557A3"/>
    <w:rsid w:val="000557D7"/>
    <w:rsid w:val="00055B0D"/>
    <w:rsid w:val="00056720"/>
    <w:rsid w:val="000568A0"/>
    <w:rsid w:val="00056B32"/>
    <w:rsid w:val="00056BAF"/>
    <w:rsid w:val="00057201"/>
    <w:rsid w:val="0005721C"/>
    <w:rsid w:val="00057317"/>
    <w:rsid w:val="00057425"/>
    <w:rsid w:val="00057827"/>
    <w:rsid w:val="00057FDE"/>
    <w:rsid w:val="00060916"/>
    <w:rsid w:val="00060A0A"/>
    <w:rsid w:val="00060E0D"/>
    <w:rsid w:val="0006246F"/>
    <w:rsid w:val="000627C9"/>
    <w:rsid w:val="00062C61"/>
    <w:rsid w:val="00062F1E"/>
    <w:rsid w:val="000633EF"/>
    <w:rsid w:val="000637ED"/>
    <w:rsid w:val="0006436D"/>
    <w:rsid w:val="000652B0"/>
    <w:rsid w:val="0006556E"/>
    <w:rsid w:val="00065592"/>
    <w:rsid w:val="000661F1"/>
    <w:rsid w:val="00066210"/>
    <w:rsid w:val="00066EDB"/>
    <w:rsid w:val="00067777"/>
    <w:rsid w:val="00067F1D"/>
    <w:rsid w:val="000701B4"/>
    <w:rsid w:val="000712CC"/>
    <w:rsid w:val="00071744"/>
    <w:rsid w:val="00072039"/>
    <w:rsid w:val="00072BAE"/>
    <w:rsid w:val="00072BB3"/>
    <w:rsid w:val="00072C0E"/>
    <w:rsid w:val="000733F3"/>
    <w:rsid w:val="00074E3B"/>
    <w:rsid w:val="00074F03"/>
    <w:rsid w:val="00075FDE"/>
    <w:rsid w:val="000760B3"/>
    <w:rsid w:val="00076611"/>
    <w:rsid w:val="0007685C"/>
    <w:rsid w:val="000770D8"/>
    <w:rsid w:val="00077A28"/>
    <w:rsid w:val="00077F70"/>
    <w:rsid w:val="00080058"/>
    <w:rsid w:val="00080DDF"/>
    <w:rsid w:val="00081BED"/>
    <w:rsid w:val="00081C0D"/>
    <w:rsid w:val="00081FD0"/>
    <w:rsid w:val="0008269C"/>
    <w:rsid w:val="0008271C"/>
    <w:rsid w:val="00082927"/>
    <w:rsid w:val="0008300F"/>
    <w:rsid w:val="00083BD6"/>
    <w:rsid w:val="00083E83"/>
    <w:rsid w:val="00084479"/>
    <w:rsid w:val="0008467E"/>
    <w:rsid w:val="00084C12"/>
    <w:rsid w:val="0008509C"/>
    <w:rsid w:val="0008538B"/>
    <w:rsid w:val="00086447"/>
    <w:rsid w:val="00086E92"/>
    <w:rsid w:val="00087105"/>
    <w:rsid w:val="00087DB4"/>
    <w:rsid w:val="00087F11"/>
    <w:rsid w:val="000904E8"/>
    <w:rsid w:val="00091535"/>
    <w:rsid w:val="00091ECB"/>
    <w:rsid w:val="00091F02"/>
    <w:rsid w:val="00092105"/>
    <w:rsid w:val="000925C9"/>
    <w:rsid w:val="00092FC2"/>
    <w:rsid w:val="00093A64"/>
    <w:rsid w:val="00093D19"/>
    <w:rsid w:val="00094E1A"/>
    <w:rsid w:val="00094F98"/>
    <w:rsid w:val="00095475"/>
    <w:rsid w:val="00096038"/>
    <w:rsid w:val="000962F8"/>
    <w:rsid w:val="00096526"/>
    <w:rsid w:val="00097832"/>
    <w:rsid w:val="000A0AD7"/>
    <w:rsid w:val="000A0E0A"/>
    <w:rsid w:val="000A115F"/>
    <w:rsid w:val="000A144F"/>
    <w:rsid w:val="000A17FA"/>
    <w:rsid w:val="000A2A9D"/>
    <w:rsid w:val="000A2BB2"/>
    <w:rsid w:val="000A33A4"/>
    <w:rsid w:val="000A38C3"/>
    <w:rsid w:val="000A4123"/>
    <w:rsid w:val="000A50D3"/>
    <w:rsid w:val="000A59A2"/>
    <w:rsid w:val="000A64BF"/>
    <w:rsid w:val="000A6C82"/>
    <w:rsid w:val="000A6E0D"/>
    <w:rsid w:val="000A6F58"/>
    <w:rsid w:val="000A723F"/>
    <w:rsid w:val="000A7DEF"/>
    <w:rsid w:val="000B079E"/>
    <w:rsid w:val="000B0B71"/>
    <w:rsid w:val="000B17E7"/>
    <w:rsid w:val="000B1ACF"/>
    <w:rsid w:val="000B1B5D"/>
    <w:rsid w:val="000B2E61"/>
    <w:rsid w:val="000B2F55"/>
    <w:rsid w:val="000B3208"/>
    <w:rsid w:val="000B33C3"/>
    <w:rsid w:val="000B49C5"/>
    <w:rsid w:val="000B4C00"/>
    <w:rsid w:val="000B5063"/>
    <w:rsid w:val="000B7D08"/>
    <w:rsid w:val="000C0124"/>
    <w:rsid w:val="000C057B"/>
    <w:rsid w:val="000C0677"/>
    <w:rsid w:val="000C07E5"/>
    <w:rsid w:val="000C0C84"/>
    <w:rsid w:val="000C1304"/>
    <w:rsid w:val="000C2218"/>
    <w:rsid w:val="000C2395"/>
    <w:rsid w:val="000C3029"/>
    <w:rsid w:val="000C3F7D"/>
    <w:rsid w:val="000C4E93"/>
    <w:rsid w:val="000C50B0"/>
    <w:rsid w:val="000C6044"/>
    <w:rsid w:val="000C6206"/>
    <w:rsid w:val="000C661A"/>
    <w:rsid w:val="000C6679"/>
    <w:rsid w:val="000C686A"/>
    <w:rsid w:val="000C6A45"/>
    <w:rsid w:val="000C771F"/>
    <w:rsid w:val="000C77E2"/>
    <w:rsid w:val="000C78D4"/>
    <w:rsid w:val="000C7D19"/>
    <w:rsid w:val="000D0473"/>
    <w:rsid w:val="000D05DB"/>
    <w:rsid w:val="000D08AA"/>
    <w:rsid w:val="000D0FA9"/>
    <w:rsid w:val="000D0FF1"/>
    <w:rsid w:val="000D1149"/>
    <w:rsid w:val="000D1156"/>
    <w:rsid w:val="000D1BD6"/>
    <w:rsid w:val="000D1DFE"/>
    <w:rsid w:val="000D1E03"/>
    <w:rsid w:val="000D2BDD"/>
    <w:rsid w:val="000D442C"/>
    <w:rsid w:val="000D4521"/>
    <w:rsid w:val="000D54EC"/>
    <w:rsid w:val="000D6116"/>
    <w:rsid w:val="000D6EEB"/>
    <w:rsid w:val="000D750E"/>
    <w:rsid w:val="000D7D49"/>
    <w:rsid w:val="000E00A7"/>
    <w:rsid w:val="000E02F6"/>
    <w:rsid w:val="000E0A02"/>
    <w:rsid w:val="000E122F"/>
    <w:rsid w:val="000E1378"/>
    <w:rsid w:val="000E1AAD"/>
    <w:rsid w:val="000E3CC5"/>
    <w:rsid w:val="000E4132"/>
    <w:rsid w:val="000E4A5A"/>
    <w:rsid w:val="000E4F95"/>
    <w:rsid w:val="000E5202"/>
    <w:rsid w:val="000E5DC3"/>
    <w:rsid w:val="000E729B"/>
    <w:rsid w:val="000E7A6F"/>
    <w:rsid w:val="000F0EF6"/>
    <w:rsid w:val="000F0F18"/>
    <w:rsid w:val="000F1243"/>
    <w:rsid w:val="000F1CCB"/>
    <w:rsid w:val="000F1FD0"/>
    <w:rsid w:val="000F237E"/>
    <w:rsid w:val="000F2A31"/>
    <w:rsid w:val="000F3066"/>
    <w:rsid w:val="000F33D7"/>
    <w:rsid w:val="000F39E1"/>
    <w:rsid w:val="000F3D9E"/>
    <w:rsid w:val="000F47B5"/>
    <w:rsid w:val="000F47F0"/>
    <w:rsid w:val="000F5CA4"/>
    <w:rsid w:val="000F6AEE"/>
    <w:rsid w:val="000F6D3D"/>
    <w:rsid w:val="000F6D81"/>
    <w:rsid w:val="000F7075"/>
    <w:rsid w:val="000F74DF"/>
    <w:rsid w:val="000F76D1"/>
    <w:rsid w:val="000F7768"/>
    <w:rsid w:val="000F78EA"/>
    <w:rsid w:val="000F7B3A"/>
    <w:rsid w:val="000F7FC7"/>
    <w:rsid w:val="0010050C"/>
    <w:rsid w:val="001005E8"/>
    <w:rsid w:val="00100CFC"/>
    <w:rsid w:val="00102913"/>
    <w:rsid w:val="0010306A"/>
    <w:rsid w:val="00103646"/>
    <w:rsid w:val="00103985"/>
    <w:rsid w:val="0010486B"/>
    <w:rsid w:val="0010596B"/>
    <w:rsid w:val="00105D01"/>
    <w:rsid w:val="00105FB3"/>
    <w:rsid w:val="001061DF"/>
    <w:rsid w:val="001075B8"/>
    <w:rsid w:val="00107912"/>
    <w:rsid w:val="00107B50"/>
    <w:rsid w:val="00107D1B"/>
    <w:rsid w:val="00107FA9"/>
    <w:rsid w:val="00107FF1"/>
    <w:rsid w:val="00110038"/>
    <w:rsid w:val="0011068F"/>
    <w:rsid w:val="00111239"/>
    <w:rsid w:val="0011195E"/>
    <w:rsid w:val="00111F74"/>
    <w:rsid w:val="0011202C"/>
    <w:rsid w:val="00112136"/>
    <w:rsid w:val="001127C2"/>
    <w:rsid w:val="001130BD"/>
    <w:rsid w:val="001134BD"/>
    <w:rsid w:val="00113C50"/>
    <w:rsid w:val="00114197"/>
    <w:rsid w:val="00114325"/>
    <w:rsid w:val="0011485F"/>
    <w:rsid w:val="00114CB7"/>
    <w:rsid w:val="00114F02"/>
    <w:rsid w:val="00114F2E"/>
    <w:rsid w:val="0011687C"/>
    <w:rsid w:val="00116CA6"/>
    <w:rsid w:val="0011793B"/>
    <w:rsid w:val="00117D12"/>
    <w:rsid w:val="00120B6C"/>
    <w:rsid w:val="00121DEE"/>
    <w:rsid w:val="00122133"/>
    <w:rsid w:val="001221C8"/>
    <w:rsid w:val="00122BFC"/>
    <w:rsid w:val="00122F31"/>
    <w:rsid w:val="0012318A"/>
    <w:rsid w:val="0012414D"/>
    <w:rsid w:val="00124F39"/>
    <w:rsid w:val="0012501E"/>
    <w:rsid w:val="00125594"/>
    <w:rsid w:val="0012709E"/>
    <w:rsid w:val="00127F69"/>
    <w:rsid w:val="00130418"/>
    <w:rsid w:val="00130A7D"/>
    <w:rsid w:val="00130D9B"/>
    <w:rsid w:val="00130F53"/>
    <w:rsid w:val="00131A93"/>
    <w:rsid w:val="00131C8E"/>
    <w:rsid w:val="00132647"/>
    <w:rsid w:val="001326B2"/>
    <w:rsid w:val="0013280B"/>
    <w:rsid w:val="00132D09"/>
    <w:rsid w:val="00133752"/>
    <w:rsid w:val="00133FA0"/>
    <w:rsid w:val="001343B2"/>
    <w:rsid w:val="0013488C"/>
    <w:rsid w:val="00134906"/>
    <w:rsid w:val="00135343"/>
    <w:rsid w:val="00135A9C"/>
    <w:rsid w:val="00136344"/>
    <w:rsid w:val="0013680C"/>
    <w:rsid w:val="00136A4F"/>
    <w:rsid w:val="00136B43"/>
    <w:rsid w:val="0013735D"/>
    <w:rsid w:val="00137A27"/>
    <w:rsid w:val="00137DFF"/>
    <w:rsid w:val="0014028D"/>
    <w:rsid w:val="00140994"/>
    <w:rsid w:val="00140A41"/>
    <w:rsid w:val="00141B01"/>
    <w:rsid w:val="00142180"/>
    <w:rsid w:val="00142316"/>
    <w:rsid w:val="00142BA0"/>
    <w:rsid w:val="00142BC0"/>
    <w:rsid w:val="00143081"/>
    <w:rsid w:val="00143654"/>
    <w:rsid w:val="00143F18"/>
    <w:rsid w:val="00144583"/>
    <w:rsid w:val="00144762"/>
    <w:rsid w:val="0014524B"/>
    <w:rsid w:val="001455D8"/>
    <w:rsid w:val="00145751"/>
    <w:rsid w:val="00145924"/>
    <w:rsid w:val="00145A3C"/>
    <w:rsid w:val="00146427"/>
    <w:rsid w:val="00146920"/>
    <w:rsid w:val="00147178"/>
    <w:rsid w:val="00150722"/>
    <w:rsid w:val="00150C86"/>
    <w:rsid w:val="00150FEA"/>
    <w:rsid w:val="0015147F"/>
    <w:rsid w:val="00152261"/>
    <w:rsid w:val="0015237F"/>
    <w:rsid w:val="00152473"/>
    <w:rsid w:val="0015299A"/>
    <w:rsid w:val="001530A8"/>
    <w:rsid w:val="001535AB"/>
    <w:rsid w:val="00153E02"/>
    <w:rsid w:val="001549FE"/>
    <w:rsid w:val="001557B0"/>
    <w:rsid w:val="00155FAC"/>
    <w:rsid w:val="001565C7"/>
    <w:rsid w:val="00156727"/>
    <w:rsid w:val="00156EDF"/>
    <w:rsid w:val="00157FE8"/>
    <w:rsid w:val="00161E0A"/>
    <w:rsid w:val="00162194"/>
    <w:rsid w:val="0016309E"/>
    <w:rsid w:val="001636AF"/>
    <w:rsid w:val="001639A5"/>
    <w:rsid w:val="00163B46"/>
    <w:rsid w:val="00163F6B"/>
    <w:rsid w:val="0016428C"/>
    <w:rsid w:val="00164F8C"/>
    <w:rsid w:val="001657A8"/>
    <w:rsid w:val="00166798"/>
    <w:rsid w:val="001678B1"/>
    <w:rsid w:val="00167A22"/>
    <w:rsid w:val="00167D6A"/>
    <w:rsid w:val="00167F23"/>
    <w:rsid w:val="00170943"/>
    <w:rsid w:val="001709DE"/>
    <w:rsid w:val="00171A45"/>
    <w:rsid w:val="00172216"/>
    <w:rsid w:val="00172359"/>
    <w:rsid w:val="00172FA5"/>
    <w:rsid w:val="001741A2"/>
    <w:rsid w:val="00174238"/>
    <w:rsid w:val="0017433C"/>
    <w:rsid w:val="00174680"/>
    <w:rsid w:val="00174FB8"/>
    <w:rsid w:val="00175CB1"/>
    <w:rsid w:val="00176708"/>
    <w:rsid w:val="00177079"/>
    <w:rsid w:val="0017728C"/>
    <w:rsid w:val="001774E3"/>
    <w:rsid w:val="0017772D"/>
    <w:rsid w:val="00180F0D"/>
    <w:rsid w:val="0018173B"/>
    <w:rsid w:val="0018192A"/>
    <w:rsid w:val="00181967"/>
    <w:rsid w:val="0018286B"/>
    <w:rsid w:val="00182F62"/>
    <w:rsid w:val="001836D6"/>
    <w:rsid w:val="00183740"/>
    <w:rsid w:val="00184BBD"/>
    <w:rsid w:val="00185C81"/>
    <w:rsid w:val="00185F23"/>
    <w:rsid w:val="001875BB"/>
    <w:rsid w:val="00187D8A"/>
    <w:rsid w:val="00187E01"/>
    <w:rsid w:val="00187E6D"/>
    <w:rsid w:val="00190498"/>
    <w:rsid w:val="00190D30"/>
    <w:rsid w:val="00191D75"/>
    <w:rsid w:val="00192925"/>
    <w:rsid w:val="00192D4E"/>
    <w:rsid w:val="00193546"/>
    <w:rsid w:val="0019378E"/>
    <w:rsid w:val="00193A88"/>
    <w:rsid w:val="0019404E"/>
    <w:rsid w:val="00194116"/>
    <w:rsid w:val="00194363"/>
    <w:rsid w:val="00194ED0"/>
    <w:rsid w:val="001950A5"/>
    <w:rsid w:val="00195609"/>
    <w:rsid w:val="00195E81"/>
    <w:rsid w:val="001964C0"/>
    <w:rsid w:val="00196F60"/>
    <w:rsid w:val="001979A1"/>
    <w:rsid w:val="001A10F1"/>
    <w:rsid w:val="001A13B0"/>
    <w:rsid w:val="001A23CD"/>
    <w:rsid w:val="001A2484"/>
    <w:rsid w:val="001A24AA"/>
    <w:rsid w:val="001A3832"/>
    <w:rsid w:val="001A3E09"/>
    <w:rsid w:val="001A4438"/>
    <w:rsid w:val="001A4610"/>
    <w:rsid w:val="001A4FC3"/>
    <w:rsid w:val="001A5842"/>
    <w:rsid w:val="001A5AFA"/>
    <w:rsid w:val="001A6088"/>
    <w:rsid w:val="001A6F1A"/>
    <w:rsid w:val="001B0883"/>
    <w:rsid w:val="001B09E7"/>
    <w:rsid w:val="001B1A17"/>
    <w:rsid w:val="001B1B43"/>
    <w:rsid w:val="001B1D81"/>
    <w:rsid w:val="001B1FEB"/>
    <w:rsid w:val="001B27A6"/>
    <w:rsid w:val="001B30F8"/>
    <w:rsid w:val="001B6635"/>
    <w:rsid w:val="001B6A8A"/>
    <w:rsid w:val="001B6B25"/>
    <w:rsid w:val="001B752A"/>
    <w:rsid w:val="001C0946"/>
    <w:rsid w:val="001C1112"/>
    <w:rsid w:val="001C1489"/>
    <w:rsid w:val="001C1DF3"/>
    <w:rsid w:val="001C20AB"/>
    <w:rsid w:val="001C22FA"/>
    <w:rsid w:val="001C27BE"/>
    <w:rsid w:val="001C30DA"/>
    <w:rsid w:val="001C39FB"/>
    <w:rsid w:val="001C47E8"/>
    <w:rsid w:val="001C5998"/>
    <w:rsid w:val="001C6278"/>
    <w:rsid w:val="001C71DE"/>
    <w:rsid w:val="001D035F"/>
    <w:rsid w:val="001D0C28"/>
    <w:rsid w:val="001D1166"/>
    <w:rsid w:val="001D1468"/>
    <w:rsid w:val="001D15B5"/>
    <w:rsid w:val="001D1792"/>
    <w:rsid w:val="001D1832"/>
    <w:rsid w:val="001D2C8F"/>
    <w:rsid w:val="001D3ABE"/>
    <w:rsid w:val="001D4A42"/>
    <w:rsid w:val="001D5196"/>
    <w:rsid w:val="001D59FB"/>
    <w:rsid w:val="001D5B37"/>
    <w:rsid w:val="001D5C49"/>
    <w:rsid w:val="001D5C81"/>
    <w:rsid w:val="001D5E48"/>
    <w:rsid w:val="001D61BF"/>
    <w:rsid w:val="001E047E"/>
    <w:rsid w:val="001E062E"/>
    <w:rsid w:val="001E155B"/>
    <w:rsid w:val="001E1AB1"/>
    <w:rsid w:val="001E2766"/>
    <w:rsid w:val="001E28BF"/>
    <w:rsid w:val="001E30B2"/>
    <w:rsid w:val="001E34D8"/>
    <w:rsid w:val="001E39F2"/>
    <w:rsid w:val="001E4F92"/>
    <w:rsid w:val="001E5225"/>
    <w:rsid w:val="001E52BB"/>
    <w:rsid w:val="001F00D0"/>
    <w:rsid w:val="001F11C8"/>
    <w:rsid w:val="001F15F5"/>
    <w:rsid w:val="001F1EF3"/>
    <w:rsid w:val="001F2309"/>
    <w:rsid w:val="001F2CE9"/>
    <w:rsid w:val="001F2E00"/>
    <w:rsid w:val="001F3333"/>
    <w:rsid w:val="001F36C9"/>
    <w:rsid w:val="001F3F8E"/>
    <w:rsid w:val="001F4269"/>
    <w:rsid w:val="001F4E1B"/>
    <w:rsid w:val="001F6186"/>
    <w:rsid w:val="001F6B9A"/>
    <w:rsid w:val="001F7382"/>
    <w:rsid w:val="001F7E7F"/>
    <w:rsid w:val="001F7F46"/>
    <w:rsid w:val="002008C6"/>
    <w:rsid w:val="00200ABB"/>
    <w:rsid w:val="00200B21"/>
    <w:rsid w:val="00201DC1"/>
    <w:rsid w:val="00202895"/>
    <w:rsid w:val="002031A7"/>
    <w:rsid w:val="00204BA9"/>
    <w:rsid w:val="00204BD7"/>
    <w:rsid w:val="00204E50"/>
    <w:rsid w:val="00205A01"/>
    <w:rsid w:val="00205E44"/>
    <w:rsid w:val="002061F3"/>
    <w:rsid w:val="002062EA"/>
    <w:rsid w:val="002074AC"/>
    <w:rsid w:val="002078A2"/>
    <w:rsid w:val="00210240"/>
    <w:rsid w:val="0021038D"/>
    <w:rsid w:val="00210A54"/>
    <w:rsid w:val="00210EB1"/>
    <w:rsid w:val="0021110A"/>
    <w:rsid w:val="002119F0"/>
    <w:rsid w:val="00212905"/>
    <w:rsid w:val="00212D65"/>
    <w:rsid w:val="00213460"/>
    <w:rsid w:val="0021366B"/>
    <w:rsid w:val="002138A6"/>
    <w:rsid w:val="00213DB9"/>
    <w:rsid w:val="00214633"/>
    <w:rsid w:val="002148A1"/>
    <w:rsid w:val="002152CA"/>
    <w:rsid w:val="00215AD6"/>
    <w:rsid w:val="00215D34"/>
    <w:rsid w:val="002174BF"/>
    <w:rsid w:val="00217CAC"/>
    <w:rsid w:val="002200B5"/>
    <w:rsid w:val="00220206"/>
    <w:rsid w:val="00220D93"/>
    <w:rsid w:val="0022101B"/>
    <w:rsid w:val="00221420"/>
    <w:rsid w:val="00221D69"/>
    <w:rsid w:val="00222495"/>
    <w:rsid w:val="00222DD7"/>
    <w:rsid w:val="0022379C"/>
    <w:rsid w:val="00224A2D"/>
    <w:rsid w:val="00225A8D"/>
    <w:rsid w:val="00225FED"/>
    <w:rsid w:val="002272AD"/>
    <w:rsid w:val="0023090B"/>
    <w:rsid w:val="00230C69"/>
    <w:rsid w:val="002316BD"/>
    <w:rsid w:val="0023229E"/>
    <w:rsid w:val="00232399"/>
    <w:rsid w:val="00232B82"/>
    <w:rsid w:val="0023344C"/>
    <w:rsid w:val="00233A13"/>
    <w:rsid w:val="00233F3F"/>
    <w:rsid w:val="00234465"/>
    <w:rsid w:val="00235158"/>
    <w:rsid w:val="002355C5"/>
    <w:rsid w:val="002358D1"/>
    <w:rsid w:val="00235E45"/>
    <w:rsid w:val="00235F9F"/>
    <w:rsid w:val="002362BE"/>
    <w:rsid w:val="00236DE4"/>
    <w:rsid w:val="002378AC"/>
    <w:rsid w:val="002410FE"/>
    <w:rsid w:val="0024135E"/>
    <w:rsid w:val="00241ABB"/>
    <w:rsid w:val="00241B21"/>
    <w:rsid w:val="0024221D"/>
    <w:rsid w:val="002423E6"/>
    <w:rsid w:val="002428C3"/>
    <w:rsid w:val="002429A0"/>
    <w:rsid w:val="00243476"/>
    <w:rsid w:val="00243A8A"/>
    <w:rsid w:val="00243D90"/>
    <w:rsid w:val="00244C78"/>
    <w:rsid w:val="002452F8"/>
    <w:rsid w:val="00246790"/>
    <w:rsid w:val="0024684F"/>
    <w:rsid w:val="0024727D"/>
    <w:rsid w:val="002472F6"/>
    <w:rsid w:val="00247399"/>
    <w:rsid w:val="00247FB3"/>
    <w:rsid w:val="002506CA"/>
    <w:rsid w:val="00250985"/>
    <w:rsid w:val="00251A7B"/>
    <w:rsid w:val="00252B0B"/>
    <w:rsid w:val="00252E45"/>
    <w:rsid w:val="00253055"/>
    <w:rsid w:val="00253632"/>
    <w:rsid w:val="00254B99"/>
    <w:rsid w:val="00254E17"/>
    <w:rsid w:val="0025515C"/>
    <w:rsid w:val="0025789A"/>
    <w:rsid w:val="0026103B"/>
    <w:rsid w:val="00261302"/>
    <w:rsid w:val="00261F68"/>
    <w:rsid w:val="00262798"/>
    <w:rsid w:val="002629BE"/>
    <w:rsid w:val="002639BC"/>
    <w:rsid w:val="0026597F"/>
    <w:rsid w:val="0026603E"/>
    <w:rsid w:val="00270E9F"/>
    <w:rsid w:val="00271F41"/>
    <w:rsid w:val="00272001"/>
    <w:rsid w:val="0027310E"/>
    <w:rsid w:val="00274A81"/>
    <w:rsid w:val="00274BEC"/>
    <w:rsid w:val="00274F10"/>
    <w:rsid w:val="00274F77"/>
    <w:rsid w:val="00275064"/>
    <w:rsid w:val="002758CD"/>
    <w:rsid w:val="00275D83"/>
    <w:rsid w:val="0027606C"/>
    <w:rsid w:val="00277926"/>
    <w:rsid w:val="00277F66"/>
    <w:rsid w:val="002803BF"/>
    <w:rsid w:val="002811BD"/>
    <w:rsid w:val="002813E1"/>
    <w:rsid w:val="002817C6"/>
    <w:rsid w:val="002819D5"/>
    <w:rsid w:val="00282749"/>
    <w:rsid w:val="00282794"/>
    <w:rsid w:val="00283704"/>
    <w:rsid w:val="002842AA"/>
    <w:rsid w:val="00286544"/>
    <w:rsid w:val="002865CE"/>
    <w:rsid w:val="00286690"/>
    <w:rsid w:val="002867C5"/>
    <w:rsid w:val="00287064"/>
    <w:rsid w:val="0028717A"/>
    <w:rsid w:val="00287446"/>
    <w:rsid w:val="00287E24"/>
    <w:rsid w:val="002900C5"/>
    <w:rsid w:val="00290E69"/>
    <w:rsid w:val="0029110A"/>
    <w:rsid w:val="00291E27"/>
    <w:rsid w:val="002924AB"/>
    <w:rsid w:val="00292501"/>
    <w:rsid w:val="00293AC3"/>
    <w:rsid w:val="00294223"/>
    <w:rsid w:val="0029486E"/>
    <w:rsid w:val="00294D65"/>
    <w:rsid w:val="00295164"/>
    <w:rsid w:val="0029724E"/>
    <w:rsid w:val="002974D0"/>
    <w:rsid w:val="002977ED"/>
    <w:rsid w:val="002A01AC"/>
    <w:rsid w:val="002A07E7"/>
    <w:rsid w:val="002A0E11"/>
    <w:rsid w:val="002A13E8"/>
    <w:rsid w:val="002A2A6D"/>
    <w:rsid w:val="002A2AAC"/>
    <w:rsid w:val="002A3302"/>
    <w:rsid w:val="002A3A96"/>
    <w:rsid w:val="002A3C79"/>
    <w:rsid w:val="002A3CCD"/>
    <w:rsid w:val="002A3D90"/>
    <w:rsid w:val="002A4A58"/>
    <w:rsid w:val="002A52A8"/>
    <w:rsid w:val="002A5F27"/>
    <w:rsid w:val="002A63DB"/>
    <w:rsid w:val="002A68A3"/>
    <w:rsid w:val="002B0DF8"/>
    <w:rsid w:val="002B1499"/>
    <w:rsid w:val="002B1584"/>
    <w:rsid w:val="002B164D"/>
    <w:rsid w:val="002B1D29"/>
    <w:rsid w:val="002B1D2F"/>
    <w:rsid w:val="002B1DD8"/>
    <w:rsid w:val="002B2C39"/>
    <w:rsid w:val="002B2E12"/>
    <w:rsid w:val="002B34B1"/>
    <w:rsid w:val="002B4691"/>
    <w:rsid w:val="002B5318"/>
    <w:rsid w:val="002B543E"/>
    <w:rsid w:val="002B6DE9"/>
    <w:rsid w:val="002C01DE"/>
    <w:rsid w:val="002C061E"/>
    <w:rsid w:val="002C0C99"/>
    <w:rsid w:val="002C104C"/>
    <w:rsid w:val="002C1340"/>
    <w:rsid w:val="002C1B84"/>
    <w:rsid w:val="002C1CC0"/>
    <w:rsid w:val="002C278E"/>
    <w:rsid w:val="002C326C"/>
    <w:rsid w:val="002C3625"/>
    <w:rsid w:val="002C4464"/>
    <w:rsid w:val="002C48F3"/>
    <w:rsid w:val="002C4FBF"/>
    <w:rsid w:val="002C5086"/>
    <w:rsid w:val="002C5B9C"/>
    <w:rsid w:val="002C66FA"/>
    <w:rsid w:val="002C7E89"/>
    <w:rsid w:val="002D0032"/>
    <w:rsid w:val="002D05F6"/>
    <w:rsid w:val="002D26CB"/>
    <w:rsid w:val="002D2FE3"/>
    <w:rsid w:val="002D3228"/>
    <w:rsid w:val="002D3753"/>
    <w:rsid w:val="002D3AF8"/>
    <w:rsid w:val="002D440C"/>
    <w:rsid w:val="002D49EF"/>
    <w:rsid w:val="002D4D72"/>
    <w:rsid w:val="002D5151"/>
    <w:rsid w:val="002D6DDB"/>
    <w:rsid w:val="002D7993"/>
    <w:rsid w:val="002D7B7F"/>
    <w:rsid w:val="002E047C"/>
    <w:rsid w:val="002E0BDD"/>
    <w:rsid w:val="002E29D9"/>
    <w:rsid w:val="002E2C71"/>
    <w:rsid w:val="002E336B"/>
    <w:rsid w:val="002E41E9"/>
    <w:rsid w:val="002E425F"/>
    <w:rsid w:val="002E48E0"/>
    <w:rsid w:val="002E4C20"/>
    <w:rsid w:val="002E4E0C"/>
    <w:rsid w:val="002E507D"/>
    <w:rsid w:val="002E5A2C"/>
    <w:rsid w:val="002E6B02"/>
    <w:rsid w:val="002E6D66"/>
    <w:rsid w:val="002E6FC9"/>
    <w:rsid w:val="002E7418"/>
    <w:rsid w:val="002F03E3"/>
    <w:rsid w:val="002F0A7A"/>
    <w:rsid w:val="002F0ABF"/>
    <w:rsid w:val="002F1E32"/>
    <w:rsid w:val="002F3AFE"/>
    <w:rsid w:val="002F3FB0"/>
    <w:rsid w:val="002F45A7"/>
    <w:rsid w:val="002F4DEC"/>
    <w:rsid w:val="002F5A51"/>
    <w:rsid w:val="002F5A53"/>
    <w:rsid w:val="002F6615"/>
    <w:rsid w:val="002F7469"/>
    <w:rsid w:val="002F751B"/>
    <w:rsid w:val="002F797C"/>
    <w:rsid w:val="002F7BDD"/>
    <w:rsid w:val="002F7F54"/>
    <w:rsid w:val="003003F1"/>
    <w:rsid w:val="00300F11"/>
    <w:rsid w:val="00300F91"/>
    <w:rsid w:val="0030149B"/>
    <w:rsid w:val="0030156C"/>
    <w:rsid w:val="003022CF"/>
    <w:rsid w:val="0030302B"/>
    <w:rsid w:val="003033D3"/>
    <w:rsid w:val="00303D74"/>
    <w:rsid w:val="00304B07"/>
    <w:rsid w:val="00304C58"/>
    <w:rsid w:val="00304E2B"/>
    <w:rsid w:val="00304E97"/>
    <w:rsid w:val="00304EBA"/>
    <w:rsid w:val="003069A1"/>
    <w:rsid w:val="00306A11"/>
    <w:rsid w:val="0030735A"/>
    <w:rsid w:val="003079B9"/>
    <w:rsid w:val="003115F6"/>
    <w:rsid w:val="00312155"/>
    <w:rsid w:val="003122EC"/>
    <w:rsid w:val="00312377"/>
    <w:rsid w:val="00312CA3"/>
    <w:rsid w:val="0031320F"/>
    <w:rsid w:val="003139BD"/>
    <w:rsid w:val="00313A68"/>
    <w:rsid w:val="00313AE4"/>
    <w:rsid w:val="00313EA0"/>
    <w:rsid w:val="00314EC8"/>
    <w:rsid w:val="00315189"/>
    <w:rsid w:val="003154BE"/>
    <w:rsid w:val="003154C2"/>
    <w:rsid w:val="00315714"/>
    <w:rsid w:val="0031581F"/>
    <w:rsid w:val="003158B3"/>
    <w:rsid w:val="00316211"/>
    <w:rsid w:val="003169B3"/>
    <w:rsid w:val="003169D1"/>
    <w:rsid w:val="00317CAA"/>
    <w:rsid w:val="00317FC8"/>
    <w:rsid w:val="00320DF4"/>
    <w:rsid w:val="0032114E"/>
    <w:rsid w:val="00321263"/>
    <w:rsid w:val="0032129C"/>
    <w:rsid w:val="00321B39"/>
    <w:rsid w:val="00321EFE"/>
    <w:rsid w:val="00322118"/>
    <w:rsid w:val="00322778"/>
    <w:rsid w:val="00322E19"/>
    <w:rsid w:val="00323504"/>
    <w:rsid w:val="003236CA"/>
    <w:rsid w:val="0032384F"/>
    <w:rsid w:val="003244C7"/>
    <w:rsid w:val="00324696"/>
    <w:rsid w:val="003262A8"/>
    <w:rsid w:val="00326551"/>
    <w:rsid w:val="003265E7"/>
    <w:rsid w:val="0032669C"/>
    <w:rsid w:val="00327305"/>
    <w:rsid w:val="003277BD"/>
    <w:rsid w:val="003277D4"/>
    <w:rsid w:val="00327AF1"/>
    <w:rsid w:val="00330901"/>
    <w:rsid w:val="0033103F"/>
    <w:rsid w:val="00331E42"/>
    <w:rsid w:val="00332393"/>
    <w:rsid w:val="00332771"/>
    <w:rsid w:val="00334486"/>
    <w:rsid w:val="00334ED7"/>
    <w:rsid w:val="00335C71"/>
    <w:rsid w:val="00335D19"/>
    <w:rsid w:val="00335D78"/>
    <w:rsid w:val="00336002"/>
    <w:rsid w:val="003366FA"/>
    <w:rsid w:val="00336D01"/>
    <w:rsid w:val="00336D28"/>
    <w:rsid w:val="003419D4"/>
    <w:rsid w:val="0034211F"/>
    <w:rsid w:val="003427F4"/>
    <w:rsid w:val="003429B9"/>
    <w:rsid w:val="00343576"/>
    <w:rsid w:val="0034359E"/>
    <w:rsid w:val="003436B6"/>
    <w:rsid w:val="003447DD"/>
    <w:rsid w:val="00344989"/>
    <w:rsid w:val="00344D71"/>
    <w:rsid w:val="00344DFF"/>
    <w:rsid w:val="00344EEE"/>
    <w:rsid w:val="00345143"/>
    <w:rsid w:val="003456C7"/>
    <w:rsid w:val="003472CC"/>
    <w:rsid w:val="00347B0B"/>
    <w:rsid w:val="0035090B"/>
    <w:rsid w:val="0035140B"/>
    <w:rsid w:val="00351518"/>
    <w:rsid w:val="00352127"/>
    <w:rsid w:val="00352477"/>
    <w:rsid w:val="003529C9"/>
    <w:rsid w:val="00352EEF"/>
    <w:rsid w:val="00353136"/>
    <w:rsid w:val="00353771"/>
    <w:rsid w:val="00353AB6"/>
    <w:rsid w:val="003542EA"/>
    <w:rsid w:val="00354B44"/>
    <w:rsid w:val="00354EB5"/>
    <w:rsid w:val="003553BC"/>
    <w:rsid w:val="00355C0C"/>
    <w:rsid w:val="00355C6C"/>
    <w:rsid w:val="003561E1"/>
    <w:rsid w:val="00357E75"/>
    <w:rsid w:val="003605FA"/>
    <w:rsid w:val="00360737"/>
    <w:rsid w:val="00360E45"/>
    <w:rsid w:val="0036129E"/>
    <w:rsid w:val="00361DED"/>
    <w:rsid w:val="00362197"/>
    <w:rsid w:val="00362289"/>
    <w:rsid w:val="003626BA"/>
    <w:rsid w:val="00364304"/>
    <w:rsid w:val="003649A8"/>
    <w:rsid w:val="00364C96"/>
    <w:rsid w:val="00364E1E"/>
    <w:rsid w:val="00364F99"/>
    <w:rsid w:val="00365335"/>
    <w:rsid w:val="00365D53"/>
    <w:rsid w:val="0036610C"/>
    <w:rsid w:val="0036772B"/>
    <w:rsid w:val="00370163"/>
    <w:rsid w:val="00370708"/>
    <w:rsid w:val="003707DB"/>
    <w:rsid w:val="003708AB"/>
    <w:rsid w:val="00370F48"/>
    <w:rsid w:val="0037135A"/>
    <w:rsid w:val="003716D9"/>
    <w:rsid w:val="0037171D"/>
    <w:rsid w:val="00371FBE"/>
    <w:rsid w:val="003721AE"/>
    <w:rsid w:val="003723E9"/>
    <w:rsid w:val="00373CC9"/>
    <w:rsid w:val="00373F8A"/>
    <w:rsid w:val="003749FD"/>
    <w:rsid w:val="00374FF0"/>
    <w:rsid w:val="0037529E"/>
    <w:rsid w:val="003752DA"/>
    <w:rsid w:val="00376DDB"/>
    <w:rsid w:val="0037744B"/>
    <w:rsid w:val="00377702"/>
    <w:rsid w:val="00377C4D"/>
    <w:rsid w:val="00380B29"/>
    <w:rsid w:val="00381EC0"/>
    <w:rsid w:val="0038204F"/>
    <w:rsid w:val="00382104"/>
    <w:rsid w:val="003821C3"/>
    <w:rsid w:val="003825E4"/>
    <w:rsid w:val="00382A69"/>
    <w:rsid w:val="003832D4"/>
    <w:rsid w:val="00384B30"/>
    <w:rsid w:val="00385280"/>
    <w:rsid w:val="00385F32"/>
    <w:rsid w:val="00386E41"/>
    <w:rsid w:val="00387B2A"/>
    <w:rsid w:val="00390A10"/>
    <w:rsid w:val="00390B5E"/>
    <w:rsid w:val="00390FCD"/>
    <w:rsid w:val="00391097"/>
    <w:rsid w:val="003911E9"/>
    <w:rsid w:val="003925E9"/>
    <w:rsid w:val="00392854"/>
    <w:rsid w:val="003928BA"/>
    <w:rsid w:val="00392D05"/>
    <w:rsid w:val="003934D9"/>
    <w:rsid w:val="003940C8"/>
    <w:rsid w:val="00394CC1"/>
    <w:rsid w:val="00394D0F"/>
    <w:rsid w:val="00395068"/>
    <w:rsid w:val="00395C70"/>
    <w:rsid w:val="003961E6"/>
    <w:rsid w:val="003963B9"/>
    <w:rsid w:val="00396BD2"/>
    <w:rsid w:val="00396F6B"/>
    <w:rsid w:val="003A0561"/>
    <w:rsid w:val="003A0A7C"/>
    <w:rsid w:val="003A0D82"/>
    <w:rsid w:val="003A2276"/>
    <w:rsid w:val="003A2502"/>
    <w:rsid w:val="003A2C29"/>
    <w:rsid w:val="003A4DD3"/>
    <w:rsid w:val="003A4E1B"/>
    <w:rsid w:val="003A50E5"/>
    <w:rsid w:val="003A6182"/>
    <w:rsid w:val="003A61E0"/>
    <w:rsid w:val="003A6724"/>
    <w:rsid w:val="003A766A"/>
    <w:rsid w:val="003B004E"/>
    <w:rsid w:val="003B0471"/>
    <w:rsid w:val="003B0603"/>
    <w:rsid w:val="003B101A"/>
    <w:rsid w:val="003B11CD"/>
    <w:rsid w:val="003B29F6"/>
    <w:rsid w:val="003B2E8F"/>
    <w:rsid w:val="003B3EF7"/>
    <w:rsid w:val="003B4188"/>
    <w:rsid w:val="003B460D"/>
    <w:rsid w:val="003B5559"/>
    <w:rsid w:val="003B5E3D"/>
    <w:rsid w:val="003B5F32"/>
    <w:rsid w:val="003B62F4"/>
    <w:rsid w:val="003B6E0A"/>
    <w:rsid w:val="003B7951"/>
    <w:rsid w:val="003C0072"/>
    <w:rsid w:val="003C0BFF"/>
    <w:rsid w:val="003C15EE"/>
    <w:rsid w:val="003C1851"/>
    <w:rsid w:val="003C1A22"/>
    <w:rsid w:val="003C28D5"/>
    <w:rsid w:val="003C2B6E"/>
    <w:rsid w:val="003C2E26"/>
    <w:rsid w:val="003C35F6"/>
    <w:rsid w:val="003C373D"/>
    <w:rsid w:val="003C402B"/>
    <w:rsid w:val="003C40D6"/>
    <w:rsid w:val="003C55DE"/>
    <w:rsid w:val="003C5A9C"/>
    <w:rsid w:val="003C62E2"/>
    <w:rsid w:val="003C6A87"/>
    <w:rsid w:val="003C6EAD"/>
    <w:rsid w:val="003C6F73"/>
    <w:rsid w:val="003C72D2"/>
    <w:rsid w:val="003C7483"/>
    <w:rsid w:val="003D0798"/>
    <w:rsid w:val="003D0A66"/>
    <w:rsid w:val="003D17C2"/>
    <w:rsid w:val="003D1B55"/>
    <w:rsid w:val="003D1E02"/>
    <w:rsid w:val="003D260B"/>
    <w:rsid w:val="003D33AE"/>
    <w:rsid w:val="003D3FB7"/>
    <w:rsid w:val="003D466F"/>
    <w:rsid w:val="003D4890"/>
    <w:rsid w:val="003D4EBB"/>
    <w:rsid w:val="003D4ECA"/>
    <w:rsid w:val="003D5860"/>
    <w:rsid w:val="003D6665"/>
    <w:rsid w:val="003D7520"/>
    <w:rsid w:val="003E0DC9"/>
    <w:rsid w:val="003E1244"/>
    <w:rsid w:val="003E24A6"/>
    <w:rsid w:val="003E2DE5"/>
    <w:rsid w:val="003E33CE"/>
    <w:rsid w:val="003E3A03"/>
    <w:rsid w:val="003E3A50"/>
    <w:rsid w:val="003E41D1"/>
    <w:rsid w:val="003E4458"/>
    <w:rsid w:val="003E4AA0"/>
    <w:rsid w:val="003E57C4"/>
    <w:rsid w:val="003E5B15"/>
    <w:rsid w:val="003E61D9"/>
    <w:rsid w:val="003E77E1"/>
    <w:rsid w:val="003E78CE"/>
    <w:rsid w:val="003E7D9E"/>
    <w:rsid w:val="003E7E08"/>
    <w:rsid w:val="003F0BFC"/>
    <w:rsid w:val="003F12C1"/>
    <w:rsid w:val="003F17EA"/>
    <w:rsid w:val="003F1845"/>
    <w:rsid w:val="003F435F"/>
    <w:rsid w:val="003F4847"/>
    <w:rsid w:val="003F7149"/>
    <w:rsid w:val="003F728B"/>
    <w:rsid w:val="00400979"/>
    <w:rsid w:val="00401010"/>
    <w:rsid w:val="0040120E"/>
    <w:rsid w:val="004012F4"/>
    <w:rsid w:val="00401410"/>
    <w:rsid w:val="00401FC4"/>
    <w:rsid w:val="004026D5"/>
    <w:rsid w:val="004027EB"/>
    <w:rsid w:val="00402AD4"/>
    <w:rsid w:val="00402B62"/>
    <w:rsid w:val="00402C35"/>
    <w:rsid w:val="00403C29"/>
    <w:rsid w:val="004048CC"/>
    <w:rsid w:val="004074D3"/>
    <w:rsid w:val="00407C13"/>
    <w:rsid w:val="004102CD"/>
    <w:rsid w:val="004104C1"/>
    <w:rsid w:val="0041175D"/>
    <w:rsid w:val="004117E5"/>
    <w:rsid w:val="00411938"/>
    <w:rsid w:val="00411D57"/>
    <w:rsid w:val="0041245A"/>
    <w:rsid w:val="004144FF"/>
    <w:rsid w:val="004160EC"/>
    <w:rsid w:val="00416173"/>
    <w:rsid w:val="0041629E"/>
    <w:rsid w:val="00420131"/>
    <w:rsid w:val="00420271"/>
    <w:rsid w:val="00420F19"/>
    <w:rsid w:val="00420FE6"/>
    <w:rsid w:val="004220F2"/>
    <w:rsid w:val="00422A88"/>
    <w:rsid w:val="00424BD6"/>
    <w:rsid w:val="00425D2F"/>
    <w:rsid w:val="00425D67"/>
    <w:rsid w:val="00426764"/>
    <w:rsid w:val="00426BC5"/>
    <w:rsid w:val="00426EDD"/>
    <w:rsid w:val="0042728C"/>
    <w:rsid w:val="004272A5"/>
    <w:rsid w:val="00427552"/>
    <w:rsid w:val="0042763A"/>
    <w:rsid w:val="00427648"/>
    <w:rsid w:val="00430D2E"/>
    <w:rsid w:val="00430D80"/>
    <w:rsid w:val="00431D31"/>
    <w:rsid w:val="00431FB7"/>
    <w:rsid w:val="00432254"/>
    <w:rsid w:val="0043285A"/>
    <w:rsid w:val="00432C4E"/>
    <w:rsid w:val="00432D3C"/>
    <w:rsid w:val="00432FFB"/>
    <w:rsid w:val="00434A67"/>
    <w:rsid w:val="00435CE1"/>
    <w:rsid w:val="00435F6E"/>
    <w:rsid w:val="004367A1"/>
    <w:rsid w:val="004368D3"/>
    <w:rsid w:val="00436C22"/>
    <w:rsid w:val="00437B37"/>
    <w:rsid w:val="004400CE"/>
    <w:rsid w:val="00440518"/>
    <w:rsid w:val="00440A46"/>
    <w:rsid w:val="00440C1E"/>
    <w:rsid w:val="00440D62"/>
    <w:rsid w:val="004416AE"/>
    <w:rsid w:val="00441EB0"/>
    <w:rsid w:val="00443CF0"/>
    <w:rsid w:val="0044401C"/>
    <w:rsid w:val="00444169"/>
    <w:rsid w:val="0044472D"/>
    <w:rsid w:val="00444D66"/>
    <w:rsid w:val="00445845"/>
    <w:rsid w:val="004459CD"/>
    <w:rsid w:val="00445BFD"/>
    <w:rsid w:val="00445C42"/>
    <w:rsid w:val="00445D05"/>
    <w:rsid w:val="00445F00"/>
    <w:rsid w:val="00446612"/>
    <w:rsid w:val="00446BC3"/>
    <w:rsid w:val="00447D7F"/>
    <w:rsid w:val="00447D8E"/>
    <w:rsid w:val="00447E7B"/>
    <w:rsid w:val="00447FE8"/>
    <w:rsid w:val="00450FBE"/>
    <w:rsid w:val="00451357"/>
    <w:rsid w:val="00451933"/>
    <w:rsid w:val="00451DC2"/>
    <w:rsid w:val="004524A2"/>
    <w:rsid w:val="00452578"/>
    <w:rsid w:val="00452FCD"/>
    <w:rsid w:val="00453604"/>
    <w:rsid w:val="004546F9"/>
    <w:rsid w:val="00454847"/>
    <w:rsid w:val="004548F7"/>
    <w:rsid w:val="00455081"/>
    <w:rsid w:val="004557C3"/>
    <w:rsid w:val="0045648A"/>
    <w:rsid w:val="00456541"/>
    <w:rsid w:val="00456C57"/>
    <w:rsid w:val="00456C6F"/>
    <w:rsid w:val="00456EF2"/>
    <w:rsid w:val="00456FB9"/>
    <w:rsid w:val="00457231"/>
    <w:rsid w:val="004575CA"/>
    <w:rsid w:val="00457C08"/>
    <w:rsid w:val="00460359"/>
    <w:rsid w:val="004608A6"/>
    <w:rsid w:val="00460C2D"/>
    <w:rsid w:val="00460F62"/>
    <w:rsid w:val="004614CA"/>
    <w:rsid w:val="00461F7E"/>
    <w:rsid w:val="004627B8"/>
    <w:rsid w:val="00462E52"/>
    <w:rsid w:val="00462FDE"/>
    <w:rsid w:val="00463383"/>
    <w:rsid w:val="0046359C"/>
    <w:rsid w:val="004637B2"/>
    <w:rsid w:val="00463AE6"/>
    <w:rsid w:val="004646FC"/>
    <w:rsid w:val="00464C15"/>
    <w:rsid w:val="00465318"/>
    <w:rsid w:val="004659C9"/>
    <w:rsid w:val="004668F6"/>
    <w:rsid w:val="0046750F"/>
    <w:rsid w:val="00467EC4"/>
    <w:rsid w:val="0047058C"/>
    <w:rsid w:val="00471838"/>
    <w:rsid w:val="00471F59"/>
    <w:rsid w:val="00473C3F"/>
    <w:rsid w:val="00473F5D"/>
    <w:rsid w:val="00474472"/>
    <w:rsid w:val="00474566"/>
    <w:rsid w:val="00475098"/>
    <w:rsid w:val="004754EA"/>
    <w:rsid w:val="00475898"/>
    <w:rsid w:val="00476447"/>
    <w:rsid w:val="004776F6"/>
    <w:rsid w:val="004813E1"/>
    <w:rsid w:val="00482282"/>
    <w:rsid w:val="00483BEE"/>
    <w:rsid w:val="00484830"/>
    <w:rsid w:val="0048615D"/>
    <w:rsid w:val="00486524"/>
    <w:rsid w:val="004866A6"/>
    <w:rsid w:val="00486A55"/>
    <w:rsid w:val="0048774E"/>
    <w:rsid w:val="00487E9E"/>
    <w:rsid w:val="00490304"/>
    <w:rsid w:val="00490759"/>
    <w:rsid w:val="00490B34"/>
    <w:rsid w:val="00491232"/>
    <w:rsid w:val="0049126D"/>
    <w:rsid w:val="0049153E"/>
    <w:rsid w:val="00491C42"/>
    <w:rsid w:val="0049379E"/>
    <w:rsid w:val="0049390C"/>
    <w:rsid w:val="00493F02"/>
    <w:rsid w:val="004943C9"/>
    <w:rsid w:val="00494CCA"/>
    <w:rsid w:val="00495395"/>
    <w:rsid w:val="004962C2"/>
    <w:rsid w:val="004972EE"/>
    <w:rsid w:val="004975FC"/>
    <w:rsid w:val="00497B12"/>
    <w:rsid w:val="004A03DC"/>
    <w:rsid w:val="004A063F"/>
    <w:rsid w:val="004A0A19"/>
    <w:rsid w:val="004A0B49"/>
    <w:rsid w:val="004A0F2E"/>
    <w:rsid w:val="004A1568"/>
    <w:rsid w:val="004A160A"/>
    <w:rsid w:val="004A1881"/>
    <w:rsid w:val="004A2383"/>
    <w:rsid w:val="004A2D13"/>
    <w:rsid w:val="004A2D2B"/>
    <w:rsid w:val="004A2DDC"/>
    <w:rsid w:val="004A376E"/>
    <w:rsid w:val="004A4316"/>
    <w:rsid w:val="004A4B3B"/>
    <w:rsid w:val="004A4F4C"/>
    <w:rsid w:val="004A502D"/>
    <w:rsid w:val="004A537D"/>
    <w:rsid w:val="004A59D3"/>
    <w:rsid w:val="004A62E9"/>
    <w:rsid w:val="004A6559"/>
    <w:rsid w:val="004A7466"/>
    <w:rsid w:val="004A76EB"/>
    <w:rsid w:val="004A793F"/>
    <w:rsid w:val="004B0756"/>
    <w:rsid w:val="004B0AE9"/>
    <w:rsid w:val="004B0B94"/>
    <w:rsid w:val="004B1050"/>
    <w:rsid w:val="004B12A2"/>
    <w:rsid w:val="004B14EC"/>
    <w:rsid w:val="004B1654"/>
    <w:rsid w:val="004B1836"/>
    <w:rsid w:val="004B1AFB"/>
    <w:rsid w:val="004B2292"/>
    <w:rsid w:val="004B2351"/>
    <w:rsid w:val="004B2B67"/>
    <w:rsid w:val="004B2D91"/>
    <w:rsid w:val="004B2F62"/>
    <w:rsid w:val="004B3941"/>
    <w:rsid w:val="004B3CEF"/>
    <w:rsid w:val="004B4399"/>
    <w:rsid w:val="004B456B"/>
    <w:rsid w:val="004B4AA6"/>
    <w:rsid w:val="004B4BF5"/>
    <w:rsid w:val="004B50F8"/>
    <w:rsid w:val="004B596C"/>
    <w:rsid w:val="004B5A7D"/>
    <w:rsid w:val="004B61E6"/>
    <w:rsid w:val="004B68CD"/>
    <w:rsid w:val="004B68DF"/>
    <w:rsid w:val="004B712F"/>
    <w:rsid w:val="004B73D4"/>
    <w:rsid w:val="004C0D1E"/>
    <w:rsid w:val="004C0F22"/>
    <w:rsid w:val="004C1679"/>
    <w:rsid w:val="004C1A9D"/>
    <w:rsid w:val="004C281F"/>
    <w:rsid w:val="004C2EA4"/>
    <w:rsid w:val="004C3635"/>
    <w:rsid w:val="004C37D3"/>
    <w:rsid w:val="004C3892"/>
    <w:rsid w:val="004C3E43"/>
    <w:rsid w:val="004C4B25"/>
    <w:rsid w:val="004C4DE5"/>
    <w:rsid w:val="004C552E"/>
    <w:rsid w:val="004C68DD"/>
    <w:rsid w:val="004C6906"/>
    <w:rsid w:val="004C6E6A"/>
    <w:rsid w:val="004C717C"/>
    <w:rsid w:val="004C7F5B"/>
    <w:rsid w:val="004D0474"/>
    <w:rsid w:val="004D13AD"/>
    <w:rsid w:val="004D142D"/>
    <w:rsid w:val="004D162C"/>
    <w:rsid w:val="004D2226"/>
    <w:rsid w:val="004D3616"/>
    <w:rsid w:val="004D3960"/>
    <w:rsid w:val="004D3C09"/>
    <w:rsid w:val="004D5499"/>
    <w:rsid w:val="004D5B38"/>
    <w:rsid w:val="004D6027"/>
    <w:rsid w:val="004D6C04"/>
    <w:rsid w:val="004D6C0D"/>
    <w:rsid w:val="004D72E8"/>
    <w:rsid w:val="004D7D57"/>
    <w:rsid w:val="004E007A"/>
    <w:rsid w:val="004E01C3"/>
    <w:rsid w:val="004E0591"/>
    <w:rsid w:val="004E070E"/>
    <w:rsid w:val="004E0881"/>
    <w:rsid w:val="004E2111"/>
    <w:rsid w:val="004E2191"/>
    <w:rsid w:val="004E309B"/>
    <w:rsid w:val="004E3687"/>
    <w:rsid w:val="004E59B1"/>
    <w:rsid w:val="004E5B34"/>
    <w:rsid w:val="004E63D5"/>
    <w:rsid w:val="004E651A"/>
    <w:rsid w:val="004E7AC7"/>
    <w:rsid w:val="004E7BC1"/>
    <w:rsid w:val="004F08DF"/>
    <w:rsid w:val="004F0ADC"/>
    <w:rsid w:val="004F0B24"/>
    <w:rsid w:val="004F0C32"/>
    <w:rsid w:val="004F1681"/>
    <w:rsid w:val="004F1851"/>
    <w:rsid w:val="004F1B1F"/>
    <w:rsid w:val="004F1C2E"/>
    <w:rsid w:val="004F2419"/>
    <w:rsid w:val="004F2D7C"/>
    <w:rsid w:val="004F2F2F"/>
    <w:rsid w:val="004F42F2"/>
    <w:rsid w:val="004F613E"/>
    <w:rsid w:val="00500965"/>
    <w:rsid w:val="00500A66"/>
    <w:rsid w:val="00500CEE"/>
    <w:rsid w:val="00500FC0"/>
    <w:rsid w:val="0050115B"/>
    <w:rsid w:val="00501F5B"/>
    <w:rsid w:val="00502E81"/>
    <w:rsid w:val="00502ECA"/>
    <w:rsid w:val="00503534"/>
    <w:rsid w:val="00503A9D"/>
    <w:rsid w:val="00503CAD"/>
    <w:rsid w:val="00504EFA"/>
    <w:rsid w:val="005057F4"/>
    <w:rsid w:val="00505AF9"/>
    <w:rsid w:val="00506421"/>
    <w:rsid w:val="00506D25"/>
    <w:rsid w:val="0050727F"/>
    <w:rsid w:val="00507C07"/>
    <w:rsid w:val="00507E2B"/>
    <w:rsid w:val="00511F31"/>
    <w:rsid w:val="00513080"/>
    <w:rsid w:val="00513756"/>
    <w:rsid w:val="00513DF5"/>
    <w:rsid w:val="00513ED7"/>
    <w:rsid w:val="0051508A"/>
    <w:rsid w:val="005158B3"/>
    <w:rsid w:val="00515B60"/>
    <w:rsid w:val="00516066"/>
    <w:rsid w:val="0051607B"/>
    <w:rsid w:val="0051621D"/>
    <w:rsid w:val="00517640"/>
    <w:rsid w:val="005207E6"/>
    <w:rsid w:val="00520812"/>
    <w:rsid w:val="00520AD8"/>
    <w:rsid w:val="00521845"/>
    <w:rsid w:val="00521EAA"/>
    <w:rsid w:val="00522193"/>
    <w:rsid w:val="00522937"/>
    <w:rsid w:val="00523060"/>
    <w:rsid w:val="005239F8"/>
    <w:rsid w:val="00524F26"/>
    <w:rsid w:val="00525FCE"/>
    <w:rsid w:val="00525FE7"/>
    <w:rsid w:val="0052604D"/>
    <w:rsid w:val="0052729C"/>
    <w:rsid w:val="005272F7"/>
    <w:rsid w:val="005277C5"/>
    <w:rsid w:val="005304F8"/>
    <w:rsid w:val="005313D9"/>
    <w:rsid w:val="005317B0"/>
    <w:rsid w:val="00531A46"/>
    <w:rsid w:val="0053212E"/>
    <w:rsid w:val="00532337"/>
    <w:rsid w:val="00533291"/>
    <w:rsid w:val="00533BB1"/>
    <w:rsid w:val="0053408F"/>
    <w:rsid w:val="005346DF"/>
    <w:rsid w:val="005347E9"/>
    <w:rsid w:val="005350AF"/>
    <w:rsid w:val="005370D7"/>
    <w:rsid w:val="005372F7"/>
    <w:rsid w:val="0053753F"/>
    <w:rsid w:val="005379F8"/>
    <w:rsid w:val="00541004"/>
    <w:rsid w:val="005416D5"/>
    <w:rsid w:val="0054182F"/>
    <w:rsid w:val="005428B7"/>
    <w:rsid w:val="00542F4D"/>
    <w:rsid w:val="0054329D"/>
    <w:rsid w:val="005437DC"/>
    <w:rsid w:val="0054469D"/>
    <w:rsid w:val="00545045"/>
    <w:rsid w:val="005456F4"/>
    <w:rsid w:val="005461EF"/>
    <w:rsid w:val="0054704A"/>
    <w:rsid w:val="0054782F"/>
    <w:rsid w:val="00547A93"/>
    <w:rsid w:val="005502EE"/>
    <w:rsid w:val="00550577"/>
    <w:rsid w:val="005511AA"/>
    <w:rsid w:val="0055176D"/>
    <w:rsid w:val="005519F2"/>
    <w:rsid w:val="00551CEE"/>
    <w:rsid w:val="00552069"/>
    <w:rsid w:val="00552C94"/>
    <w:rsid w:val="00553835"/>
    <w:rsid w:val="00553D86"/>
    <w:rsid w:val="00554687"/>
    <w:rsid w:val="00554E0F"/>
    <w:rsid w:val="0055524D"/>
    <w:rsid w:val="0055528F"/>
    <w:rsid w:val="005556FC"/>
    <w:rsid w:val="0055669F"/>
    <w:rsid w:val="005569F2"/>
    <w:rsid w:val="005571E1"/>
    <w:rsid w:val="00557365"/>
    <w:rsid w:val="00560533"/>
    <w:rsid w:val="00560AE2"/>
    <w:rsid w:val="00560B93"/>
    <w:rsid w:val="0056109E"/>
    <w:rsid w:val="00561E1A"/>
    <w:rsid w:val="00562D03"/>
    <w:rsid w:val="00562DE1"/>
    <w:rsid w:val="00563324"/>
    <w:rsid w:val="005636C4"/>
    <w:rsid w:val="005636F9"/>
    <w:rsid w:val="00563CA1"/>
    <w:rsid w:val="00565DDE"/>
    <w:rsid w:val="005661FB"/>
    <w:rsid w:val="0056651B"/>
    <w:rsid w:val="005665CF"/>
    <w:rsid w:val="00566AD4"/>
    <w:rsid w:val="005672C9"/>
    <w:rsid w:val="00567671"/>
    <w:rsid w:val="005676D5"/>
    <w:rsid w:val="00567EFD"/>
    <w:rsid w:val="00570001"/>
    <w:rsid w:val="00572F9D"/>
    <w:rsid w:val="0057369B"/>
    <w:rsid w:val="005738AF"/>
    <w:rsid w:val="00573A79"/>
    <w:rsid w:val="00574024"/>
    <w:rsid w:val="005740B9"/>
    <w:rsid w:val="0057410C"/>
    <w:rsid w:val="005747E4"/>
    <w:rsid w:val="0057560B"/>
    <w:rsid w:val="0057636B"/>
    <w:rsid w:val="005776F6"/>
    <w:rsid w:val="005804B9"/>
    <w:rsid w:val="00581698"/>
    <w:rsid w:val="00582A70"/>
    <w:rsid w:val="005832DA"/>
    <w:rsid w:val="00583997"/>
    <w:rsid w:val="005853C9"/>
    <w:rsid w:val="005857DF"/>
    <w:rsid w:val="00585A48"/>
    <w:rsid w:val="00586354"/>
    <w:rsid w:val="00587361"/>
    <w:rsid w:val="005873D2"/>
    <w:rsid w:val="00587533"/>
    <w:rsid w:val="00590671"/>
    <w:rsid w:val="00590BB8"/>
    <w:rsid w:val="00590EEE"/>
    <w:rsid w:val="00591767"/>
    <w:rsid w:val="00591D3A"/>
    <w:rsid w:val="00592E0D"/>
    <w:rsid w:val="005934B3"/>
    <w:rsid w:val="0059352D"/>
    <w:rsid w:val="00593692"/>
    <w:rsid w:val="005936EC"/>
    <w:rsid w:val="00593B34"/>
    <w:rsid w:val="005941CF"/>
    <w:rsid w:val="0059475B"/>
    <w:rsid w:val="0059706C"/>
    <w:rsid w:val="005A07B5"/>
    <w:rsid w:val="005A0867"/>
    <w:rsid w:val="005A0BCA"/>
    <w:rsid w:val="005A0DBC"/>
    <w:rsid w:val="005A18B0"/>
    <w:rsid w:val="005A2155"/>
    <w:rsid w:val="005A2481"/>
    <w:rsid w:val="005A286C"/>
    <w:rsid w:val="005A2CC1"/>
    <w:rsid w:val="005A2EC6"/>
    <w:rsid w:val="005A3396"/>
    <w:rsid w:val="005A3CDC"/>
    <w:rsid w:val="005A3F88"/>
    <w:rsid w:val="005A497E"/>
    <w:rsid w:val="005A4E2A"/>
    <w:rsid w:val="005A4F83"/>
    <w:rsid w:val="005A5225"/>
    <w:rsid w:val="005A5780"/>
    <w:rsid w:val="005A5970"/>
    <w:rsid w:val="005A5B17"/>
    <w:rsid w:val="005A6ED9"/>
    <w:rsid w:val="005A7790"/>
    <w:rsid w:val="005B0151"/>
    <w:rsid w:val="005B0996"/>
    <w:rsid w:val="005B0A80"/>
    <w:rsid w:val="005B10C6"/>
    <w:rsid w:val="005B17F5"/>
    <w:rsid w:val="005B45AB"/>
    <w:rsid w:val="005B4BF7"/>
    <w:rsid w:val="005B561F"/>
    <w:rsid w:val="005B60C9"/>
    <w:rsid w:val="005B6CE6"/>
    <w:rsid w:val="005B6ED7"/>
    <w:rsid w:val="005C0197"/>
    <w:rsid w:val="005C09CF"/>
    <w:rsid w:val="005C10F5"/>
    <w:rsid w:val="005C164E"/>
    <w:rsid w:val="005C1AC7"/>
    <w:rsid w:val="005C1B72"/>
    <w:rsid w:val="005C1D7D"/>
    <w:rsid w:val="005C245A"/>
    <w:rsid w:val="005C3120"/>
    <w:rsid w:val="005C364D"/>
    <w:rsid w:val="005C410D"/>
    <w:rsid w:val="005C5413"/>
    <w:rsid w:val="005C5A51"/>
    <w:rsid w:val="005C5BF0"/>
    <w:rsid w:val="005C6BF0"/>
    <w:rsid w:val="005C71A2"/>
    <w:rsid w:val="005C78BB"/>
    <w:rsid w:val="005C7945"/>
    <w:rsid w:val="005D05D5"/>
    <w:rsid w:val="005D073E"/>
    <w:rsid w:val="005D0858"/>
    <w:rsid w:val="005D0BD5"/>
    <w:rsid w:val="005D0F64"/>
    <w:rsid w:val="005D1257"/>
    <w:rsid w:val="005D1886"/>
    <w:rsid w:val="005D1E86"/>
    <w:rsid w:val="005D28B1"/>
    <w:rsid w:val="005D29B0"/>
    <w:rsid w:val="005D2DEF"/>
    <w:rsid w:val="005D2E91"/>
    <w:rsid w:val="005D311B"/>
    <w:rsid w:val="005D38BD"/>
    <w:rsid w:val="005D40D4"/>
    <w:rsid w:val="005D4876"/>
    <w:rsid w:val="005D5134"/>
    <w:rsid w:val="005D62B7"/>
    <w:rsid w:val="005D6858"/>
    <w:rsid w:val="005D747D"/>
    <w:rsid w:val="005D7E75"/>
    <w:rsid w:val="005E0F2F"/>
    <w:rsid w:val="005E114C"/>
    <w:rsid w:val="005E1E4B"/>
    <w:rsid w:val="005E2CCA"/>
    <w:rsid w:val="005E2DBB"/>
    <w:rsid w:val="005E34CE"/>
    <w:rsid w:val="005E3F17"/>
    <w:rsid w:val="005E415A"/>
    <w:rsid w:val="005E462C"/>
    <w:rsid w:val="005E50D1"/>
    <w:rsid w:val="005E5245"/>
    <w:rsid w:val="005E56DF"/>
    <w:rsid w:val="005E5937"/>
    <w:rsid w:val="005E68CC"/>
    <w:rsid w:val="005E6E71"/>
    <w:rsid w:val="005E719F"/>
    <w:rsid w:val="005E73D0"/>
    <w:rsid w:val="005E7958"/>
    <w:rsid w:val="005E7A09"/>
    <w:rsid w:val="005E7B02"/>
    <w:rsid w:val="005E7EB8"/>
    <w:rsid w:val="005F02C9"/>
    <w:rsid w:val="005F0A43"/>
    <w:rsid w:val="005F1C56"/>
    <w:rsid w:val="005F2119"/>
    <w:rsid w:val="005F2147"/>
    <w:rsid w:val="005F2291"/>
    <w:rsid w:val="005F2C6D"/>
    <w:rsid w:val="005F3024"/>
    <w:rsid w:val="005F3268"/>
    <w:rsid w:val="005F32F2"/>
    <w:rsid w:val="005F5103"/>
    <w:rsid w:val="005F5523"/>
    <w:rsid w:val="005F5542"/>
    <w:rsid w:val="005F58DB"/>
    <w:rsid w:val="005F5AB3"/>
    <w:rsid w:val="005F6340"/>
    <w:rsid w:val="005F6F43"/>
    <w:rsid w:val="005F7192"/>
    <w:rsid w:val="005F7B73"/>
    <w:rsid w:val="005F7DE7"/>
    <w:rsid w:val="006007C6"/>
    <w:rsid w:val="00600ACC"/>
    <w:rsid w:val="00601B80"/>
    <w:rsid w:val="00601BAC"/>
    <w:rsid w:val="00602EE0"/>
    <w:rsid w:val="0060355C"/>
    <w:rsid w:val="00604033"/>
    <w:rsid w:val="00604CB3"/>
    <w:rsid w:val="00606FE6"/>
    <w:rsid w:val="00607FD5"/>
    <w:rsid w:val="006103AE"/>
    <w:rsid w:val="00610E06"/>
    <w:rsid w:val="00611742"/>
    <w:rsid w:val="00611DB3"/>
    <w:rsid w:val="00611F28"/>
    <w:rsid w:val="0061298A"/>
    <w:rsid w:val="00613F41"/>
    <w:rsid w:val="006142B5"/>
    <w:rsid w:val="0061454B"/>
    <w:rsid w:val="00614916"/>
    <w:rsid w:val="00614C5D"/>
    <w:rsid w:val="006154EF"/>
    <w:rsid w:val="0061550D"/>
    <w:rsid w:val="006156F6"/>
    <w:rsid w:val="006157AC"/>
    <w:rsid w:val="00615C26"/>
    <w:rsid w:val="0061620E"/>
    <w:rsid w:val="00616D4B"/>
    <w:rsid w:val="00617EA5"/>
    <w:rsid w:val="0062100D"/>
    <w:rsid w:val="00621CA7"/>
    <w:rsid w:val="00622599"/>
    <w:rsid w:val="00622651"/>
    <w:rsid w:val="00622FC6"/>
    <w:rsid w:val="006230C3"/>
    <w:rsid w:val="006235A9"/>
    <w:rsid w:val="006235B4"/>
    <w:rsid w:val="00623F1F"/>
    <w:rsid w:val="006243EB"/>
    <w:rsid w:val="006248BB"/>
    <w:rsid w:val="00625164"/>
    <w:rsid w:val="00625FEB"/>
    <w:rsid w:val="006260CF"/>
    <w:rsid w:val="0062616D"/>
    <w:rsid w:val="00626462"/>
    <w:rsid w:val="006264DD"/>
    <w:rsid w:val="006265DD"/>
    <w:rsid w:val="00626D8E"/>
    <w:rsid w:val="0062770F"/>
    <w:rsid w:val="00627DC5"/>
    <w:rsid w:val="00627DE6"/>
    <w:rsid w:val="006306AD"/>
    <w:rsid w:val="0063112E"/>
    <w:rsid w:val="00631614"/>
    <w:rsid w:val="00632753"/>
    <w:rsid w:val="00632B7D"/>
    <w:rsid w:val="006330B3"/>
    <w:rsid w:val="00633269"/>
    <w:rsid w:val="00633D0E"/>
    <w:rsid w:val="006345EC"/>
    <w:rsid w:val="00635871"/>
    <w:rsid w:val="00636627"/>
    <w:rsid w:val="00637418"/>
    <w:rsid w:val="00637B4A"/>
    <w:rsid w:val="00640085"/>
    <w:rsid w:val="006402EB"/>
    <w:rsid w:val="00640B28"/>
    <w:rsid w:val="0064103C"/>
    <w:rsid w:val="00642137"/>
    <w:rsid w:val="006424EA"/>
    <w:rsid w:val="00642D91"/>
    <w:rsid w:val="00642FEA"/>
    <w:rsid w:val="006452A4"/>
    <w:rsid w:val="006459B3"/>
    <w:rsid w:val="0064641F"/>
    <w:rsid w:val="006468B5"/>
    <w:rsid w:val="00646BC3"/>
    <w:rsid w:val="00646D80"/>
    <w:rsid w:val="006476AC"/>
    <w:rsid w:val="006476FF"/>
    <w:rsid w:val="00647A2E"/>
    <w:rsid w:val="00647FBA"/>
    <w:rsid w:val="0065027E"/>
    <w:rsid w:val="00650CFA"/>
    <w:rsid w:val="00651469"/>
    <w:rsid w:val="006515ED"/>
    <w:rsid w:val="0065188A"/>
    <w:rsid w:val="00651C15"/>
    <w:rsid w:val="00652965"/>
    <w:rsid w:val="00653218"/>
    <w:rsid w:val="00654BF7"/>
    <w:rsid w:val="00654DC1"/>
    <w:rsid w:val="00654E7E"/>
    <w:rsid w:val="00654EA0"/>
    <w:rsid w:val="006550E1"/>
    <w:rsid w:val="00655CDE"/>
    <w:rsid w:val="0065629E"/>
    <w:rsid w:val="00656441"/>
    <w:rsid w:val="0065799C"/>
    <w:rsid w:val="00657B97"/>
    <w:rsid w:val="00660861"/>
    <w:rsid w:val="00660C20"/>
    <w:rsid w:val="00661A05"/>
    <w:rsid w:val="00661D95"/>
    <w:rsid w:val="0066320B"/>
    <w:rsid w:val="00663CBA"/>
    <w:rsid w:val="00663E0B"/>
    <w:rsid w:val="00663F0B"/>
    <w:rsid w:val="006640F0"/>
    <w:rsid w:val="0066455D"/>
    <w:rsid w:val="00664698"/>
    <w:rsid w:val="006646BA"/>
    <w:rsid w:val="00664A88"/>
    <w:rsid w:val="006651F0"/>
    <w:rsid w:val="0066674D"/>
    <w:rsid w:val="00666C1B"/>
    <w:rsid w:val="00666D15"/>
    <w:rsid w:val="0066703A"/>
    <w:rsid w:val="00670074"/>
    <w:rsid w:val="006702C8"/>
    <w:rsid w:val="006709F9"/>
    <w:rsid w:val="00670B2C"/>
    <w:rsid w:val="00670CD6"/>
    <w:rsid w:val="0067111E"/>
    <w:rsid w:val="0067177A"/>
    <w:rsid w:val="00671CF5"/>
    <w:rsid w:val="00672A26"/>
    <w:rsid w:val="00672BCD"/>
    <w:rsid w:val="00672EBE"/>
    <w:rsid w:val="00672F01"/>
    <w:rsid w:val="00672F0B"/>
    <w:rsid w:val="0067358A"/>
    <w:rsid w:val="00673C1D"/>
    <w:rsid w:val="0067406C"/>
    <w:rsid w:val="0067538C"/>
    <w:rsid w:val="006756A8"/>
    <w:rsid w:val="00675EEA"/>
    <w:rsid w:val="0067627B"/>
    <w:rsid w:val="00676703"/>
    <w:rsid w:val="00676813"/>
    <w:rsid w:val="00676E7B"/>
    <w:rsid w:val="00676EA5"/>
    <w:rsid w:val="00677BE1"/>
    <w:rsid w:val="00680636"/>
    <w:rsid w:val="00680650"/>
    <w:rsid w:val="00680D16"/>
    <w:rsid w:val="00680D25"/>
    <w:rsid w:val="00680DFB"/>
    <w:rsid w:val="006812BA"/>
    <w:rsid w:val="00681C33"/>
    <w:rsid w:val="00682184"/>
    <w:rsid w:val="00682510"/>
    <w:rsid w:val="00684B81"/>
    <w:rsid w:val="00685283"/>
    <w:rsid w:val="0068550E"/>
    <w:rsid w:val="0068666B"/>
    <w:rsid w:val="00686705"/>
    <w:rsid w:val="00687AA9"/>
    <w:rsid w:val="0069074B"/>
    <w:rsid w:val="0069091E"/>
    <w:rsid w:val="0069239A"/>
    <w:rsid w:val="0069250A"/>
    <w:rsid w:val="00692C3F"/>
    <w:rsid w:val="00693019"/>
    <w:rsid w:val="0069335A"/>
    <w:rsid w:val="006945E1"/>
    <w:rsid w:val="00695D63"/>
    <w:rsid w:val="006967B4"/>
    <w:rsid w:val="00697CEB"/>
    <w:rsid w:val="006A03C7"/>
    <w:rsid w:val="006A0D15"/>
    <w:rsid w:val="006A1D65"/>
    <w:rsid w:val="006A241C"/>
    <w:rsid w:val="006A2D8D"/>
    <w:rsid w:val="006A2F20"/>
    <w:rsid w:val="006A2F74"/>
    <w:rsid w:val="006A4F30"/>
    <w:rsid w:val="006A6FCF"/>
    <w:rsid w:val="006B13F1"/>
    <w:rsid w:val="006B1AB3"/>
    <w:rsid w:val="006B1BC2"/>
    <w:rsid w:val="006B2754"/>
    <w:rsid w:val="006B293B"/>
    <w:rsid w:val="006B3457"/>
    <w:rsid w:val="006B48F1"/>
    <w:rsid w:val="006B495B"/>
    <w:rsid w:val="006B4B59"/>
    <w:rsid w:val="006B539D"/>
    <w:rsid w:val="006B5C68"/>
    <w:rsid w:val="006B5DAD"/>
    <w:rsid w:val="006B5DE8"/>
    <w:rsid w:val="006B600C"/>
    <w:rsid w:val="006B60E4"/>
    <w:rsid w:val="006B6120"/>
    <w:rsid w:val="006B6A74"/>
    <w:rsid w:val="006B6BC5"/>
    <w:rsid w:val="006B710A"/>
    <w:rsid w:val="006B7666"/>
    <w:rsid w:val="006B7829"/>
    <w:rsid w:val="006B7B3C"/>
    <w:rsid w:val="006B7D0F"/>
    <w:rsid w:val="006C0299"/>
    <w:rsid w:val="006C0E56"/>
    <w:rsid w:val="006C1074"/>
    <w:rsid w:val="006C11B7"/>
    <w:rsid w:val="006C16BE"/>
    <w:rsid w:val="006C196C"/>
    <w:rsid w:val="006C204F"/>
    <w:rsid w:val="006C327B"/>
    <w:rsid w:val="006C328C"/>
    <w:rsid w:val="006C45DF"/>
    <w:rsid w:val="006C5493"/>
    <w:rsid w:val="006C55DB"/>
    <w:rsid w:val="006C56EC"/>
    <w:rsid w:val="006C62AF"/>
    <w:rsid w:val="006C66A3"/>
    <w:rsid w:val="006C72C3"/>
    <w:rsid w:val="006C72D4"/>
    <w:rsid w:val="006C77DA"/>
    <w:rsid w:val="006D0DDE"/>
    <w:rsid w:val="006D2347"/>
    <w:rsid w:val="006D3198"/>
    <w:rsid w:val="006D3750"/>
    <w:rsid w:val="006D3FCD"/>
    <w:rsid w:val="006D4C04"/>
    <w:rsid w:val="006D6659"/>
    <w:rsid w:val="006D71BA"/>
    <w:rsid w:val="006D742A"/>
    <w:rsid w:val="006E0298"/>
    <w:rsid w:val="006E061A"/>
    <w:rsid w:val="006E140E"/>
    <w:rsid w:val="006E162C"/>
    <w:rsid w:val="006E2200"/>
    <w:rsid w:val="006E22D1"/>
    <w:rsid w:val="006E32DB"/>
    <w:rsid w:val="006E3320"/>
    <w:rsid w:val="006E354B"/>
    <w:rsid w:val="006E4352"/>
    <w:rsid w:val="006E5DD3"/>
    <w:rsid w:val="006E5F1F"/>
    <w:rsid w:val="006E71C6"/>
    <w:rsid w:val="006E7C52"/>
    <w:rsid w:val="006F09DF"/>
    <w:rsid w:val="006F13E5"/>
    <w:rsid w:val="006F19D5"/>
    <w:rsid w:val="006F1DB2"/>
    <w:rsid w:val="006F23EE"/>
    <w:rsid w:val="006F288F"/>
    <w:rsid w:val="006F2C88"/>
    <w:rsid w:val="006F2CD0"/>
    <w:rsid w:val="006F2FA9"/>
    <w:rsid w:val="006F3A4A"/>
    <w:rsid w:val="006F4707"/>
    <w:rsid w:val="006F4AC4"/>
    <w:rsid w:val="006F4D97"/>
    <w:rsid w:val="006F4E7A"/>
    <w:rsid w:val="006F514C"/>
    <w:rsid w:val="006F6220"/>
    <w:rsid w:val="006F6544"/>
    <w:rsid w:val="006F6F04"/>
    <w:rsid w:val="006F7AEE"/>
    <w:rsid w:val="006F7B9C"/>
    <w:rsid w:val="00700053"/>
    <w:rsid w:val="00700157"/>
    <w:rsid w:val="0070045A"/>
    <w:rsid w:val="007004AD"/>
    <w:rsid w:val="00700F35"/>
    <w:rsid w:val="00702E1F"/>
    <w:rsid w:val="007034AE"/>
    <w:rsid w:val="00703F30"/>
    <w:rsid w:val="007041EE"/>
    <w:rsid w:val="0070439F"/>
    <w:rsid w:val="00704456"/>
    <w:rsid w:val="00704D8B"/>
    <w:rsid w:val="00704D9E"/>
    <w:rsid w:val="00705695"/>
    <w:rsid w:val="00705975"/>
    <w:rsid w:val="00705DC2"/>
    <w:rsid w:val="00705E41"/>
    <w:rsid w:val="00706EA9"/>
    <w:rsid w:val="007076F0"/>
    <w:rsid w:val="00707A0D"/>
    <w:rsid w:val="00707BBD"/>
    <w:rsid w:val="007102A0"/>
    <w:rsid w:val="00710BE8"/>
    <w:rsid w:val="00710C11"/>
    <w:rsid w:val="00711965"/>
    <w:rsid w:val="00711B43"/>
    <w:rsid w:val="007120C1"/>
    <w:rsid w:val="007120CA"/>
    <w:rsid w:val="00712362"/>
    <w:rsid w:val="00712E57"/>
    <w:rsid w:val="00713131"/>
    <w:rsid w:val="00713AE7"/>
    <w:rsid w:val="00714A83"/>
    <w:rsid w:val="0071550F"/>
    <w:rsid w:val="00715C1B"/>
    <w:rsid w:val="00716265"/>
    <w:rsid w:val="007167A9"/>
    <w:rsid w:val="00716DDC"/>
    <w:rsid w:val="00717858"/>
    <w:rsid w:val="00717879"/>
    <w:rsid w:val="00717961"/>
    <w:rsid w:val="007206BA"/>
    <w:rsid w:val="00720823"/>
    <w:rsid w:val="00720F4F"/>
    <w:rsid w:val="00721107"/>
    <w:rsid w:val="00721369"/>
    <w:rsid w:val="00721CB6"/>
    <w:rsid w:val="007220A9"/>
    <w:rsid w:val="00722458"/>
    <w:rsid w:val="007224B4"/>
    <w:rsid w:val="0072277F"/>
    <w:rsid w:val="00722846"/>
    <w:rsid w:val="00723164"/>
    <w:rsid w:val="007241BE"/>
    <w:rsid w:val="00724282"/>
    <w:rsid w:val="007243AA"/>
    <w:rsid w:val="007244EC"/>
    <w:rsid w:val="00724AF3"/>
    <w:rsid w:val="00725295"/>
    <w:rsid w:val="0072597E"/>
    <w:rsid w:val="00725D45"/>
    <w:rsid w:val="00726772"/>
    <w:rsid w:val="007270BB"/>
    <w:rsid w:val="00730866"/>
    <w:rsid w:val="00730936"/>
    <w:rsid w:val="00732159"/>
    <w:rsid w:val="007332BD"/>
    <w:rsid w:val="0073543A"/>
    <w:rsid w:val="00735BA6"/>
    <w:rsid w:val="0073704D"/>
    <w:rsid w:val="00737173"/>
    <w:rsid w:val="00737400"/>
    <w:rsid w:val="0073782E"/>
    <w:rsid w:val="00737C28"/>
    <w:rsid w:val="00740A0C"/>
    <w:rsid w:val="00740B21"/>
    <w:rsid w:val="007411EF"/>
    <w:rsid w:val="00741C78"/>
    <w:rsid w:val="00741CA9"/>
    <w:rsid w:val="00742BA1"/>
    <w:rsid w:val="0074334D"/>
    <w:rsid w:val="00743367"/>
    <w:rsid w:val="00743B05"/>
    <w:rsid w:val="00743B8F"/>
    <w:rsid w:val="0074416B"/>
    <w:rsid w:val="0074431F"/>
    <w:rsid w:val="00744ECF"/>
    <w:rsid w:val="00744F98"/>
    <w:rsid w:val="007452A7"/>
    <w:rsid w:val="00745724"/>
    <w:rsid w:val="00747C4C"/>
    <w:rsid w:val="007506BC"/>
    <w:rsid w:val="00751326"/>
    <w:rsid w:val="00751E6F"/>
    <w:rsid w:val="00751F25"/>
    <w:rsid w:val="00751FE6"/>
    <w:rsid w:val="00752304"/>
    <w:rsid w:val="00752DF7"/>
    <w:rsid w:val="00752E3D"/>
    <w:rsid w:val="00753344"/>
    <w:rsid w:val="00753774"/>
    <w:rsid w:val="007548BB"/>
    <w:rsid w:val="007548CB"/>
    <w:rsid w:val="00755D28"/>
    <w:rsid w:val="0075681C"/>
    <w:rsid w:val="00756A83"/>
    <w:rsid w:val="00760819"/>
    <w:rsid w:val="00761426"/>
    <w:rsid w:val="00761787"/>
    <w:rsid w:val="0076295D"/>
    <w:rsid w:val="0076331C"/>
    <w:rsid w:val="0076428C"/>
    <w:rsid w:val="00765389"/>
    <w:rsid w:val="00765687"/>
    <w:rsid w:val="007656B5"/>
    <w:rsid w:val="00765C02"/>
    <w:rsid w:val="0076656E"/>
    <w:rsid w:val="007667A3"/>
    <w:rsid w:val="00767B08"/>
    <w:rsid w:val="007705BF"/>
    <w:rsid w:val="00770BA8"/>
    <w:rsid w:val="00771927"/>
    <w:rsid w:val="00771AC7"/>
    <w:rsid w:val="00771D5E"/>
    <w:rsid w:val="0077309E"/>
    <w:rsid w:val="007741A2"/>
    <w:rsid w:val="00775006"/>
    <w:rsid w:val="00776D80"/>
    <w:rsid w:val="00777653"/>
    <w:rsid w:val="007808F2"/>
    <w:rsid w:val="00780B3A"/>
    <w:rsid w:val="00780C94"/>
    <w:rsid w:val="007813F2"/>
    <w:rsid w:val="00781B16"/>
    <w:rsid w:val="00782679"/>
    <w:rsid w:val="00782B55"/>
    <w:rsid w:val="0078308D"/>
    <w:rsid w:val="00783682"/>
    <w:rsid w:val="00783BE6"/>
    <w:rsid w:val="007848DB"/>
    <w:rsid w:val="007849AF"/>
    <w:rsid w:val="007850E2"/>
    <w:rsid w:val="007865FB"/>
    <w:rsid w:val="007871E5"/>
    <w:rsid w:val="007875E4"/>
    <w:rsid w:val="00787825"/>
    <w:rsid w:val="0079025C"/>
    <w:rsid w:val="00790677"/>
    <w:rsid w:val="00791311"/>
    <w:rsid w:val="00791CED"/>
    <w:rsid w:val="00791E6F"/>
    <w:rsid w:val="0079210A"/>
    <w:rsid w:val="007921E4"/>
    <w:rsid w:val="00792892"/>
    <w:rsid w:val="00792C5E"/>
    <w:rsid w:val="00792C61"/>
    <w:rsid w:val="00793337"/>
    <w:rsid w:val="0079344C"/>
    <w:rsid w:val="00793AF6"/>
    <w:rsid w:val="00793D9D"/>
    <w:rsid w:val="00793FF2"/>
    <w:rsid w:val="007944FD"/>
    <w:rsid w:val="007955AA"/>
    <w:rsid w:val="00795CEE"/>
    <w:rsid w:val="00796164"/>
    <w:rsid w:val="00796568"/>
    <w:rsid w:val="007A0243"/>
    <w:rsid w:val="007A0A42"/>
    <w:rsid w:val="007A299A"/>
    <w:rsid w:val="007A2D4D"/>
    <w:rsid w:val="007A3B17"/>
    <w:rsid w:val="007A58E8"/>
    <w:rsid w:val="007A59F2"/>
    <w:rsid w:val="007A68C3"/>
    <w:rsid w:val="007A6AA8"/>
    <w:rsid w:val="007A6E11"/>
    <w:rsid w:val="007A7464"/>
    <w:rsid w:val="007A7948"/>
    <w:rsid w:val="007A7A3C"/>
    <w:rsid w:val="007B0E80"/>
    <w:rsid w:val="007B1652"/>
    <w:rsid w:val="007B1C2F"/>
    <w:rsid w:val="007B1EF8"/>
    <w:rsid w:val="007B2054"/>
    <w:rsid w:val="007B2B83"/>
    <w:rsid w:val="007B411C"/>
    <w:rsid w:val="007B4B52"/>
    <w:rsid w:val="007B5381"/>
    <w:rsid w:val="007B58C4"/>
    <w:rsid w:val="007B6C7D"/>
    <w:rsid w:val="007B6DBA"/>
    <w:rsid w:val="007B7099"/>
    <w:rsid w:val="007B7472"/>
    <w:rsid w:val="007B74F2"/>
    <w:rsid w:val="007C1140"/>
    <w:rsid w:val="007C11E4"/>
    <w:rsid w:val="007C1309"/>
    <w:rsid w:val="007C171C"/>
    <w:rsid w:val="007C1F2A"/>
    <w:rsid w:val="007C2000"/>
    <w:rsid w:val="007C24D9"/>
    <w:rsid w:val="007C3F72"/>
    <w:rsid w:val="007C424B"/>
    <w:rsid w:val="007C4427"/>
    <w:rsid w:val="007C48F3"/>
    <w:rsid w:val="007C5134"/>
    <w:rsid w:val="007C53C7"/>
    <w:rsid w:val="007C53E9"/>
    <w:rsid w:val="007C5F61"/>
    <w:rsid w:val="007D2027"/>
    <w:rsid w:val="007D27A4"/>
    <w:rsid w:val="007D3066"/>
    <w:rsid w:val="007D38C1"/>
    <w:rsid w:val="007D3EC9"/>
    <w:rsid w:val="007D5AE3"/>
    <w:rsid w:val="007D5EB4"/>
    <w:rsid w:val="007D690C"/>
    <w:rsid w:val="007D7464"/>
    <w:rsid w:val="007E0A3B"/>
    <w:rsid w:val="007E0BD5"/>
    <w:rsid w:val="007E1090"/>
    <w:rsid w:val="007E2186"/>
    <w:rsid w:val="007E2924"/>
    <w:rsid w:val="007E2ADF"/>
    <w:rsid w:val="007E32B5"/>
    <w:rsid w:val="007E3849"/>
    <w:rsid w:val="007E3E01"/>
    <w:rsid w:val="007E3E73"/>
    <w:rsid w:val="007E4428"/>
    <w:rsid w:val="007E47D0"/>
    <w:rsid w:val="007E4D31"/>
    <w:rsid w:val="007E51E3"/>
    <w:rsid w:val="007E51EB"/>
    <w:rsid w:val="007E55A0"/>
    <w:rsid w:val="007E595E"/>
    <w:rsid w:val="007E5F6E"/>
    <w:rsid w:val="007E6108"/>
    <w:rsid w:val="007E66CB"/>
    <w:rsid w:val="007E6994"/>
    <w:rsid w:val="007E6D38"/>
    <w:rsid w:val="007E70AD"/>
    <w:rsid w:val="007E7169"/>
    <w:rsid w:val="007E7B1A"/>
    <w:rsid w:val="007F062D"/>
    <w:rsid w:val="007F0A27"/>
    <w:rsid w:val="007F1827"/>
    <w:rsid w:val="007F2542"/>
    <w:rsid w:val="007F2704"/>
    <w:rsid w:val="007F2CFB"/>
    <w:rsid w:val="007F2D44"/>
    <w:rsid w:val="007F2EBD"/>
    <w:rsid w:val="007F2F78"/>
    <w:rsid w:val="007F344A"/>
    <w:rsid w:val="007F41C7"/>
    <w:rsid w:val="007F4CFA"/>
    <w:rsid w:val="007F51FC"/>
    <w:rsid w:val="007F5D32"/>
    <w:rsid w:val="007F65AE"/>
    <w:rsid w:val="007F7117"/>
    <w:rsid w:val="007F7129"/>
    <w:rsid w:val="007F7C40"/>
    <w:rsid w:val="00801955"/>
    <w:rsid w:val="00801D44"/>
    <w:rsid w:val="008026E5"/>
    <w:rsid w:val="00802960"/>
    <w:rsid w:val="00802BF1"/>
    <w:rsid w:val="008034EF"/>
    <w:rsid w:val="00803626"/>
    <w:rsid w:val="0080410B"/>
    <w:rsid w:val="00804C91"/>
    <w:rsid w:val="00805218"/>
    <w:rsid w:val="00805297"/>
    <w:rsid w:val="00806469"/>
    <w:rsid w:val="00806914"/>
    <w:rsid w:val="00806AC7"/>
    <w:rsid w:val="00807A31"/>
    <w:rsid w:val="0081056C"/>
    <w:rsid w:val="008107BB"/>
    <w:rsid w:val="0081177A"/>
    <w:rsid w:val="00811A44"/>
    <w:rsid w:val="008120AE"/>
    <w:rsid w:val="00812281"/>
    <w:rsid w:val="008139EA"/>
    <w:rsid w:val="008139F0"/>
    <w:rsid w:val="00813A79"/>
    <w:rsid w:val="00813E24"/>
    <w:rsid w:val="00814284"/>
    <w:rsid w:val="0081462D"/>
    <w:rsid w:val="00814788"/>
    <w:rsid w:val="0081592F"/>
    <w:rsid w:val="00815E32"/>
    <w:rsid w:val="00816452"/>
    <w:rsid w:val="00816E61"/>
    <w:rsid w:val="00817403"/>
    <w:rsid w:val="008209E9"/>
    <w:rsid w:val="00820A67"/>
    <w:rsid w:val="00820BB5"/>
    <w:rsid w:val="00820BD8"/>
    <w:rsid w:val="00820F37"/>
    <w:rsid w:val="00821713"/>
    <w:rsid w:val="00821A66"/>
    <w:rsid w:val="00822052"/>
    <w:rsid w:val="0082225F"/>
    <w:rsid w:val="00823F3B"/>
    <w:rsid w:val="00824179"/>
    <w:rsid w:val="008246A3"/>
    <w:rsid w:val="00824721"/>
    <w:rsid w:val="00825880"/>
    <w:rsid w:val="008262ED"/>
    <w:rsid w:val="00826855"/>
    <w:rsid w:val="00826E2A"/>
    <w:rsid w:val="0082719E"/>
    <w:rsid w:val="0082797D"/>
    <w:rsid w:val="008302F7"/>
    <w:rsid w:val="00830F21"/>
    <w:rsid w:val="00831374"/>
    <w:rsid w:val="0083183E"/>
    <w:rsid w:val="00831967"/>
    <w:rsid w:val="008329A2"/>
    <w:rsid w:val="0083302D"/>
    <w:rsid w:val="0083341B"/>
    <w:rsid w:val="00835466"/>
    <w:rsid w:val="008354BF"/>
    <w:rsid w:val="008357A7"/>
    <w:rsid w:val="0083586A"/>
    <w:rsid w:val="00835C6F"/>
    <w:rsid w:val="00835DC4"/>
    <w:rsid w:val="0083670F"/>
    <w:rsid w:val="008371BD"/>
    <w:rsid w:val="008373C0"/>
    <w:rsid w:val="00837579"/>
    <w:rsid w:val="00837AE0"/>
    <w:rsid w:val="008400D1"/>
    <w:rsid w:val="00840A8B"/>
    <w:rsid w:val="00840A9B"/>
    <w:rsid w:val="00841256"/>
    <w:rsid w:val="00841716"/>
    <w:rsid w:val="00842CA8"/>
    <w:rsid w:val="00842D3E"/>
    <w:rsid w:val="00843DCA"/>
    <w:rsid w:val="00844431"/>
    <w:rsid w:val="00844B5F"/>
    <w:rsid w:val="0084547E"/>
    <w:rsid w:val="00846031"/>
    <w:rsid w:val="00846394"/>
    <w:rsid w:val="008463B2"/>
    <w:rsid w:val="00847D5C"/>
    <w:rsid w:val="0085007F"/>
    <w:rsid w:val="0085059F"/>
    <w:rsid w:val="00850BF9"/>
    <w:rsid w:val="00850D7F"/>
    <w:rsid w:val="0085118F"/>
    <w:rsid w:val="008515C1"/>
    <w:rsid w:val="00851F28"/>
    <w:rsid w:val="008531FD"/>
    <w:rsid w:val="00853573"/>
    <w:rsid w:val="00853CA0"/>
    <w:rsid w:val="0085405A"/>
    <w:rsid w:val="008543A8"/>
    <w:rsid w:val="008549E6"/>
    <w:rsid w:val="008554D5"/>
    <w:rsid w:val="00855565"/>
    <w:rsid w:val="0085567C"/>
    <w:rsid w:val="00855B47"/>
    <w:rsid w:val="00855D23"/>
    <w:rsid w:val="0085629D"/>
    <w:rsid w:val="00856F8F"/>
    <w:rsid w:val="00860BF3"/>
    <w:rsid w:val="008615D3"/>
    <w:rsid w:val="008615FD"/>
    <w:rsid w:val="00861E5D"/>
    <w:rsid w:val="0086210F"/>
    <w:rsid w:val="00863D4F"/>
    <w:rsid w:val="0086491A"/>
    <w:rsid w:val="008651F3"/>
    <w:rsid w:val="008655DB"/>
    <w:rsid w:val="00866949"/>
    <w:rsid w:val="00871882"/>
    <w:rsid w:val="008722D7"/>
    <w:rsid w:val="0087230B"/>
    <w:rsid w:val="00872D5A"/>
    <w:rsid w:val="00872E38"/>
    <w:rsid w:val="00872F8F"/>
    <w:rsid w:val="00873412"/>
    <w:rsid w:val="00873730"/>
    <w:rsid w:val="008743B1"/>
    <w:rsid w:val="008745F7"/>
    <w:rsid w:val="00875299"/>
    <w:rsid w:val="00875627"/>
    <w:rsid w:val="0087579B"/>
    <w:rsid w:val="0087618A"/>
    <w:rsid w:val="008766D7"/>
    <w:rsid w:val="00877F3E"/>
    <w:rsid w:val="00877FA0"/>
    <w:rsid w:val="00880A2B"/>
    <w:rsid w:val="0088132B"/>
    <w:rsid w:val="00881579"/>
    <w:rsid w:val="00881D5A"/>
    <w:rsid w:val="00881D6E"/>
    <w:rsid w:val="00883BE6"/>
    <w:rsid w:val="00883C82"/>
    <w:rsid w:val="008841A5"/>
    <w:rsid w:val="0088489D"/>
    <w:rsid w:val="0088499D"/>
    <w:rsid w:val="00887616"/>
    <w:rsid w:val="008900D7"/>
    <w:rsid w:val="0089045C"/>
    <w:rsid w:val="00890CB0"/>
    <w:rsid w:val="008914F8"/>
    <w:rsid w:val="00891548"/>
    <w:rsid w:val="0089182E"/>
    <w:rsid w:val="008931E8"/>
    <w:rsid w:val="00893545"/>
    <w:rsid w:val="0089421B"/>
    <w:rsid w:val="00895C56"/>
    <w:rsid w:val="00895E92"/>
    <w:rsid w:val="00895EDE"/>
    <w:rsid w:val="0089651A"/>
    <w:rsid w:val="00896A94"/>
    <w:rsid w:val="0089791E"/>
    <w:rsid w:val="00897D52"/>
    <w:rsid w:val="008A0067"/>
    <w:rsid w:val="008A0342"/>
    <w:rsid w:val="008A082D"/>
    <w:rsid w:val="008A0BC3"/>
    <w:rsid w:val="008A0EDF"/>
    <w:rsid w:val="008A1F1D"/>
    <w:rsid w:val="008A1F77"/>
    <w:rsid w:val="008A25C3"/>
    <w:rsid w:val="008A2ED6"/>
    <w:rsid w:val="008A3529"/>
    <w:rsid w:val="008A3561"/>
    <w:rsid w:val="008A3614"/>
    <w:rsid w:val="008A46DF"/>
    <w:rsid w:val="008A4D87"/>
    <w:rsid w:val="008A5505"/>
    <w:rsid w:val="008A68D1"/>
    <w:rsid w:val="008A6FA9"/>
    <w:rsid w:val="008A766C"/>
    <w:rsid w:val="008A7D8D"/>
    <w:rsid w:val="008B00E8"/>
    <w:rsid w:val="008B031E"/>
    <w:rsid w:val="008B08A0"/>
    <w:rsid w:val="008B135F"/>
    <w:rsid w:val="008B23BD"/>
    <w:rsid w:val="008B2602"/>
    <w:rsid w:val="008B2EA0"/>
    <w:rsid w:val="008B2EB2"/>
    <w:rsid w:val="008B30BD"/>
    <w:rsid w:val="008B3DB5"/>
    <w:rsid w:val="008B46DB"/>
    <w:rsid w:val="008B4E57"/>
    <w:rsid w:val="008B5000"/>
    <w:rsid w:val="008B51F2"/>
    <w:rsid w:val="008B581B"/>
    <w:rsid w:val="008B5FEC"/>
    <w:rsid w:val="008B640F"/>
    <w:rsid w:val="008B6D39"/>
    <w:rsid w:val="008B76AC"/>
    <w:rsid w:val="008B7E28"/>
    <w:rsid w:val="008C026D"/>
    <w:rsid w:val="008C0470"/>
    <w:rsid w:val="008C0794"/>
    <w:rsid w:val="008C1250"/>
    <w:rsid w:val="008C1616"/>
    <w:rsid w:val="008C252F"/>
    <w:rsid w:val="008C2631"/>
    <w:rsid w:val="008C2E1D"/>
    <w:rsid w:val="008C43EB"/>
    <w:rsid w:val="008C517A"/>
    <w:rsid w:val="008D017C"/>
    <w:rsid w:val="008D198D"/>
    <w:rsid w:val="008D1A9E"/>
    <w:rsid w:val="008D1EAA"/>
    <w:rsid w:val="008D2152"/>
    <w:rsid w:val="008D35A4"/>
    <w:rsid w:val="008D39A1"/>
    <w:rsid w:val="008D6345"/>
    <w:rsid w:val="008D6B6A"/>
    <w:rsid w:val="008D7085"/>
    <w:rsid w:val="008D73DB"/>
    <w:rsid w:val="008D78FD"/>
    <w:rsid w:val="008E1341"/>
    <w:rsid w:val="008E167D"/>
    <w:rsid w:val="008E1B79"/>
    <w:rsid w:val="008E2060"/>
    <w:rsid w:val="008E2572"/>
    <w:rsid w:val="008E25F3"/>
    <w:rsid w:val="008E28BD"/>
    <w:rsid w:val="008E317E"/>
    <w:rsid w:val="008E37D8"/>
    <w:rsid w:val="008E3D36"/>
    <w:rsid w:val="008E491A"/>
    <w:rsid w:val="008E6186"/>
    <w:rsid w:val="008E627A"/>
    <w:rsid w:val="008E7621"/>
    <w:rsid w:val="008E7E48"/>
    <w:rsid w:val="008E7F30"/>
    <w:rsid w:val="008F162B"/>
    <w:rsid w:val="008F2212"/>
    <w:rsid w:val="008F28C2"/>
    <w:rsid w:val="008F2AB0"/>
    <w:rsid w:val="008F2D84"/>
    <w:rsid w:val="008F4759"/>
    <w:rsid w:val="008F5413"/>
    <w:rsid w:val="008F5AFD"/>
    <w:rsid w:val="008F5C0A"/>
    <w:rsid w:val="008F5D7F"/>
    <w:rsid w:val="008F5E6D"/>
    <w:rsid w:val="008F63D6"/>
    <w:rsid w:val="008F662A"/>
    <w:rsid w:val="008F722B"/>
    <w:rsid w:val="008F74DB"/>
    <w:rsid w:val="008F754C"/>
    <w:rsid w:val="008F79BB"/>
    <w:rsid w:val="008F7F9D"/>
    <w:rsid w:val="008F7FCF"/>
    <w:rsid w:val="0090039C"/>
    <w:rsid w:val="00900DBD"/>
    <w:rsid w:val="009015FC"/>
    <w:rsid w:val="0090164B"/>
    <w:rsid w:val="00901A28"/>
    <w:rsid w:val="0090211B"/>
    <w:rsid w:val="00902F59"/>
    <w:rsid w:val="00903954"/>
    <w:rsid w:val="00903D77"/>
    <w:rsid w:val="009045F7"/>
    <w:rsid w:val="009047B3"/>
    <w:rsid w:val="009052E5"/>
    <w:rsid w:val="00905302"/>
    <w:rsid w:val="009053F5"/>
    <w:rsid w:val="00905C15"/>
    <w:rsid w:val="00906236"/>
    <w:rsid w:val="00906891"/>
    <w:rsid w:val="0090690F"/>
    <w:rsid w:val="00907253"/>
    <w:rsid w:val="009077B3"/>
    <w:rsid w:val="00907A38"/>
    <w:rsid w:val="00907F1A"/>
    <w:rsid w:val="00910668"/>
    <w:rsid w:val="00910B29"/>
    <w:rsid w:val="00910B2B"/>
    <w:rsid w:val="00911CEC"/>
    <w:rsid w:val="00912BFD"/>
    <w:rsid w:val="00913365"/>
    <w:rsid w:val="00913651"/>
    <w:rsid w:val="00913B0F"/>
    <w:rsid w:val="00913CF7"/>
    <w:rsid w:val="009150B7"/>
    <w:rsid w:val="00915A08"/>
    <w:rsid w:val="00915E5C"/>
    <w:rsid w:val="009160DC"/>
    <w:rsid w:val="0091685D"/>
    <w:rsid w:val="0091713E"/>
    <w:rsid w:val="00917772"/>
    <w:rsid w:val="00917ED5"/>
    <w:rsid w:val="00920EDB"/>
    <w:rsid w:val="00921BA7"/>
    <w:rsid w:val="009225C4"/>
    <w:rsid w:val="00922E02"/>
    <w:rsid w:val="0092326C"/>
    <w:rsid w:val="009232CD"/>
    <w:rsid w:val="00923657"/>
    <w:rsid w:val="00923B54"/>
    <w:rsid w:val="00924204"/>
    <w:rsid w:val="0092533E"/>
    <w:rsid w:val="00925B86"/>
    <w:rsid w:val="00925F37"/>
    <w:rsid w:val="009264D8"/>
    <w:rsid w:val="00926E76"/>
    <w:rsid w:val="00927EE5"/>
    <w:rsid w:val="00930426"/>
    <w:rsid w:val="009304E9"/>
    <w:rsid w:val="00930A2C"/>
    <w:rsid w:val="00931359"/>
    <w:rsid w:val="00931964"/>
    <w:rsid w:val="00931AA0"/>
    <w:rsid w:val="00931BBB"/>
    <w:rsid w:val="00931FC6"/>
    <w:rsid w:val="00932CD4"/>
    <w:rsid w:val="0093363F"/>
    <w:rsid w:val="0093484A"/>
    <w:rsid w:val="00934A9B"/>
    <w:rsid w:val="00934C36"/>
    <w:rsid w:val="009358DC"/>
    <w:rsid w:val="00935F95"/>
    <w:rsid w:val="00935FF2"/>
    <w:rsid w:val="00936E03"/>
    <w:rsid w:val="00937493"/>
    <w:rsid w:val="00940F10"/>
    <w:rsid w:val="0094107A"/>
    <w:rsid w:val="00942327"/>
    <w:rsid w:val="00943E22"/>
    <w:rsid w:val="009454B9"/>
    <w:rsid w:val="0094580C"/>
    <w:rsid w:val="009469C8"/>
    <w:rsid w:val="009479F4"/>
    <w:rsid w:val="00947B60"/>
    <w:rsid w:val="00947DF6"/>
    <w:rsid w:val="00950560"/>
    <w:rsid w:val="00950BF2"/>
    <w:rsid w:val="00951788"/>
    <w:rsid w:val="009526AF"/>
    <w:rsid w:val="009531B5"/>
    <w:rsid w:val="009546D4"/>
    <w:rsid w:val="00954DB6"/>
    <w:rsid w:val="00954E57"/>
    <w:rsid w:val="0095554F"/>
    <w:rsid w:val="00955FB0"/>
    <w:rsid w:val="00956009"/>
    <w:rsid w:val="00956A26"/>
    <w:rsid w:val="00956FCF"/>
    <w:rsid w:val="009576F4"/>
    <w:rsid w:val="00960032"/>
    <w:rsid w:val="0096082A"/>
    <w:rsid w:val="00960EA9"/>
    <w:rsid w:val="00961498"/>
    <w:rsid w:val="00961920"/>
    <w:rsid w:val="00961A4C"/>
    <w:rsid w:val="00962A8A"/>
    <w:rsid w:val="009631B6"/>
    <w:rsid w:val="00963545"/>
    <w:rsid w:val="009635C7"/>
    <w:rsid w:val="0096424F"/>
    <w:rsid w:val="00964769"/>
    <w:rsid w:val="00964B88"/>
    <w:rsid w:val="00965473"/>
    <w:rsid w:val="00965FC3"/>
    <w:rsid w:val="00966CC5"/>
    <w:rsid w:val="00967127"/>
    <w:rsid w:val="009672ED"/>
    <w:rsid w:val="00967400"/>
    <w:rsid w:val="009674B6"/>
    <w:rsid w:val="00967761"/>
    <w:rsid w:val="00967E85"/>
    <w:rsid w:val="00970AF3"/>
    <w:rsid w:val="0097116F"/>
    <w:rsid w:val="00972384"/>
    <w:rsid w:val="009724EE"/>
    <w:rsid w:val="00972CFD"/>
    <w:rsid w:val="00973104"/>
    <w:rsid w:val="00974BBD"/>
    <w:rsid w:val="0097535A"/>
    <w:rsid w:val="00976573"/>
    <w:rsid w:val="00976617"/>
    <w:rsid w:val="0097691E"/>
    <w:rsid w:val="00976A90"/>
    <w:rsid w:val="00976F1C"/>
    <w:rsid w:val="00976FAE"/>
    <w:rsid w:val="00977A44"/>
    <w:rsid w:val="00977FB1"/>
    <w:rsid w:val="00977FBE"/>
    <w:rsid w:val="00980800"/>
    <w:rsid w:val="00980A86"/>
    <w:rsid w:val="009813D4"/>
    <w:rsid w:val="0098153D"/>
    <w:rsid w:val="00981AB6"/>
    <w:rsid w:val="00981F53"/>
    <w:rsid w:val="00982906"/>
    <w:rsid w:val="0098342A"/>
    <w:rsid w:val="00983F61"/>
    <w:rsid w:val="00984686"/>
    <w:rsid w:val="00985AC0"/>
    <w:rsid w:val="00985DBA"/>
    <w:rsid w:val="0098666D"/>
    <w:rsid w:val="0098699F"/>
    <w:rsid w:val="00987382"/>
    <w:rsid w:val="00987A85"/>
    <w:rsid w:val="00990289"/>
    <w:rsid w:val="0099094E"/>
    <w:rsid w:val="00991860"/>
    <w:rsid w:val="00991CAB"/>
    <w:rsid w:val="00991DCB"/>
    <w:rsid w:val="00991DDE"/>
    <w:rsid w:val="00993117"/>
    <w:rsid w:val="009938B4"/>
    <w:rsid w:val="00993C91"/>
    <w:rsid w:val="009949CA"/>
    <w:rsid w:val="00995067"/>
    <w:rsid w:val="00995709"/>
    <w:rsid w:val="009958CD"/>
    <w:rsid w:val="0099608B"/>
    <w:rsid w:val="00997336"/>
    <w:rsid w:val="0099736D"/>
    <w:rsid w:val="00997E2F"/>
    <w:rsid w:val="00997F1E"/>
    <w:rsid w:val="009A040C"/>
    <w:rsid w:val="009A05AD"/>
    <w:rsid w:val="009A114D"/>
    <w:rsid w:val="009A156E"/>
    <w:rsid w:val="009A1597"/>
    <w:rsid w:val="009A1684"/>
    <w:rsid w:val="009A2B90"/>
    <w:rsid w:val="009A33C4"/>
    <w:rsid w:val="009A41B9"/>
    <w:rsid w:val="009A4ACC"/>
    <w:rsid w:val="009A4C26"/>
    <w:rsid w:val="009A5123"/>
    <w:rsid w:val="009A55BE"/>
    <w:rsid w:val="009A5C8D"/>
    <w:rsid w:val="009A6680"/>
    <w:rsid w:val="009A72F2"/>
    <w:rsid w:val="009A73B2"/>
    <w:rsid w:val="009A7C82"/>
    <w:rsid w:val="009B0B4A"/>
    <w:rsid w:val="009B0EFE"/>
    <w:rsid w:val="009B0FF1"/>
    <w:rsid w:val="009B1DFA"/>
    <w:rsid w:val="009B200D"/>
    <w:rsid w:val="009B200F"/>
    <w:rsid w:val="009B22FE"/>
    <w:rsid w:val="009B2B6B"/>
    <w:rsid w:val="009B2C4C"/>
    <w:rsid w:val="009B3640"/>
    <w:rsid w:val="009B4B0E"/>
    <w:rsid w:val="009B4D29"/>
    <w:rsid w:val="009B559F"/>
    <w:rsid w:val="009B56A1"/>
    <w:rsid w:val="009B5874"/>
    <w:rsid w:val="009B6420"/>
    <w:rsid w:val="009B79A2"/>
    <w:rsid w:val="009C0921"/>
    <w:rsid w:val="009C17CB"/>
    <w:rsid w:val="009C21FF"/>
    <w:rsid w:val="009C24DF"/>
    <w:rsid w:val="009C2646"/>
    <w:rsid w:val="009C2D71"/>
    <w:rsid w:val="009C472E"/>
    <w:rsid w:val="009C6422"/>
    <w:rsid w:val="009C682C"/>
    <w:rsid w:val="009D080C"/>
    <w:rsid w:val="009D095B"/>
    <w:rsid w:val="009D1408"/>
    <w:rsid w:val="009D1733"/>
    <w:rsid w:val="009D1F5C"/>
    <w:rsid w:val="009D3942"/>
    <w:rsid w:val="009D39DA"/>
    <w:rsid w:val="009D41A1"/>
    <w:rsid w:val="009D51FF"/>
    <w:rsid w:val="009D52A1"/>
    <w:rsid w:val="009D55F7"/>
    <w:rsid w:val="009D5BFE"/>
    <w:rsid w:val="009D6E7B"/>
    <w:rsid w:val="009E01C0"/>
    <w:rsid w:val="009E020A"/>
    <w:rsid w:val="009E02A3"/>
    <w:rsid w:val="009E0414"/>
    <w:rsid w:val="009E0E00"/>
    <w:rsid w:val="009E102F"/>
    <w:rsid w:val="009E1304"/>
    <w:rsid w:val="009E130A"/>
    <w:rsid w:val="009E145D"/>
    <w:rsid w:val="009E14C1"/>
    <w:rsid w:val="009E15B2"/>
    <w:rsid w:val="009E16D2"/>
    <w:rsid w:val="009E1A2A"/>
    <w:rsid w:val="009E1AF6"/>
    <w:rsid w:val="009E23E1"/>
    <w:rsid w:val="009E2468"/>
    <w:rsid w:val="009E2860"/>
    <w:rsid w:val="009E2D09"/>
    <w:rsid w:val="009E2D63"/>
    <w:rsid w:val="009E37D1"/>
    <w:rsid w:val="009E3D85"/>
    <w:rsid w:val="009E3F2D"/>
    <w:rsid w:val="009E3F8F"/>
    <w:rsid w:val="009E4246"/>
    <w:rsid w:val="009E4DF3"/>
    <w:rsid w:val="009E558B"/>
    <w:rsid w:val="009E6484"/>
    <w:rsid w:val="009E6691"/>
    <w:rsid w:val="009E674D"/>
    <w:rsid w:val="009E6B0C"/>
    <w:rsid w:val="009E72B1"/>
    <w:rsid w:val="009E72EC"/>
    <w:rsid w:val="009E7906"/>
    <w:rsid w:val="009F06FD"/>
    <w:rsid w:val="009F08A1"/>
    <w:rsid w:val="009F0E88"/>
    <w:rsid w:val="009F10E3"/>
    <w:rsid w:val="009F157E"/>
    <w:rsid w:val="009F1982"/>
    <w:rsid w:val="009F1CCC"/>
    <w:rsid w:val="009F1ED9"/>
    <w:rsid w:val="009F2285"/>
    <w:rsid w:val="009F3E0B"/>
    <w:rsid w:val="009F4C6C"/>
    <w:rsid w:val="009F4F06"/>
    <w:rsid w:val="009F58A3"/>
    <w:rsid w:val="009F6202"/>
    <w:rsid w:val="009F6245"/>
    <w:rsid w:val="009F701D"/>
    <w:rsid w:val="009F7FCA"/>
    <w:rsid w:val="00A0007F"/>
    <w:rsid w:val="00A004B8"/>
    <w:rsid w:val="00A00667"/>
    <w:rsid w:val="00A0085E"/>
    <w:rsid w:val="00A00FC6"/>
    <w:rsid w:val="00A0176A"/>
    <w:rsid w:val="00A02305"/>
    <w:rsid w:val="00A0306A"/>
    <w:rsid w:val="00A031B5"/>
    <w:rsid w:val="00A0500F"/>
    <w:rsid w:val="00A05436"/>
    <w:rsid w:val="00A062C6"/>
    <w:rsid w:val="00A06480"/>
    <w:rsid w:val="00A06722"/>
    <w:rsid w:val="00A06776"/>
    <w:rsid w:val="00A06D14"/>
    <w:rsid w:val="00A06F78"/>
    <w:rsid w:val="00A070CA"/>
    <w:rsid w:val="00A078EC"/>
    <w:rsid w:val="00A07EA5"/>
    <w:rsid w:val="00A07F4C"/>
    <w:rsid w:val="00A11BB7"/>
    <w:rsid w:val="00A1200C"/>
    <w:rsid w:val="00A12104"/>
    <w:rsid w:val="00A12AA8"/>
    <w:rsid w:val="00A14017"/>
    <w:rsid w:val="00A14195"/>
    <w:rsid w:val="00A14683"/>
    <w:rsid w:val="00A14A9E"/>
    <w:rsid w:val="00A14BE4"/>
    <w:rsid w:val="00A15675"/>
    <w:rsid w:val="00A16354"/>
    <w:rsid w:val="00A17060"/>
    <w:rsid w:val="00A17F66"/>
    <w:rsid w:val="00A2077C"/>
    <w:rsid w:val="00A20823"/>
    <w:rsid w:val="00A20CDC"/>
    <w:rsid w:val="00A21138"/>
    <w:rsid w:val="00A2157D"/>
    <w:rsid w:val="00A21B40"/>
    <w:rsid w:val="00A2204E"/>
    <w:rsid w:val="00A2205B"/>
    <w:rsid w:val="00A22438"/>
    <w:rsid w:val="00A22914"/>
    <w:rsid w:val="00A2379B"/>
    <w:rsid w:val="00A2383C"/>
    <w:rsid w:val="00A24188"/>
    <w:rsid w:val="00A241AF"/>
    <w:rsid w:val="00A24A23"/>
    <w:rsid w:val="00A251C9"/>
    <w:rsid w:val="00A2564D"/>
    <w:rsid w:val="00A2578A"/>
    <w:rsid w:val="00A25D00"/>
    <w:rsid w:val="00A26A69"/>
    <w:rsid w:val="00A274C3"/>
    <w:rsid w:val="00A27732"/>
    <w:rsid w:val="00A278FD"/>
    <w:rsid w:val="00A30F29"/>
    <w:rsid w:val="00A311DB"/>
    <w:rsid w:val="00A31391"/>
    <w:rsid w:val="00A31BBC"/>
    <w:rsid w:val="00A31CCE"/>
    <w:rsid w:val="00A32269"/>
    <w:rsid w:val="00A3343D"/>
    <w:rsid w:val="00A3410D"/>
    <w:rsid w:val="00A345CF"/>
    <w:rsid w:val="00A34A0D"/>
    <w:rsid w:val="00A34C91"/>
    <w:rsid w:val="00A350FC"/>
    <w:rsid w:val="00A35AB2"/>
    <w:rsid w:val="00A35FE7"/>
    <w:rsid w:val="00A369FC"/>
    <w:rsid w:val="00A371FB"/>
    <w:rsid w:val="00A37409"/>
    <w:rsid w:val="00A40B8F"/>
    <w:rsid w:val="00A40E8F"/>
    <w:rsid w:val="00A412DD"/>
    <w:rsid w:val="00A41879"/>
    <w:rsid w:val="00A42FED"/>
    <w:rsid w:val="00A43835"/>
    <w:rsid w:val="00A43DF4"/>
    <w:rsid w:val="00A43E93"/>
    <w:rsid w:val="00A440BA"/>
    <w:rsid w:val="00A442B8"/>
    <w:rsid w:val="00A44B7C"/>
    <w:rsid w:val="00A452FD"/>
    <w:rsid w:val="00A46158"/>
    <w:rsid w:val="00A50192"/>
    <w:rsid w:val="00A50E07"/>
    <w:rsid w:val="00A51D02"/>
    <w:rsid w:val="00A51EF8"/>
    <w:rsid w:val="00A5250B"/>
    <w:rsid w:val="00A5275A"/>
    <w:rsid w:val="00A53101"/>
    <w:rsid w:val="00A534EC"/>
    <w:rsid w:val="00A53DEA"/>
    <w:rsid w:val="00A54008"/>
    <w:rsid w:val="00A546CC"/>
    <w:rsid w:val="00A54FCD"/>
    <w:rsid w:val="00A5511C"/>
    <w:rsid w:val="00A561D8"/>
    <w:rsid w:val="00A563FA"/>
    <w:rsid w:val="00A57366"/>
    <w:rsid w:val="00A57C20"/>
    <w:rsid w:val="00A6005D"/>
    <w:rsid w:val="00A608E6"/>
    <w:rsid w:val="00A60E0F"/>
    <w:rsid w:val="00A6236A"/>
    <w:rsid w:val="00A63304"/>
    <w:rsid w:val="00A63CC1"/>
    <w:rsid w:val="00A6402A"/>
    <w:rsid w:val="00A647D0"/>
    <w:rsid w:val="00A64EA7"/>
    <w:rsid w:val="00A660EA"/>
    <w:rsid w:val="00A66533"/>
    <w:rsid w:val="00A6678D"/>
    <w:rsid w:val="00A70068"/>
    <w:rsid w:val="00A70659"/>
    <w:rsid w:val="00A720FF"/>
    <w:rsid w:val="00A72365"/>
    <w:rsid w:val="00A7238C"/>
    <w:rsid w:val="00A72F4A"/>
    <w:rsid w:val="00A73067"/>
    <w:rsid w:val="00A7441C"/>
    <w:rsid w:val="00A74435"/>
    <w:rsid w:val="00A74700"/>
    <w:rsid w:val="00A749AA"/>
    <w:rsid w:val="00A74DB4"/>
    <w:rsid w:val="00A755D6"/>
    <w:rsid w:val="00A75BBA"/>
    <w:rsid w:val="00A75C51"/>
    <w:rsid w:val="00A76DB6"/>
    <w:rsid w:val="00A81455"/>
    <w:rsid w:val="00A81588"/>
    <w:rsid w:val="00A8170E"/>
    <w:rsid w:val="00A81DDB"/>
    <w:rsid w:val="00A82ED1"/>
    <w:rsid w:val="00A83E80"/>
    <w:rsid w:val="00A84CEF"/>
    <w:rsid w:val="00A85B8C"/>
    <w:rsid w:val="00A86AFA"/>
    <w:rsid w:val="00A87351"/>
    <w:rsid w:val="00A90196"/>
    <w:rsid w:val="00A904C0"/>
    <w:rsid w:val="00A90966"/>
    <w:rsid w:val="00A90B5F"/>
    <w:rsid w:val="00A90D2B"/>
    <w:rsid w:val="00A9127E"/>
    <w:rsid w:val="00A91F8A"/>
    <w:rsid w:val="00A92D78"/>
    <w:rsid w:val="00A94CA5"/>
    <w:rsid w:val="00A94D08"/>
    <w:rsid w:val="00A94D27"/>
    <w:rsid w:val="00A94D29"/>
    <w:rsid w:val="00A94DA2"/>
    <w:rsid w:val="00A9519E"/>
    <w:rsid w:val="00A9554E"/>
    <w:rsid w:val="00A957D0"/>
    <w:rsid w:val="00A95939"/>
    <w:rsid w:val="00A96C8B"/>
    <w:rsid w:val="00A96E7B"/>
    <w:rsid w:val="00A97114"/>
    <w:rsid w:val="00AA0069"/>
    <w:rsid w:val="00AA00F3"/>
    <w:rsid w:val="00AA0160"/>
    <w:rsid w:val="00AA07BF"/>
    <w:rsid w:val="00AA166F"/>
    <w:rsid w:val="00AA3EC8"/>
    <w:rsid w:val="00AA409B"/>
    <w:rsid w:val="00AA44A1"/>
    <w:rsid w:val="00AA44BD"/>
    <w:rsid w:val="00AA45BC"/>
    <w:rsid w:val="00AA47BB"/>
    <w:rsid w:val="00AA4F91"/>
    <w:rsid w:val="00AA53FC"/>
    <w:rsid w:val="00AA57DA"/>
    <w:rsid w:val="00AA5CAF"/>
    <w:rsid w:val="00AA6E2C"/>
    <w:rsid w:val="00AA7FC3"/>
    <w:rsid w:val="00AB07F1"/>
    <w:rsid w:val="00AB0CA9"/>
    <w:rsid w:val="00AB11B4"/>
    <w:rsid w:val="00AB2EDC"/>
    <w:rsid w:val="00AB4E0C"/>
    <w:rsid w:val="00AB4EDD"/>
    <w:rsid w:val="00AB6A87"/>
    <w:rsid w:val="00AB6B49"/>
    <w:rsid w:val="00AB7D05"/>
    <w:rsid w:val="00AC056C"/>
    <w:rsid w:val="00AC0AB7"/>
    <w:rsid w:val="00AC1838"/>
    <w:rsid w:val="00AC1BC2"/>
    <w:rsid w:val="00AC213C"/>
    <w:rsid w:val="00AC2B30"/>
    <w:rsid w:val="00AC3279"/>
    <w:rsid w:val="00AC32E5"/>
    <w:rsid w:val="00AC424E"/>
    <w:rsid w:val="00AC492C"/>
    <w:rsid w:val="00AC58E8"/>
    <w:rsid w:val="00AC732A"/>
    <w:rsid w:val="00AC7B4F"/>
    <w:rsid w:val="00AC7C13"/>
    <w:rsid w:val="00AC7F45"/>
    <w:rsid w:val="00AD053B"/>
    <w:rsid w:val="00AD0C64"/>
    <w:rsid w:val="00AD0C83"/>
    <w:rsid w:val="00AD1BD0"/>
    <w:rsid w:val="00AD233F"/>
    <w:rsid w:val="00AD2474"/>
    <w:rsid w:val="00AD2881"/>
    <w:rsid w:val="00AD38B5"/>
    <w:rsid w:val="00AD3E59"/>
    <w:rsid w:val="00AD3E87"/>
    <w:rsid w:val="00AD473B"/>
    <w:rsid w:val="00AD4ACA"/>
    <w:rsid w:val="00AD4D18"/>
    <w:rsid w:val="00AD5AFC"/>
    <w:rsid w:val="00AD5CF2"/>
    <w:rsid w:val="00AD63E4"/>
    <w:rsid w:val="00AD6415"/>
    <w:rsid w:val="00AD67E0"/>
    <w:rsid w:val="00AD718D"/>
    <w:rsid w:val="00AD7546"/>
    <w:rsid w:val="00AD7A75"/>
    <w:rsid w:val="00AE0335"/>
    <w:rsid w:val="00AE0744"/>
    <w:rsid w:val="00AE11BC"/>
    <w:rsid w:val="00AE1CC6"/>
    <w:rsid w:val="00AE3A16"/>
    <w:rsid w:val="00AE3B26"/>
    <w:rsid w:val="00AE48DA"/>
    <w:rsid w:val="00AE4DFE"/>
    <w:rsid w:val="00AE512B"/>
    <w:rsid w:val="00AE576E"/>
    <w:rsid w:val="00AE5B5E"/>
    <w:rsid w:val="00AE5C10"/>
    <w:rsid w:val="00AE5F30"/>
    <w:rsid w:val="00AE6589"/>
    <w:rsid w:val="00AE6BEB"/>
    <w:rsid w:val="00AE6DBD"/>
    <w:rsid w:val="00AE6F8E"/>
    <w:rsid w:val="00AE77FB"/>
    <w:rsid w:val="00AE7EBD"/>
    <w:rsid w:val="00AF08A3"/>
    <w:rsid w:val="00AF13DA"/>
    <w:rsid w:val="00AF1977"/>
    <w:rsid w:val="00AF1E5E"/>
    <w:rsid w:val="00AF24F6"/>
    <w:rsid w:val="00AF3478"/>
    <w:rsid w:val="00AF38D3"/>
    <w:rsid w:val="00AF443B"/>
    <w:rsid w:val="00AF461C"/>
    <w:rsid w:val="00AF5176"/>
    <w:rsid w:val="00AF5222"/>
    <w:rsid w:val="00AF5F52"/>
    <w:rsid w:val="00AF63E2"/>
    <w:rsid w:val="00AF6C12"/>
    <w:rsid w:val="00AF6D07"/>
    <w:rsid w:val="00AF7A11"/>
    <w:rsid w:val="00AF7BE1"/>
    <w:rsid w:val="00B00319"/>
    <w:rsid w:val="00B0127B"/>
    <w:rsid w:val="00B01D96"/>
    <w:rsid w:val="00B0214C"/>
    <w:rsid w:val="00B022A8"/>
    <w:rsid w:val="00B0260F"/>
    <w:rsid w:val="00B03C01"/>
    <w:rsid w:val="00B03F90"/>
    <w:rsid w:val="00B04F21"/>
    <w:rsid w:val="00B05092"/>
    <w:rsid w:val="00B0553A"/>
    <w:rsid w:val="00B06147"/>
    <w:rsid w:val="00B062B0"/>
    <w:rsid w:val="00B06906"/>
    <w:rsid w:val="00B06917"/>
    <w:rsid w:val="00B07504"/>
    <w:rsid w:val="00B1089F"/>
    <w:rsid w:val="00B10A66"/>
    <w:rsid w:val="00B110B4"/>
    <w:rsid w:val="00B111F0"/>
    <w:rsid w:val="00B11E0E"/>
    <w:rsid w:val="00B11E9D"/>
    <w:rsid w:val="00B11EA7"/>
    <w:rsid w:val="00B1255C"/>
    <w:rsid w:val="00B126A5"/>
    <w:rsid w:val="00B12ADD"/>
    <w:rsid w:val="00B14690"/>
    <w:rsid w:val="00B15E8A"/>
    <w:rsid w:val="00B15ED4"/>
    <w:rsid w:val="00B1620D"/>
    <w:rsid w:val="00B1660B"/>
    <w:rsid w:val="00B16636"/>
    <w:rsid w:val="00B16B2C"/>
    <w:rsid w:val="00B16D33"/>
    <w:rsid w:val="00B17C34"/>
    <w:rsid w:val="00B20169"/>
    <w:rsid w:val="00B2058A"/>
    <w:rsid w:val="00B206A5"/>
    <w:rsid w:val="00B2073D"/>
    <w:rsid w:val="00B20815"/>
    <w:rsid w:val="00B209DA"/>
    <w:rsid w:val="00B20F67"/>
    <w:rsid w:val="00B21326"/>
    <w:rsid w:val="00B214C7"/>
    <w:rsid w:val="00B21B7F"/>
    <w:rsid w:val="00B22B84"/>
    <w:rsid w:val="00B23446"/>
    <w:rsid w:val="00B239E5"/>
    <w:rsid w:val="00B248AC"/>
    <w:rsid w:val="00B24A8D"/>
    <w:rsid w:val="00B24E89"/>
    <w:rsid w:val="00B25967"/>
    <w:rsid w:val="00B268DD"/>
    <w:rsid w:val="00B26FB5"/>
    <w:rsid w:val="00B271A5"/>
    <w:rsid w:val="00B27C32"/>
    <w:rsid w:val="00B27EFC"/>
    <w:rsid w:val="00B306F5"/>
    <w:rsid w:val="00B31A1E"/>
    <w:rsid w:val="00B31F44"/>
    <w:rsid w:val="00B323B5"/>
    <w:rsid w:val="00B329B4"/>
    <w:rsid w:val="00B332E3"/>
    <w:rsid w:val="00B333AA"/>
    <w:rsid w:val="00B3360C"/>
    <w:rsid w:val="00B33AFD"/>
    <w:rsid w:val="00B349C5"/>
    <w:rsid w:val="00B34E13"/>
    <w:rsid w:val="00B35C21"/>
    <w:rsid w:val="00B36A93"/>
    <w:rsid w:val="00B376E0"/>
    <w:rsid w:val="00B37912"/>
    <w:rsid w:val="00B40847"/>
    <w:rsid w:val="00B40DEB"/>
    <w:rsid w:val="00B41340"/>
    <w:rsid w:val="00B431D6"/>
    <w:rsid w:val="00B4388B"/>
    <w:rsid w:val="00B43DE6"/>
    <w:rsid w:val="00B43E64"/>
    <w:rsid w:val="00B449C0"/>
    <w:rsid w:val="00B44DF7"/>
    <w:rsid w:val="00B44F35"/>
    <w:rsid w:val="00B45737"/>
    <w:rsid w:val="00B461A0"/>
    <w:rsid w:val="00B46255"/>
    <w:rsid w:val="00B4702F"/>
    <w:rsid w:val="00B470F2"/>
    <w:rsid w:val="00B4729D"/>
    <w:rsid w:val="00B47BD2"/>
    <w:rsid w:val="00B47D2B"/>
    <w:rsid w:val="00B47DBE"/>
    <w:rsid w:val="00B507FF"/>
    <w:rsid w:val="00B51096"/>
    <w:rsid w:val="00B51A19"/>
    <w:rsid w:val="00B521BF"/>
    <w:rsid w:val="00B52339"/>
    <w:rsid w:val="00B52494"/>
    <w:rsid w:val="00B52E30"/>
    <w:rsid w:val="00B53349"/>
    <w:rsid w:val="00B53476"/>
    <w:rsid w:val="00B536E9"/>
    <w:rsid w:val="00B53DD8"/>
    <w:rsid w:val="00B54738"/>
    <w:rsid w:val="00B553AC"/>
    <w:rsid w:val="00B557BB"/>
    <w:rsid w:val="00B559B5"/>
    <w:rsid w:val="00B560F8"/>
    <w:rsid w:val="00B563E3"/>
    <w:rsid w:val="00B56465"/>
    <w:rsid w:val="00B56A76"/>
    <w:rsid w:val="00B56FFE"/>
    <w:rsid w:val="00B60684"/>
    <w:rsid w:val="00B61F6B"/>
    <w:rsid w:val="00B623A6"/>
    <w:rsid w:val="00B62DE8"/>
    <w:rsid w:val="00B63339"/>
    <w:rsid w:val="00B637A4"/>
    <w:rsid w:val="00B6404D"/>
    <w:rsid w:val="00B6408A"/>
    <w:rsid w:val="00B64F4A"/>
    <w:rsid w:val="00B65F54"/>
    <w:rsid w:val="00B668F5"/>
    <w:rsid w:val="00B707F5"/>
    <w:rsid w:val="00B70973"/>
    <w:rsid w:val="00B70E0D"/>
    <w:rsid w:val="00B7176B"/>
    <w:rsid w:val="00B71FFA"/>
    <w:rsid w:val="00B72686"/>
    <w:rsid w:val="00B73A1C"/>
    <w:rsid w:val="00B73D26"/>
    <w:rsid w:val="00B746B2"/>
    <w:rsid w:val="00B74D2B"/>
    <w:rsid w:val="00B7534A"/>
    <w:rsid w:val="00B75625"/>
    <w:rsid w:val="00B75B5D"/>
    <w:rsid w:val="00B762E2"/>
    <w:rsid w:val="00B76E21"/>
    <w:rsid w:val="00B80256"/>
    <w:rsid w:val="00B8042B"/>
    <w:rsid w:val="00B8173B"/>
    <w:rsid w:val="00B82361"/>
    <w:rsid w:val="00B82A4A"/>
    <w:rsid w:val="00B82C7A"/>
    <w:rsid w:val="00B8353E"/>
    <w:rsid w:val="00B84154"/>
    <w:rsid w:val="00B84EC9"/>
    <w:rsid w:val="00B8528D"/>
    <w:rsid w:val="00B8564B"/>
    <w:rsid w:val="00B85DDC"/>
    <w:rsid w:val="00B86A93"/>
    <w:rsid w:val="00B86E6C"/>
    <w:rsid w:val="00B874A7"/>
    <w:rsid w:val="00B90747"/>
    <w:rsid w:val="00B90ADE"/>
    <w:rsid w:val="00B91853"/>
    <w:rsid w:val="00B91FEF"/>
    <w:rsid w:val="00B94681"/>
    <w:rsid w:val="00B94B37"/>
    <w:rsid w:val="00B94C26"/>
    <w:rsid w:val="00B94F49"/>
    <w:rsid w:val="00B9589F"/>
    <w:rsid w:val="00B95DDC"/>
    <w:rsid w:val="00B966D7"/>
    <w:rsid w:val="00B9677E"/>
    <w:rsid w:val="00B96FB6"/>
    <w:rsid w:val="00BA0082"/>
    <w:rsid w:val="00BA03D9"/>
    <w:rsid w:val="00BA1928"/>
    <w:rsid w:val="00BA1ACE"/>
    <w:rsid w:val="00BA1BC6"/>
    <w:rsid w:val="00BA26FA"/>
    <w:rsid w:val="00BA287A"/>
    <w:rsid w:val="00BA2BC7"/>
    <w:rsid w:val="00BA31C3"/>
    <w:rsid w:val="00BA3931"/>
    <w:rsid w:val="00BA5459"/>
    <w:rsid w:val="00BA5576"/>
    <w:rsid w:val="00BA5677"/>
    <w:rsid w:val="00BA5E6E"/>
    <w:rsid w:val="00BA63C4"/>
    <w:rsid w:val="00BA6639"/>
    <w:rsid w:val="00BA7142"/>
    <w:rsid w:val="00BB1223"/>
    <w:rsid w:val="00BB14DB"/>
    <w:rsid w:val="00BB1744"/>
    <w:rsid w:val="00BB326E"/>
    <w:rsid w:val="00BB3726"/>
    <w:rsid w:val="00BB3DC9"/>
    <w:rsid w:val="00BB473D"/>
    <w:rsid w:val="00BB4AA1"/>
    <w:rsid w:val="00BB4BFC"/>
    <w:rsid w:val="00BB62F0"/>
    <w:rsid w:val="00BB6685"/>
    <w:rsid w:val="00BB684A"/>
    <w:rsid w:val="00BB6D67"/>
    <w:rsid w:val="00BB7A99"/>
    <w:rsid w:val="00BC0062"/>
    <w:rsid w:val="00BC01BF"/>
    <w:rsid w:val="00BC079A"/>
    <w:rsid w:val="00BC0F86"/>
    <w:rsid w:val="00BC1A09"/>
    <w:rsid w:val="00BC278B"/>
    <w:rsid w:val="00BC2DD1"/>
    <w:rsid w:val="00BC3B4C"/>
    <w:rsid w:val="00BC42ED"/>
    <w:rsid w:val="00BC4405"/>
    <w:rsid w:val="00BC4D2C"/>
    <w:rsid w:val="00BC6BAA"/>
    <w:rsid w:val="00BC728D"/>
    <w:rsid w:val="00BC74B9"/>
    <w:rsid w:val="00BC7EDB"/>
    <w:rsid w:val="00BD0B4D"/>
    <w:rsid w:val="00BD1983"/>
    <w:rsid w:val="00BD1C2D"/>
    <w:rsid w:val="00BD2228"/>
    <w:rsid w:val="00BD224F"/>
    <w:rsid w:val="00BD2498"/>
    <w:rsid w:val="00BD2694"/>
    <w:rsid w:val="00BD34C7"/>
    <w:rsid w:val="00BD379E"/>
    <w:rsid w:val="00BD3E40"/>
    <w:rsid w:val="00BD3E45"/>
    <w:rsid w:val="00BD3E73"/>
    <w:rsid w:val="00BD462F"/>
    <w:rsid w:val="00BD4DF2"/>
    <w:rsid w:val="00BD4E08"/>
    <w:rsid w:val="00BD52D0"/>
    <w:rsid w:val="00BD5989"/>
    <w:rsid w:val="00BD60CF"/>
    <w:rsid w:val="00BD662F"/>
    <w:rsid w:val="00BD6858"/>
    <w:rsid w:val="00BD7F8B"/>
    <w:rsid w:val="00BE07C0"/>
    <w:rsid w:val="00BE0C58"/>
    <w:rsid w:val="00BE0CFD"/>
    <w:rsid w:val="00BE0F00"/>
    <w:rsid w:val="00BE0F80"/>
    <w:rsid w:val="00BE1733"/>
    <w:rsid w:val="00BE21C7"/>
    <w:rsid w:val="00BE2646"/>
    <w:rsid w:val="00BE2BB3"/>
    <w:rsid w:val="00BE34C2"/>
    <w:rsid w:val="00BE3634"/>
    <w:rsid w:val="00BE3BC6"/>
    <w:rsid w:val="00BE4BD3"/>
    <w:rsid w:val="00BE5EC1"/>
    <w:rsid w:val="00BE70B3"/>
    <w:rsid w:val="00BE798D"/>
    <w:rsid w:val="00BF0C9D"/>
    <w:rsid w:val="00BF1579"/>
    <w:rsid w:val="00BF1A78"/>
    <w:rsid w:val="00BF1BA4"/>
    <w:rsid w:val="00BF2199"/>
    <w:rsid w:val="00BF3813"/>
    <w:rsid w:val="00BF3B0C"/>
    <w:rsid w:val="00BF3C67"/>
    <w:rsid w:val="00BF3DA8"/>
    <w:rsid w:val="00BF4234"/>
    <w:rsid w:val="00BF4A78"/>
    <w:rsid w:val="00BF4E26"/>
    <w:rsid w:val="00BF536B"/>
    <w:rsid w:val="00BF5376"/>
    <w:rsid w:val="00BF5F1B"/>
    <w:rsid w:val="00BF6855"/>
    <w:rsid w:val="00BF6976"/>
    <w:rsid w:val="00BF7872"/>
    <w:rsid w:val="00C00993"/>
    <w:rsid w:val="00C010DF"/>
    <w:rsid w:val="00C016C8"/>
    <w:rsid w:val="00C01F40"/>
    <w:rsid w:val="00C0211A"/>
    <w:rsid w:val="00C02593"/>
    <w:rsid w:val="00C029EC"/>
    <w:rsid w:val="00C03873"/>
    <w:rsid w:val="00C03F8F"/>
    <w:rsid w:val="00C044D1"/>
    <w:rsid w:val="00C04516"/>
    <w:rsid w:val="00C051DA"/>
    <w:rsid w:val="00C05365"/>
    <w:rsid w:val="00C061BD"/>
    <w:rsid w:val="00C07B7D"/>
    <w:rsid w:val="00C10441"/>
    <w:rsid w:val="00C11833"/>
    <w:rsid w:val="00C11DB5"/>
    <w:rsid w:val="00C12624"/>
    <w:rsid w:val="00C12D82"/>
    <w:rsid w:val="00C12DE2"/>
    <w:rsid w:val="00C131F6"/>
    <w:rsid w:val="00C134E8"/>
    <w:rsid w:val="00C13D49"/>
    <w:rsid w:val="00C13E59"/>
    <w:rsid w:val="00C14397"/>
    <w:rsid w:val="00C15833"/>
    <w:rsid w:val="00C15952"/>
    <w:rsid w:val="00C165B1"/>
    <w:rsid w:val="00C167F1"/>
    <w:rsid w:val="00C16CBF"/>
    <w:rsid w:val="00C1796E"/>
    <w:rsid w:val="00C17CC5"/>
    <w:rsid w:val="00C2025D"/>
    <w:rsid w:val="00C2057A"/>
    <w:rsid w:val="00C20E76"/>
    <w:rsid w:val="00C211F0"/>
    <w:rsid w:val="00C217F3"/>
    <w:rsid w:val="00C21A89"/>
    <w:rsid w:val="00C21AC6"/>
    <w:rsid w:val="00C22E1C"/>
    <w:rsid w:val="00C23770"/>
    <w:rsid w:val="00C23A08"/>
    <w:rsid w:val="00C23E45"/>
    <w:rsid w:val="00C24AF9"/>
    <w:rsid w:val="00C25B9C"/>
    <w:rsid w:val="00C261E6"/>
    <w:rsid w:val="00C262F1"/>
    <w:rsid w:val="00C26429"/>
    <w:rsid w:val="00C264D9"/>
    <w:rsid w:val="00C274A4"/>
    <w:rsid w:val="00C27827"/>
    <w:rsid w:val="00C27AC9"/>
    <w:rsid w:val="00C3022A"/>
    <w:rsid w:val="00C30669"/>
    <w:rsid w:val="00C30B8E"/>
    <w:rsid w:val="00C30FC3"/>
    <w:rsid w:val="00C3134C"/>
    <w:rsid w:val="00C31FD7"/>
    <w:rsid w:val="00C32594"/>
    <w:rsid w:val="00C328D2"/>
    <w:rsid w:val="00C32C0A"/>
    <w:rsid w:val="00C3302D"/>
    <w:rsid w:val="00C332AF"/>
    <w:rsid w:val="00C34ACB"/>
    <w:rsid w:val="00C3526C"/>
    <w:rsid w:val="00C361AD"/>
    <w:rsid w:val="00C362C3"/>
    <w:rsid w:val="00C369B0"/>
    <w:rsid w:val="00C36DFC"/>
    <w:rsid w:val="00C3764A"/>
    <w:rsid w:val="00C376CF"/>
    <w:rsid w:val="00C400A0"/>
    <w:rsid w:val="00C40D84"/>
    <w:rsid w:val="00C41118"/>
    <w:rsid w:val="00C420D2"/>
    <w:rsid w:val="00C43093"/>
    <w:rsid w:val="00C43B9A"/>
    <w:rsid w:val="00C44828"/>
    <w:rsid w:val="00C4498E"/>
    <w:rsid w:val="00C44B47"/>
    <w:rsid w:val="00C4514B"/>
    <w:rsid w:val="00C453FE"/>
    <w:rsid w:val="00C455B2"/>
    <w:rsid w:val="00C46845"/>
    <w:rsid w:val="00C471B9"/>
    <w:rsid w:val="00C474A8"/>
    <w:rsid w:val="00C477C9"/>
    <w:rsid w:val="00C478A8"/>
    <w:rsid w:val="00C479EC"/>
    <w:rsid w:val="00C47CC1"/>
    <w:rsid w:val="00C5276E"/>
    <w:rsid w:val="00C530DA"/>
    <w:rsid w:val="00C53E54"/>
    <w:rsid w:val="00C542C9"/>
    <w:rsid w:val="00C5496E"/>
    <w:rsid w:val="00C54994"/>
    <w:rsid w:val="00C54BF2"/>
    <w:rsid w:val="00C5527E"/>
    <w:rsid w:val="00C55848"/>
    <w:rsid w:val="00C5635F"/>
    <w:rsid w:val="00C56CB2"/>
    <w:rsid w:val="00C60812"/>
    <w:rsid w:val="00C612D4"/>
    <w:rsid w:val="00C613DD"/>
    <w:rsid w:val="00C61762"/>
    <w:rsid w:val="00C6195A"/>
    <w:rsid w:val="00C6223F"/>
    <w:rsid w:val="00C62725"/>
    <w:rsid w:val="00C62775"/>
    <w:rsid w:val="00C629A6"/>
    <w:rsid w:val="00C62A9E"/>
    <w:rsid w:val="00C6477D"/>
    <w:rsid w:val="00C64AC5"/>
    <w:rsid w:val="00C64D05"/>
    <w:rsid w:val="00C64F4F"/>
    <w:rsid w:val="00C6555E"/>
    <w:rsid w:val="00C6556E"/>
    <w:rsid w:val="00C65BED"/>
    <w:rsid w:val="00C65D86"/>
    <w:rsid w:val="00C6617A"/>
    <w:rsid w:val="00C664B3"/>
    <w:rsid w:val="00C67385"/>
    <w:rsid w:val="00C6742C"/>
    <w:rsid w:val="00C70229"/>
    <w:rsid w:val="00C70609"/>
    <w:rsid w:val="00C70D10"/>
    <w:rsid w:val="00C70E92"/>
    <w:rsid w:val="00C728B5"/>
    <w:rsid w:val="00C72F11"/>
    <w:rsid w:val="00C731DA"/>
    <w:rsid w:val="00C74296"/>
    <w:rsid w:val="00C747BB"/>
    <w:rsid w:val="00C74978"/>
    <w:rsid w:val="00C74EA4"/>
    <w:rsid w:val="00C759B2"/>
    <w:rsid w:val="00C75A03"/>
    <w:rsid w:val="00C763A2"/>
    <w:rsid w:val="00C76BCA"/>
    <w:rsid w:val="00C77610"/>
    <w:rsid w:val="00C77C4D"/>
    <w:rsid w:val="00C77CBB"/>
    <w:rsid w:val="00C77EC1"/>
    <w:rsid w:val="00C80409"/>
    <w:rsid w:val="00C814D8"/>
    <w:rsid w:val="00C81BBE"/>
    <w:rsid w:val="00C827D0"/>
    <w:rsid w:val="00C83C50"/>
    <w:rsid w:val="00C84194"/>
    <w:rsid w:val="00C84265"/>
    <w:rsid w:val="00C8463B"/>
    <w:rsid w:val="00C84738"/>
    <w:rsid w:val="00C854A2"/>
    <w:rsid w:val="00C85EE9"/>
    <w:rsid w:val="00C87410"/>
    <w:rsid w:val="00C900E0"/>
    <w:rsid w:val="00C90CE4"/>
    <w:rsid w:val="00C90FA8"/>
    <w:rsid w:val="00C917CE"/>
    <w:rsid w:val="00C921B4"/>
    <w:rsid w:val="00C92242"/>
    <w:rsid w:val="00C929A9"/>
    <w:rsid w:val="00C93016"/>
    <w:rsid w:val="00C9353F"/>
    <w:rsid w:val="00C93E9C"/>
    <w:rsid w:val="00C93EEC"/>
    <w:rsid w:val="00C942FC"/>
    <w:rsid w:val="00C94563"/>
    <w:rsid w:val="00C948CA"/>
    <w:rsid w:val="00C9499A"/>
    <w:rsid w:val="00C9592D"/>
    <w:rsid w:val="00C968F5"/>
    <w:rsid w:val="00C96CAB"/>
    <w:rsid w:val="00C971EB"/>
    <w:rsid w:val="00CA1325"/>
    <w:rsid w:val="00CA1632"/>
    <w:rsid w:val="00CA18FC"/>
    <w:rsid w:val="00CA2171"/>
    <w:rsid w:val="00CA2635"/>
    <w:rsid w:val="00CA2AF2"/>
    <w:rsid w:val="00CA359B"/>
    <w:rsid w:val="00CA4B56"/>
    <w:rsid w:val="00CA5AA9"/>
    <w:rsid w:val="00CA5E86"/>
    <w:rsid w:val="00CA65CB"/>
    <w:rsid w:val="00CA668A"/>
    <w:rsid w:val="00CB06B9"/>
    <w:rsid w:val="00CB19ED"/>
    <w:rsid w:val="00CB2218"/>
    <w:rsid w:val="00CB2A62"/>
    <w:rsid w:val="00CB2DFA"/>
    <w:rsid w:val="00CB30E5"/>
    <w:rsid w:val="00CB32FE"/>
    <w:rsid w:val="00CB3C59"/>
    <w:rsid w:val="00CB44BB"/>
    <w:rsid w:val="00CB5012"/>
    <w:rsid w:val="00CB506E"/>
    <w:rsid w:val="00CB5FD8"/>
    <w:rsid w:val="00CB608E"/>
    <w:rsid w:val="00CB7777"/>
    <w:rsid w:val="00CC03F5"/>
    <w:rsid w:val="00CC147B"/>
    <w:rsid w:val="00CC1ADA"/>
    <w:rsid w:val="00CC1CA5"/>
    <w:rsid w:val="00CC2E0E"/>
    <w:rsid w:val="00CC399B"/>
    <w:rsid w:val="00CC39C1"/>
    <w:rsid w:val="00CC3D6F"/>
    <w:rsid w:val="00CC4AE8"/>
    <w:rsid w:val="00CC4C05"/>
    <w:rsid w:val="00CC53F4"/>
    <w:rsid w:val="00CC57C9"/>
    <w:rsid w:val="00CC5B9B"/>
    <w:rsid w:val="00CC5EBE"/>
    <w:rsid w:val="00CC6908"/>
    <w:rsid w:val="00CC704B"/>
    <w:rsid w:val="00CC7199"/>
    <w:rsid w:val="00CC7373"/>
    <w:rsid w:val="00CC7448"/>
    <w:rsid w:val="00CC7D50"/>
    <w:rsid w:val="00CD062C"/>
    <w:rsid w:val="00CD23FB"/>
    <w:rsid w:val="00CD29FF"/>
    <w:rsid w:val="00CD2B59"/>
    <w:rsid w:val="00CD335A"/>
    <w:rsid w:val="00CD33EC"/>
    <w:rsid w:val="00CD3E30"/>
    <w:rsid w:val="00CD4C3F"/>
    <w:rsid w:val="00CD4DD4"/>
    <w:rsid w:val="00CD6A20"/>
    <w:rsid w:val="00CD6DBB"/>
    <w:rsid w:val="00CD7A9B"/>
    <w:rsid w:val="00CD7C9D"/>
    <w:rsid w:val="00CD7E50"/>
    <w:rsid w:val="00CE080B"/>
    <w:rsid w:val="00CE124E"/>
    <w:rsid w:val="00CE2244"/>
    <w:rsid w:val="00CE2F4B"/>
    <w:rsid w:val="00CE40F6"/>
    <w:rsid w:val="00CE4AF3"/>
    <w:rsid w:val="00CE5446"/>
    <w:rsid w:val="00CE69C1"/>
    <w:rsid w:val="00CF1AD0"/>
    <w:rsid w:val="00CF20C5"/>
    <w:rsid w:val="00CF2B2B"/>
    <w:rsid w:val="00CF34DB"/>
    <w:rsid w:val="00CF3B8C"/>
    <w:rsid w:val="00CF423B"/>
    <w:rsid w:val="00CF45E4"/>
    <w:rsid w:val="00CF4F74"/>
    <w:rsid w:val="00CF5188"/>
    <w:rsid w:val="00CF5965"/>
    <w:rsid w:val="00CF768A"/>
    <w:rsid w:val="00D000E7"/>
    <w:rsid w:val="00D00236"/>
    <w:rsid w:val="00D009AC"/>
    <w:rsid w:val="00D00CF1"/>
    <w:rsid w:val="00D00F9B"/>
    <w:rsid w:val="00D01015"/>
    <w:rsid w:val="00D011DA"/>
    <w:rsid w:val="00D0146D"/>
    <w:rsid w:val="00D01646"/>
    <w:rsid w:val="00D01FF9"/>
    <w:rsid w:val="00D022C4"/>
    <w:rsid w:val="00D02A53"/>
    <w:rsid w:val="00D02D94"/>
    <w:rsid w:val="00D034E9"/>
    <w:rsid w:val="00D04831"/>
    <w:rsid w:val="00D04A6E"/>
    <w:rsid w:val="00D052C2"/>
    <w:rsid w:val="00D05700"/>
    <w:rsid w:val="00D05ACB"/>
    <w:rsid w:val="00D05C57"/>
    <w:rsid w:val="00D070F0"/>
    <w:rsid w:val="00D07E56"/>
    <w:rsid w:val="00D1073E"/>
    <w:rsid w:val="00D116AE"/>
    <w:rsid w:val="00D11BEF"/>
    <w:rsid w:val="00D12DD2"/>
    <w:rsid w:val="00D132F5"/>
    <w:rsid w:val="00D133CF"/>
    <w:rsid w:val="00D13640"/>
    <w:rsid w:val="00D138D9"/>
    <w:rsid w:val="00D13ADB"/>
    <w:rsid w:val="00D1421E"/>
    <w:rsid w:val="00D14C38"/>
    <w:rsid w:val="00D16B2A"/>
    <w:rsid w:val="00D17559"/>
    <w:rsid w:val="00D1757A"/>
    <w:rsid w:val="00D17DA5"/>
    <w:rsid w:val="00D20E98"/>
    <w:rsid w:val="00D21A2C"/>
    <w:rsid w:val="00D22476"/>
    <w:rsid w:val="00D227FA"/>
    <w:rsid w:val="00D23127"/>
    <w:rsid w:val="00D23201"/>
    <w:rsid w:val="00D23585"/>
    <w:rsid w:val="00D236BB"/>
    <w:rsid w:val="00D2374F"/>
    <w:rsid w:val="00D25034"/>
    <w:rsid w:val="00D25873"/>
    <w:rsid w:val="00D25B67"/>
    <w:rsid w:val="00D27962"/>
    <w:rsid w:val="00D300DF"/>
    <w:rsid w:val="00D31B37"/>
    <w:rsid w:val="00D31CD5"/>
    <w:rsid w:val="00D32683"/>
    <w:rsid w:val="00D32A8E"/>
    <w:rsid w:val="00D3368E"/>
    <w:rsid w:val="00D34031"/>
    <w:rsid w:val="00D340D1"/>
    <w:rsid w:val="00D344F0"/>
    <w:rsid w:val="00D34941"/>
    <w:rsid w:val="00D34BDA"/>
    <w:rsid w:val="00D34EDD"/>
    <w:rsid w:val="00D351AC"/>
    <w:rsid w:val="00D3574B"/>
    <w:rsid w:val="00D3671E"/>
    <w:rsid w:val="00D371C9"/>
    <w:rsid w:val="00D37AAA"/>
    <w:rsid w:val="00D37ACA"/>
    <w:rsid w:val="00D40083"/>
    <w:rsid w:val="00D4044E"/>
    <w:rsid w:val="00D410C0"/>
    <w:rsid w:val="00D41158"/>
    <w:rsid w:val="00D4135F"/>
    <w:rsid w:val="00D41BED"/>
    <w:rsid w:val="00D4258E"/>
    <w:rsid w:val="00D4294A"/>
    <w:rsid w:val="00D42BBB"/>
    <w:rsid w:val="00D44E1B"/>
    <w:rsid w:val="00D4609C"/>
    <w:rsid w:val="00D46394"/>
    <w:rsid w:val="00D46A19"/>
    <w:rsid w:val="00D46FC6"/>
    <w:rsid w:val="00D4738C"/>
    <w:rsid w:val="00D50502"/>
    <w:rsid w:val="00D50527"/>
    <w:rsid w:val="00D506EE"/>
    <w:rsid w:val="00D50969"/>
    <w:rsid w:val="00D50F78"/>
    <w:rsid w:val="00D514CA"/>
    <w:rsid w:val="00D52632"/>
    <w:rsid w:val="00D529A6"/>
    <w:rsid w:val="00D529EC"/>
    <w:rsid w:val="00D52FFB"/>
    <w:rsid w:val="00D533BC"/>
    <w:rsid w:val="00D53A24"/>
    <w:rsid w:val="00D5413D"/>
    <w:rsid w:val="00D542C5"/>
    <w:rsid w:val="00D54B6B"/>
    <w:rsid w:val="00D56361"/>
    <w:rsid w:val="00D56946"/>
    <w:rsid w:val="00D56C3F"/>
    <w:rsid w:val="00D56DA7"/>
    <w:rsid w:val="00D57269"/>
    <w:rsid w:val="00D57322"/>
    <w:rsid w:val="00D57CB6"/>
    <w:rsid w:val="00D60050"/>
    <w:rsid w:val="00D605B5"/>
    <w:rsid w:val="00D607EA"/>
    <w:rsid w:val="00D60880"/>
    <w:rsid w:val="00D61134"/>
    <w:rsid w:val="00D61278"/>
    <w:rsid w:val="00D627FA"/>
    <w:rsid w:val="00D62D97"/>
    <w:rsid w:val="00D62F1D"/>
    <w:rsid w:val="00D630A0"/>
    <w:rsid w:val="00D6359C"/>
    <w:rsid w:val="00D64611"/>
    <w:rsid w:val="00D648F6"/>
    <w:rsid w:val="00D649FF"/>
    <w:rsid w:val="00D64B5C"/>
    <w:rsid w:val="00D64BA8"/>
    <w:rsid w:val="00D6606E"/>
    <w:rsid w:val="00D669C1"/>
    <w:rsid w:val="00D67264"/>
    <w:rsid w:val="00D700A6"/>
    <w:rsid w:val="00D70991"/>
    <w:rsid w:val="00D71AAF"/>
    <w:rsid w:val="00D71E68"/>
    <w:rsid w:val="00D722B9"/>
    <w:rsid w:val="00D72E92"/>
    <w:rsid w:val="00D73853"/>
    <w:rsid w:val="00D73AB6"/>
    <w:rsid w:val="00D73BA3"/>
    <w:rsid w:val="00D73DE6"/>
    <w:rsid w:val="00D74DF0"/>
    <w:rsid w:val="00D752FD"/>
    <w:rsid w:val="00D755CB"/>
    <w:rsid w:val="00D759C1"/>
    <w:rsid w:val="00D7650F"/>
    <w:rsid w:val="00D76AE9"/>
    <w:rsid w:val="00D777C9"/>
    <w:rsid w:val="00D77DA5"/>
    <w:rsid w:val="00D80382"/>
    <w:rsid w:val="00D809C8"/>
    <w:rsid w:val="00D81972"/>
    <w:rsid w:val="00D81AEF"/>
    <w:rsid w:val="00D826F2"/>
    <w:rsid w:val="00D82DAF"/>
    <w:rsid w:val="00D83C34"/>
    <w:rsid w:val="00D83E8E"/>
    <w:rsid w:val="00D83E9C"/>
    <w:rsid w:val="00D84573"/>
    <w:rsid w:val="00D857B9"/>
    <w:rsid w:val="00D85FAA"/>
    <w:rsid w:val="00D86A44"/>
    <w:rsid w:val="00D8716E"/>
    <w:rsid w:val="00D87E5C"/>
    <w:rsid w:val="00D9014B"/>
    <w:rsid w:val="00D90AE8"/>
    <w:rsid w:val="00D90CE5"/>
    <w:rsid w:val="00D916F5"/>
    <w:rsid w:val="00D91922"/>
    <w:rsid w:val="00D9236B"/>
    <w:rsid w:val="00D92490"/>
    <w:rsid w:val="00D93D4E"/>
    <w:rsid w:val="00D93EE2"/>
    <w:rsid w:val="00D95214"/>
    <w:rsid w:val="00D956F5"/>
    <w:rsid w:val="00D95737"/>
    <w:rsid w:val="00D95A6C"/>
    <w:rsid w:val="00D97AFB"/>
    <w:rsid w:val="00D97D62"/>
    <w:rsid w:val="00DA068E"/>
    <w:rsid w:val="00DA079C"/>
    <w:rsid w:val="00DA0A1A"/>
    <w:rsid w:val="00DA0C64"/>
    <w:rsid w:val="00DA2396"/>
    <w:rsid w:val="00DA3617"/>
    <w:rsid w:val="00DA3B76"/>
    <w:rsid w:val="00DA4342"/>
    <w:rsid w:val="00DA43EA"/>
    <w:rsid w:val="00DA464F"/>
    <w:rsid w:val="00DA4F8F"/>
    <w:rsid w:val="00DA518F"/>
    <w:rsid w:val="00DA5809"/>
    <w:rsid w:val="00DA5DC3"/>
    <w:rsid w:val="00DA65D6"/>
    <w:rsid w:val="00DA7570"/>
    <w:rsid w:val="00DA7685"/>
    <w:rsid w:val="00DA7A40"/>
    <w:rsid w:val="00DA7E00"/>
    <w:rsid w:val="00DB0B51"/>
    <w:rsid w:val="00DB1251"/>
    <w:rsid w:val="00DB12D5"/>
    <w:rsid w:val="00DB1738"/>
    <w:rsid w:val="00DB178E"/>
    <w:rsid w:val="00DB1814"/>
    <w:rsid w:val="00DB1919"/>
    <w:rsid w:val="00DB19F7"/>
    <w:rsid w:val="00DB1A2D"/>
    <w:rsid w:val="00DB1CAA"/>
    <w:rsid w:val="00DB279F"/>
    <w:rsid w:val="00DB2C59"/>
    <w:rsid w:val="00DB3228"/>
    <w:rsid w:val="00DB3F0C"/>
    <w:rsid w:val="00DB40F7"/>
    <w:rsid w:val="00DB471C"/>
    <w:rsid w:val="00DB4752"/>
    <w:rsid w:val="00DB4C46"/>
    <w:rsid w:val="00DB4C53"/>
    <w:rsid w:val="00DB558D"/>
    <w:rsid w:val="00DB57F8"/>
    <w:rsid w:val="00DB5F11"/>
    <w:rsid w:val="00DB6679"/>
    <w:rsid w:val="00DB6F60"/>
    <w:rsid w:val="00DB7C54"/>
    <w:rsid w:val="00DC04C9"/>
    <w:rsid w:val="00DC0A40"/>
    <w:rsid w:val="00DC0EE5"/>
    <w:rsid w:val="00DC17B6"/>
    <w:rsid w:val="00DC1B0F"/>
    <w:rsid w:val="00DC27A4"/>
    <w:rsid w:val="00DC2E9C"/>
    <w:rsid w:val="00DC3119"/>
    <w:rsid w:val="00DC3D99"/>
    <w:rsid w:val="00DC4A78"/>
    <w:rsid w:val="00DC5F3B"/>
    <w:rsid w:val="00DC6371"/>
    <w:rsid w:val="00DC75B8"/>
    <w:rsid w:val="00DC79A7"/>
    <w:rsid w:val="00DD0483"/>
    <w:rsid w:val="00DD17F8"/>
    <w:rsid w:val="00DD17FC"/>
    <w:rsid w:val="00DD21E6"/>
    <w:rsid w:val="00DD4820"/>
    <w:rsid w:val="00DD5205"/>
    <w:rsid w:val="00DD5B1D"/>
    <w:rsid w:val="00DD5C9D"/>
    <w:rsid w:val="00DD6239"/>
    <w:rsid w:val="00DD6746"/>
    <w:rsid w:val="00DD7F88"/>
    <w:rsid w:val="00DE08F9"/>
    <w:rsid w:val="00DE1405"/>
    <w:rsid w:val="00DE16EE"/>
    <w:rsid w:val="00DE1D61"/>
    <w:rsid w:val="00DE20DD"/>
    <w:rsid w:val="00DE2101"/>
    <w:rsid w:val="00DE21C2"/>
    <w:rsid w:val="00DE23C4"/>
    <w:rsid w:val="00DE2ADB"/>
    <w:rsid w:val="00DE2CBF"/>
    <w:rsid w:val="00DE340C"/>
    <w:rsid w:val="00DE3D8F"/>
    <w:rsid w:val="00DE3F73"/>
    <w:rsid w:val="00DE46AF"/>
    <w:rsid w:val="00DE5036"/>
    <w:rsid w:val="00DE508B"/>
    <w:rsid w:val="00DE5EC8"/>
    <w:rsid w:val="00DF1588"/>
    <w:rsid w:val="00DF4485"/>
    <w:rsid w:val="00DF44AB"/>
    <w:rsid w:val="00DF5415"/>
    <w:rsid w:val="00DF5CA9"/>
    <w:rsid w:val="00DF687C"/>
    <w:rsid w:val="00DF6EAC"/>
    <w:rsid w:val="00E00108"/>
    <w:rsid w:val="00E00235"/>
    <w:rsid w:val="00E0035D"/>
    <w:rsid w:val="00E0037D"/>
    <w:rsid w:val="00E00A71"/>
    <w:rsid w:val="00E00C54"/>
    <w:rsid w:val="00E00EDF"/>
    <w:rsid w:val="00E018FC"/>
    <w:rsid w:val="00E01C1A"/>
    <w:rsid w:val="00E0207A"/>
    <w:rsid w:val="00E0214C"/>
    <w:rsid w:val="00E024E9"/>
    <w:rsid w:val="00E02D33"/>
    <w:rsid w:val="00E03FA1"/>
    <w:rsid w:val="00E04A65"/>
    <w:rsid w:val="00E0691F"/>
    <w:rsid w:val="00E0722D"/>
    <w:rsid w:val="00E0789F"/>
    <w:rsid w:val="00E07B9D"/>
    <w:rsid w:val="00E10253"/>
    <w:rsid w:val="00E1048C"/>
    <w:rsid w:val="00E105AC"/>
    <w:rsid w:val="00E109A4"/>
    <w:rsid w:val="00E1126E"/>
    <w:rsid w:val="00E11EBA"/>
    <w:rsid w:val="00E13052"/>
    <w:rsid w:val="00E1321F"/>
    <w:rsid w:val="00E13470"/>
    <w:rsid w:val="00E13DAE"/>
    <w:rsid w:val="00E140D3"/>
    <w:rsid w:val="00E144A2"/>
    <w:rsid w:val="00E145A0"/>
    <w:rsid w:val="00E153ED"/>
    <w:rsid w:val="00E15BA5"/>
    <w:rsid w:val="00E15D19"/>
    <w:rsid w:val="00E161FB"/>
    <w:rsid w:val="00E168D6"/>
    <w:rsid w:val="00E16C23"/>
    <w:rsid w:val="00E178CE"/>
    <w:rsid w:val="00E17C05"/>
    <w:rsid w:val="00E208A7"/>
    <w:rsid w:val="00E21789"/>
    <w:rsid w:val="00E21C9D"/>
    <w:rsid w:val="00E227F4"/>
    <w:rsid w:val="00E22C19"/>
    <w:rsid w:val="00E23837"/>
    <w:rsid w:val="00E23DE3"/>
    <w:rsid w:val="00E24026"/>
    <w:rsid w:val="00E24B5C"/>
    <w:rsid w:val="00E25746"/>
    <w:rsid w:val="00E25C9F"/>
    <w:rsid w:val="00E260C7"/>
    <w:rsid w:val="00E266D1"/>
    <w:rsid w:val="00E267BD"/>
    <w:rsid w:val="00E2692A"/>
    <w:rsid w:val="00E269A8"/>
    <w:rsid w:val="00E26E78"/>
    <w:rsid w:val="00E271C9"/>
    <w:rsid w:val="00E2765D"/>
    <w:rsid w:val="00E30379"/>
    <w:rsid w:val="00E30711"/>
    <w:rsid w:val="00E30B56"/>
    <w:rsid w:val="00E30BC1"/>
    <w:rsid w:val="00E30F97"/>
    <w:rsid w:val="00E31149"/>
    <w:rsid w:val="00E31EC3"/>
    <w:rsid w:val="00E32469"/>
    <w:rsid w:val="00E327F3"/>
    <w:rsid w:val="00E32C9C"/>
    <w:rsid w:val="00E331A7"/>
    <w:rsid w:val="00E33321"/>
    <w:rsid w:val="00E335CE"/>
    <w:rsid w:val="00E33C10"/>
    <w:rsid w:val="00E341CA"/>
    <w:rsid w:val="00E34847"/>
    <w:rsid w:val="00E34CB0"/>
    <w:rsid w:val="00E350CD"/>
    <w:rsid w:val="00E3579E"/>
    <w:rsid w:val="00E3633C"/>
    <w:rsid w:val="00E36518"/>
    <w:rsid w:val="00E36AC4"/>
    <w:rsid w:val="00E373F7"/>
    <w:rsid w:val="00E37B9B"/>
    <w:rsid w:val="00E40308"/>
    <w:rsid w:val="00E404D2"/>
    <w:rsid w:val="00E408EA"/>
    <w:rsid w:val="00E40BCA"/>
    <w:rsid w:val="00E40CC0"/>
    <w:rsid w:val="00E4324C"/>
    <w:rsid w:val="00E434DB"/>
    <w:rsid w:val="00E43877"/>
    <w:rsid w:val="00E4394B"/>
    <w:rsid w:val="00E43A9B"/>
    <w:rsid w:val="00E43C43"/>
    <w:rsid w:val="00E4441A"/>
    <w:rsid w:val="00E44BAF"/>
    <w:rsid w:val="00E44D8C"/>
    <w:rsid w:val="00E45097"/>
    <w:rsid w:val="00E45A24"/>
    <w:rsid w:val="00E465F4"/>
    <w:rsid w:val="00E46A71"/>
    <w:rsid w:val="00E46BD4"/>
    <w:rsid w:val="00E47D79"/>
    <w:rsid w:val="00E47D7C"/>
    <w:rsid w:val="00E5056A"/>
    <w:rsid w:val="00E51506"/>
    <w:rsid w:val="00E522F8"/>
    <w:rsid w:val="00E52473"/>
    <w:rsid w:val="00E53732"/>
    <w:rsid w:val="00E53D8A"/>
    <w:rsid w:val="00E557D7"/>
    <w:rsid w:val="00E5584E"/>
    <w:rsid w:val="00E55E83"/>
    <w:rsid w:val="00E571EA"/>
    <w:rsid w:val="00E60883"/>
    <w:rsid w:val="00E609A2"/>
    <w:rsid w:val="00E60CFC"/>
    <w:rsid w:val="00E615DC"/>
    <w:rsid w:val="00E61A39"/>
    <w:rsid w:val="00E61E7C"/>
    <w:rsid w:val="00E62A58"/>
    <w:rsid w:val="00E62BA8"/>
    <w:rsid w:val="00E635EE"/>
    <w:rsid w:val="00E64220"/>
    <w:rsid w:val="00E650C7"/>
    <w:rsid w:val="00E65703"/>
    <w:rsid w:val="00E658B5"/>
    <w:rsid w:val="00E65E11"/>
    <w:rsid w:val="00E66030"/>
    <w:rsid w:val="00E673B0"/>
    <w:rsid w:val="00E67622"/>
    <w:rsid w:val="00E677B6"/>
    <w:rsid w:val="00E67DA9"/>
    <w:rsid w:val="00E70153"/>
    <w:rsid w:val="00E702B9"/>
    <w:rsid w:val="00E706D7"/>
    <w:rsid w:val="00E709AB"/>
    <w:rsid w:val="00E714C2"/>
    <w:rsid w:val="00E71764"/>
    <w:rsid w:val="00E71977"/>
    <w:rsid w:val="00E71EFE"/>
    <w:rsid w:val="00E720C3"/>
    <w:rsid w:val="00E72BF5"/>
    <w:rsid w:val="00E736F3"/>
    <w:rsid w:val="00E74794"/>
    <w:rsid w:val="00E75668"/>
    <w:rsid w:val="00E7599D"/>
    <w:rsid w:val="00E75C7A"/>
    <w:rsid w:val="00E75F7D"/>
    <w:rsid w:val="00E7672C"/>
    <w:rsid w:val="00E76A26"/>
    <w:rsid w:val="00E8044D"/>
    <w:rsid w:val="00E8087B"/>
    <w:rsid w:val="00E81C29"/>
    <w:rsid w:val="00E82248"/>
    <w:rsid w:val="00E831D8"/>
    <w:rsid w:val="00E837FB"/>
    <w:rsid w:val="00E8398C"/>
    <w:rsid w:val="00E83EE1"/>
    <w:rsid w:val="00E83F28"/>
    <w:rsid w:val="00E84382"/>
    <w:rsid w:val="00E84916"/>
    <w:rsid w:val="00E84F46"/>
    <w:rsid w:val="00E85944"/>
    <w:rsid w:val="00E865B8"/>
    <w:rsid w:val="00E86863"/>
    <w:rsid w:val="00E86AFA"/>
    <w:rsid w:val="00E8786A"/>
    <w:rsid w:val="00E87AC3"/>
    <w:rsid w:val="00E90530"/>
    <w:rsid w:val="00E90701"/>
    <w:rsid w:val="00E90ABD"/>
    <w:rsid w:val="00E9163E"/>
    <w:rsid w:val="00E91668"/>
    <w:rsid w:val="00E9185E"/>
    <w:rsid w:val="00E91C45"/>
    <w:rsid w:val="00E91F9E"/>
    <w:rsid w:val="00E9226A"/>
    <w:rsid w:val="00E93031"/>
    <w:rsid w:val="00E93346"/>
    <w:rsid w:val="00E93474"/>
    <w:rsid w:val="00E93521"/>
    <w:rsid w:val="00E95371"/>
    <w:rsid w:val="00E9573A"/>
    <w:rsid w:val="00E95A08"/>
    <w:rsid w:val="00E963DD"/>
    <w:rsid w:val="00E96650"/>
    <w:rsid w:val="00E96A5C"/>
    <w:rsid w:val="00E9705E"/>
    <w:rsid w:val="00E975CD"/>
    <w:rsid w:val="00E9773F"/>
    <w:rsid w:val="00E97C6D"/>
    <w:rsid w:val="00E97D3C"/>
    <w:rsid w:val="00EA027D"/>
    <w:rsid w:val="00EA02CD"/>
    <w:rsid w:val="00EA0E3E"/>
    <w:rsid w:val="00EA1A39"/>
    <w:rsid w:val="00EA2358"/>
    <w:rsid w:val="00EA259B"/>
    <w:rsid w:val="00EA377B"/>
    <w:rsid w:val="00EA39EE"/>
    <w:rsid w:val="00EA3D77"/>
    <w:rsid w:val="00EA40B3"/>
    <w:rsid w:val="00EA421C"/>
    <w:rsid w:val="00EA5116"/>
    <w:rsid w:val="00EA6078"/>
    <w:rsid w:val="00EA6236"/>
    <w:rsid w:val="00EA67AF"/>
    <w:rsid w:val="00EA7414"/>
    <w:rsid w:val="00EA77EF"/>
    <w:rsid w:val="00EB0C4B"/>
    <w:rsid w:val="00EB154C"/>
    <w:rsid w:val="00EB22FC"/>
    <w:rsid w:val="00EB244E"/>
    <w:rsid w:val="00EB265D"/>
    <w:rsid w:val="00EB2F81"/>
    <w:rsid w:val="00EB2FB1"/>
    <w:rsid w:val="00EB359A"/>
    <w:rsid w:val="00EB3F55"/>
    <w:rsid w:val="00EB492C"/>
    <w:rsid w:val="00EB4BD1"/>
    <w:rsid w:val="00EB5016"/>
    <w:rsid w:val="00EB5517"/>
    <w:rsid w:val="00EB5D80"/>
    <w:rsid w:val="00EB6388"/>
    <w:rsid w:val="00EB6497"/>
    <w:rsid w:val="00EB662B"/>
    <w:rsid w:val="00EB69CC"/>
    <w:rsid w:val="00EB6D6C"/>
    <w:rsid w:val="00EB72B3"/>
    <w:rsid w:val="00EB7486"/>
    <w:rsid w:val="00EB7A1B"/>
    <w:rsid w:val="00EC0078"/>
    <w:rsid w:val="00EC0366"/>
    <w:rsid w:val="00EC087C"/>
    <w:rsid w:val="00EC1698"/>
    <w:rsid w:val="00EC16F3"/>
    <w:rsid w:val="00EC231E"/>
    <w:rsid w:val="00EC31AF"/>
    <w:rsid w:val="00EC342B"/>
    <w:rsid w:val="00EC38D9"/>
    <w:rsid w:val="00EC4026"/>
    <w:rsid w:val="00EC41E2"/>
    <w:rsid w:val="00EC4CD4"/>
    <w:rsid w:val="00EC4EC1"/>
    <w:rsid w:val="00EC4FD9"/>
    <w:rsid w:val="00EC4FDA"/>
    <w:rsid w:val="00EC5995"/>
    <w:rsid w:val="00EC5D20"/>
    <w:rsid w:val="00EC6909"/>
    <w:rsid w:val="00EC6C05"/>
    <w:rsid w:val="00EC6EA5"/>
    <w:rsid w:val="00EC7178"/>
    <w:rsid w:val="00EC7436"/>
    <w:rsid w:val="00EC75C7"/>
    <w:rsid w:val="00EC7863"/>
    <w:rsid w:val="00EC7C77"/>
    <w:rsid w:val="00ED026C"/>
    <w:rsid w:val="00ED048F"/>
    <w:rsid w:val="00ED0CC5"/>
    <w:rsid w:val="00ED0E1F"/>
    <w:rsid w:val="00ED1011"/>
    <w:rsid w:val="00ED10DA"/>
    <w:rsid w:val="00ED1FA0"/>
    <w:rsid w:val="00ED28FA"/>
    <w:rsid w:val="00ED2CA3"/>
    <w:rsid w:val="00ED2F30"/>
    <w:rsid w:val="00ED315A"/>
    <w:rsid w:val="00ED3991"/>
    <w:rsid w:val="00ED3D15"/>
    <w:rsid w:val="00ED47AA"/>
    <w:rsid w:val="00ED678E"/>
    <w:rsid w:val="00ED67F5"/>
    <w:rsid w:val="00ED69EC"/>
    <w:rsid w:val="00ED6CC9"/>
    <w:rsid w:val="00ED6D2D"/>
    <w:rsid w:val="00ED6DF6"/>
    <w:rsid w:val="00ED707D"/>
    <w:rsid w:val="00ED70EE"/>
    <w:rsid w:val="00EE03E2"/>
    <w:rsid w:val="00EE07EC"/>
    <w:rsid w:val="00EE0CB2"/>
    <w:rsid w:val="00EE0F01"/>
    <w:rsid w:val="00EE1398"/>
    <w:rsid w:val="00EE19C9"/>
    <w:rsid w:val="00EE1F52"/>
    <w:rsid w:val="00EE2FA6"/>
    <w:rsid w:val="00EE436A"/>
    <w:rsid w:val="00EE4676"/>
    <w:rsid w:val="00EE4888"/>
    <w:rsid w:val="00EE4B66"/>
    <w:rsid w:val="00EE4FB7"/>
    <w:rsid w:val="00EE5599"/>
    <w:rsid w:val="00EE56A2"/>
    <w:rsid w:val="00EE6037"/>
    <w:rsid w:val="00EE605A"/>
    <w:rsid w:val="00EE6344"/>
    <w:rsid w:val="00EE655B"/>
    <w:rsid w:val="00EE7EFC"/>
    <w:rsid w:val="00EF14D1"/>
    <w:rsid w:val="00EF238C"/>
    <w:rsid w:val="00EF2459"/>
    <w:rsid w:val="00EF25F2"/>
    <w:rsid w:val="00EF2E3A"/>
    <w:rsid w:val="00EF3144"/>
    <w:rsid w:val="00EF3F83"/>
    <w:rsid w:val="00EF53EC"/>
    <w:rsid w:val="00EF594A"/>
    <w:rsid w:val="00EF6886"/>
    <w:rsid w:val="00EF6CA9"/>
    <w:rsid w:val="00F004FC"/>
    <w:rsid w:val="00F0050D"/>
    <w:rsid w:val="00F0065F"/>
    <w:rsid w:val="00F006F7"/>
    <w:rsid w:val="00F01A06"/>
    <w:rsid w:val="00F01FFA"/>
    <w:rsid w:val="00F0239B"/>
    <w:rsid w:val="00F025F2"/>
    <w:rsid w:val="00F02777"/>
    <w:rsid w:val="00F02922"/>
    <w:rsid w:val="00F02B4F"/>
    <w:rsid w:val="00F02F0B"/>
    <w:rsid w:val="00F02F26"/>
    <w:rsid w:val="00F03F85"/>
    <w:rsid w:val="00F04309"/>
    <w:rsid w:val="00F0537B"/>
    <w:rsid w:val="00F07491"/>
    <w:rsid w:val="00F077FC"/>
    <w:rsid w:val="00F07AF6"/>
    <w:rsid w:val="00F07ECD"/>
    <w:rsid w:val="00F100D6"/>
    <w:rsid w:val="00F115D7"/>
    <w:rsid w:val="00F11671"/>
    <w:rsid w:val="00F11CFF"/>
    <w:rsid w:val="00F12109"/>
    <w:rsid w:val="00F124DC"/>
    <w:rsid w:val="00F12591"/>
    <w:rsid w:val="00F12900"/>
    <w:rsid w:val="00F12EF8"/>
    <w:rsid w:val="00F13174"/>
    <w:rsid w:val="00F132BB"/>
    <w:rsid w:val="00F13980"/>
    <w:rsid w:val="00F13CA0"/>
    <w:rsid w:val="00F13E15"/>
    <w:rsid w:val="00F14086"/>
    <w:rsid w:val="00F14C26"/>
    <w:rsid w:val="00F15AA6"/>
    <w:rsid w:val="00F15C59"/>
    <w:rsid w:val="00F1623E"/>
    <w:rsid w:val="00F16698"/>
    <w:rsid w:val="00F16812"/>
    <w:rsid w:val="00F1695A"/>
    <w:rsid w:val="00F16C13"/>
    <w:rsid w:val="00F1713E"/>
    <w:rsid w:val="00F17B08"/>
    <w:rsid w:val="00F20021"/>
    <w:rsid w:val="00F21B65"/>
    <w:rsid w:val="00F2242A"/>
    <w:rsid w:val="00F22879"/>
    <w:rsid w:val="00F228A6"/>
    <w:rsid w:val="00F22DC2"/>
    <w:rsid w:val="00F22FC1"/>
    <w:rsid w:val="00F23013"/>
    <w:rsid w:val="00F230A5"/>
    <w:rsid w:val="00F231E8"/>
    <w:rsid w:val="00F24593"/>
    <w:rsid w:val="00F258EE"/>
    <w:rsid w:val="00F25E5F"/>
    <w:rsid w:val="00F26B46"/>
    <w:rsid w:val="00F26E0C"/>
    <w:rsid w:val="00F270BE"/>
    <w:rsid w:val="00F304AB"/>
    <w:rsid w:val="00F3124B"/>
    <w:rsid w:val="00F31809"/>
    <w:rsid w:val="00F3404A"/>
    <w:rsid w:val="00F3404F"/>
    <w:rsid w:val="00F3405D"/>
    <w:rsid w:val="00F34181"/>
    <w:rsid w:val="00F34AF3"/>
    <w:rsid w:val="00F35281"/>
    <w:rsid w:val="00F3712E"/>
    <w:rsid w:val="00F374D3"/>
    <w:rsid w:val="00F402B6"/>
    <w:rsid w:val="00F4034A"/>
    <w:rsid w:val="00F4122F"/>
    <w:rsid w:val="00F41705"/>
    <w:rsid w:val="00F41B30"/>
    <w:rsid w:val="00F41B55"/>
    <w:rsid w:val="00F42006"/>
    <w:rsid w:val="00F421AA"/>
    <w:rsid w:val="00F4262F"/>
    <w:rsid w:val="00F4313F"/>
    <w:rsid w:val="00F431EF"/>
    <w:rsid w:val="00F441B0"/>
    <w:rsid w:val="00F4439B"/>
    <w:rsid w:val="00F44B93"/>
    <w:rsid w:val="00F44DC9"/>
    <w:rsid w:val="00F44FF2"/>
    <w:rsid w:val="00F45850"/>
    <w:rsid w:val="00F46005"/>
    <w:rsid w:val="00F46318"/>
    <w:rsid w:val="00F46974"/>
    <w:rsid w:val="00F47116"/>
    <w:rsid w:val="00F47CBD"/>
    <w:rsid w:val="00F5012C"/>
    <w:rsid w:val="00F5025B"/>
    <w:rsid w:val="00F50833"/>
    <w:rsid w:val="00F50960"/>
    <w:rsid w:val="00F519D7"/>
    <w:rsid w:val="00F51C2E"/>
    <w:rsid w:val="00F53D5E"/>
    <w:rsid w:val="00F54433"/>
    <w:rsid w:val="00F55610"/>
    <w:rsid w:val="00F5639B"/>
    <w:rsid w:val="00F56775"/>
    <w:rsid w:val="00F575DE"/>
    <w:rsid w:val="00F57A7B"/>
    <w:rsid w:val="00F57E58"/>
    <w:rsid w:val="00F60066"/>
    <w:rsid w:val="00F60C24"/>
    <w:rsid w:val="00F614BE"/>
    <w:rsid w:val="00F6179D"/>
    <w:rsid w:val="00F619D8"/>
    <w:rsid w:val="00F61DB8"/>
    <w:rsid w:val="00F620A7"/>
    <w:rsid w:val="00F62DCE"/>
    <w:rsid w:val="00F62F19"/>
    <w:rsid w:val="00F63EBD"/>
    <w:rsid w:val="00F65061"/>
    <w:rsid w:val="00F65389"/>
    <w:rsid w:val="00F663EF"/>
    <w:rsid w:val="00F66D97"/>
    <w:rsid w:val="00F6747A"/>
    <w:rsid w:val="00F678CE"/>
    <w:rsid w:val="00F67FC1"/>
    <w:rsid w:val="00F707C6"/>
    <w:rsid w:val="00F707D9"/>
    <w:rsid w:val="00F70843"/>
    <w:rsid w:val="00F71273"/>
    <w:rsid w:val="00F7213E"/>
    <w:rsid w:val="00F723DC"/>
    <w:rsid w:val="00F72527"/>
    <w:rsid w:val="00F72CFC"/>
    <w:rsid w:val="00F73068"/>
    <w:rsid w:val="00F73517"/>
    <w:rsid w:val="00F735F5"/>
    <w:rsid w:val="00F739D0"/>
    <w:rsid w:val="00F74DD6"/>
    <w:rsid w:val="00F75C2C"/>
    <w:rsid w:val="00F75E56"/>
    <w:rsid w:val="00F77E94"/>
    <w:rsid w:val="00F803A5"/>
    <w:rsid w:val="00F80A5A"/>
    <w:rsid w:val="00F81314"/>
    <w:rsid w:val="00F814E3"/>
    <w:rsid w:val="00F8182F"/>
    <w:rsid w:val="00F82A4B"/>
    <w:rsid w:val="00F832D8"/>
    <w:rsid w:val="00F841DD"/>
    <w:rsid w:val="00F84E29"/>
    <w:rsid w:val="00F85B99"/>
    <w:rsid w:val="00F85E81"/>
    <w:rsid w:val="00F91A4C"/>
    <w:rsid w:val="00F92469"/>
    <w:rsid w:val="00F93E50"/>
    <w:rsid w:val="00F94076"/>
    <w:rsid w:val="00F9445D"/>
    <w:rsid w:val="00F9480B"/>
    <w:rsid w:val="00F952CE"/>
    <w:rsid w:val="00F963D5"/>
    <w:rsid w:val="00F964A6"/>
    <w:rsid w:val="00F97090"/>
    <w:rsid w:val="00F9716E"/>
    <w:rsid w:val="00F973BC"/>
    <w:rsid w:val="00F97D37"/>
    <w:rsid w:val="00FA00EA"/>
    <w:rsid w:val="00FA0101"/>
    <w:rsid w:val="00FA06DD"/>
    <w:rsid w:val="00FA1013"/>
    <w:rsid w:val="00FA116F"/>
    <w:rsid w:val="00FA1635"/>
    <w:rsid w:val="00FA210F"/>
    <w:rsid w:val="00FA28D8"/>
    <w:rsid w:val="00FA2A3A"/>
    <w:rsid w:val="00FA2CDC"/>
    <w:rsid w:val="00FA3738"/>
    <w:rsid w:val="00FA4441"/>
    <w:rsid w:val="00FA45AA"/>
    <w:rsid w:val="00FA4A70"/>
    <w:rsid w:val="00FA4B7B"/>
    <w:rsid w:val="00FA56EF"/>
    <w:rsid w:val="00FA6085"/>
    <w:rsid w:val="00FA72CA"/>
    <w:rsid w:val="00FA7466"/>
    <w:rsid w:val="00FA7B1B"/>
    <w:rsid w:val="00FA7EC5"/>
    <w:rsid w:val="00FB0A29"/>
    <w:rsid w:val="00FB0BD6"/>
    <w:rsid w:val="00FB13A9"/>
    <w:rsid w:val="00FB1569"/>
    <w:rsid w:val="00FB169F"/>
    <w:rsid w:val="00FB21FB"/>
    <w:rsid w:val="00FB2476"/>
    <w:rsid w:val="00FB2536"/>
    <w:rsid w:val="00FB2652"/>
    <w:rsid w:val="00FB3167"/>
    <w:rsid w:val="00FB319B"/>
    <w:rsid w:val="00FB33B5"/>
    <w:rsid w:val="00FB476B"/>
    <w:rsid w:val="00FB4956"/>
    <w:rsid w:val="00FB51F8"/>
    <w:rsid w:val="00FB5445"/>
    <w:rsid w:val="00FB5BD3"/>
    <w:rsid w:val="00FB5C00"/>
    <w:rsid w:val="00FB6466"/>
    <w:rsid w:val="00FB66D8"/>
    <w:rsid w:val="00FB69F1"/>
    <w:rsid w:val="00FB6E65"/>
    <w:rsid w:val="00FB6F68"/>
    <w:rsid w:val="00FB7DF8"/>
    <w:rsid w:val="00FC010F"/>
    <w:rsid w:val="00FC13EE"/>
    <w:rsid w:val="00FC183F"/>
    <w:rsid w:val="00FC27F3"/>
    <w:rsid w:val="00FC2A45"/>
    <w:rsid w:val="00FC2B55"/>
    <w:rsid w:val="00FC2C37"/>
    <w:rsid w:val="00FC32C6"/>
    <w:rsid w:val="00FC3673"/>
    <w:rsid w:val="00FC36D1"/>
    <w:rsid w:val="00FC3F99"/>
    <w:rsid w:val="00FC48E8"/>
    <w:rsid w:val="00FC5962"/>
    <w:rsid w:val="00FC6015"/>
    <w:rsid w:val="00FC6AD7"/>
    <w:rsid w:val="00FC6CCF"/>
    <w:rsid w:val="00FC704A"/>
    <w:rsid w:val="00FC7705"/>
    <w:rsid w:val="00FD1117"/>
    <w:rsid w:val="00FD12EE"/>
    <w:rsid w:val="00FD1C44"/>
    <w:rsid w:val="00FD22A4"/>
    <w:rsid w:val="00FD2458"/>
    <w:rsid w:val="00FD26A6"/>
    <w:rsid w:val="00FD28AF"/>
    <w:rsid w:val="00FD3156"/>
    <w:rsid w:val="00FD33E7"/>
    <w:rsid w:val="00FD4638"/>
    <w:rsid w:val="00FD4C3E"/>
    <w:rsid w:val="00FD5B09"/>
    <w:rsid w:val="00FD5C56"/>
    <w:rsid w:val="00FD5E6A"/>
    <w:rsid w:val="00FD676E"/>
    <w:rsid w:val="00FD6CF4"/>
    <w:rsid w:val="00FD7344"/>
    <w:rsid w:val="00FD740D"/>
    <w:rsid w:val="00FD7450"/>
    <w:rsid w:val="00FD79BA"/>
    <w:rsid w:val="00FE05C1"/>
    <w:rsid w:val="00FE0701"/>
    <w:rsid w:val="00FE0DF1"/>
    <w:rsid w:val="00FE17F0"/>
    <w:rsid w:val="00FE1EE9"/>
    <w:rsid w:val="00FE1F99"/>
    <w:rsid w:val="00FE28A0"/>
    <w:rsid w:val="00FE2CB4"/>
    <w:rsid w:val="00FE3003"/>
    <w:rsid w:val="00FE3D49"/>
    <w:rsid w:val="00FE4338"/>
    <w:rsid w:val="00FE5E31"/>
    <w:rsid w:val="00FE61B8"/>
    <w:rsid w:val="00FE6425"/>
    <w:rsid w:val="00FE69A1"/>
    <w:rsid w:val="00FE69C9"/>
    <w:rsid w:val="00FE6A30"/>
    <w:rsid w:val="00FE6C14"/>
    <w:rsid w:val="00FE6E9E"/>
    <w:rsid w:val="00FE7ECF"/>
    <w:rsid w:val="00FE7F82"/>
    <w:rsid w:val="00FF0262"/>
    <w:rsid w:val="00FF05EB"/>
    <w:rsid w:val="00FF09C3"/>
    <w:rsid w:val="00FF0B32"/>
    <w:rsid w:val="00FF0EC7"/>
    <w:rsid w:val="00FF113D"/>
    <w:rsid w:val="00FF1256"/>
    <w:rsid w:val="00FF34C2"/>
    <w:rsid w:val="00FF3741"/>
    <w:rsid w:val="00FF3A26"/>
    <w:rsid w:val="00FF3A54"/>
    <w:rsid w:val="00FF3BAF"/>
    <w:rsid w:val="00FF4D59"/>
    <w:rsid w:val="00FF5FD8"/>
    <w:rsid w:val="00FF6300"/>
    <w:rsid w:val="00FF72E0"/>
    <w:rsid w:val="00FF7969"/>
    <w:rsid w:val="012A63DA"/>
    <w:rsid w:val="013D2A80"/>
    <w:rsid w:val="016A5229"/>
    <w:rsid w:val="01ED42A3"/>
    <w:rsid w:val="02B44F1B"/>
    <w:rsid w:val="03B84141"/>
    <w:rsid w:val="03EA2651"/>
    <w:rsid w:val="043D6C25"/>
    <w:rsid w:val="046B63ED"/>
    <w:rsid w:val="04AF57E6"/>
    <w:rsid w:val="05B42B8F"/>
    <w:rsid w:val="05E259E1"/>
    <w:rsid w:val="05FE2C36"/>
    <w:rsid w:val="06AF1A9C"/>
    <w:rsid w:val="08F92440"/>
    <w:rsid w:val="09EF1572"/>
    <w:rsid w:val="0A397E8E"/>
    <w:rsid w:val="0BD50213"/>
    <w:rsid w:val="0C260FD7"/>
    <w:rsid w:val="0CFF00CD"/>
    <w:rsid w:val="0CFF6928"/>
    <w:rsid w:val="0E6F0323"/>
    <w:rsid w:val="0EA93D29"/>
    <w:rsid w:val="0EF820C6"/>
    <w:rsid w:val="0F1F58A5"/>
    <w:rsid w:val="10A26FAA"/>
    <w:rsid w:val="120538BA"/>
    <w:rsid w:val="120927D5"/>
    <w:rsid w:val="13054C56"/>
    <w:rsid w:val="13E96481"/>
    <w:rsid w:val="13F338C4"/>
    <w:rsid w:val="13FD017F"/>
    <w:rsid w:val="149F4D92"/>
    <w:rsid w:val="156B686B"/>
    <w:rsid w:val="15E72F2B"/>
    <w:rsid w:val="15FE4858"/>
    <w:rsid w:val="173E6669"/>
    <w:rsid w:val="175E2CE2"/>
    <w:rsid w:val="175F45F2"/>
    <w:rsid w:val="191740BC"/>
    <w:rsid w:val="199659E2"/>
    <w:rsid w:val="19C91ECA"/>
    <w:rsid w:val="1A7171D3"/>
    <w:rsid w:val="1AED2CFB"/>
    <w:rsid w:val="1B131FAD"/>
    <w:rsid w:val="1B3B66BB"/>
    <w:rsid w:val="1C3F7F8D"/>
    <w:rsid w:val="1D344C11"/>
    <w:rsid w:val="1E060D5F"/>
    <w:rsid w:val="1E202004"/>
    <w:rsid w:val="1ECD7C21"/>
    <w:rsid w:val="1F25149C"/>
    <w:rsid w:val="1F8D505C"/>
    <w:rsid w:val="1FA05009"/>
    <w:rsid w:val="1FB97650"/>
    <w:rsid w:val="2039216E"/>
    <w:rsid w:val="206F54C4"/>
    <w:rsid w:val="20C67FED"/>
    <w:rsid w:val="20F50EF0"/>
    <w:rsid w:val="20F93668"/>
    <w:rsid w:val="21834C20"/>
    <w:rsid w:val="22C84D9B"/>
    <w:rsid w:val="23E302A6"/>
    <w:rsid w:val="240A71D8"/>
    <w:rsid w:val="25191EEA"/>
    <w:rsid w:val="252E06AD"/>
    <w:rsid w:val="25A92A48"/>
    <w:rsid w:val="25C16952"/>
    <w:rsid w:val="25FF76F1"/>
    <w:rsid w:val="26263565"/>
    <w:rsid w:val="270801F4"/>
    <w:rsid w:val="27DF1C1D"/>
    <w:rsid w:val="291B1BD9"/>
    <w:rsid w:val="29A65297"/>
    <w:rsid w:val="29BC518D"/>
    <w:rsid w:val="29FE0CB3"/>
    <w:rsid w:val="2A0C65CE"/>
    <w:rsid w:val="2A2D63B5"/>
    <w:rsid w:val="2A3F66E6"/>
    <w:rsid w:val="2AEA4B61"/>
    <w:rsid w:val="2B1E256F"/>
    <w:rsid w:val="2B667F39"/>
    <w:rsid w:val="2CD77367"/>
    <w:rsid w:val="2F5F1FF6"/>
    <w:rsid w:val="2F723377"/>
    <w:rsid w:val="307373A7"/>
    <w:rsid w:val="30D37E45"/>
    <w:rsid w:val="31077AEF"/>
    <w:rsid w:val="32F20EC8"/>
    <w:rsid w:val="33452D1C"/>
    <w:rsid w:val="33B231F1"/>
    <w:rsid w:val="3416697E"/>
    <w:rsid w:val="34AA710F"/>
    <w:rsid w:val="360173AC"/>
    <w:rsid w:val="36F75539"/>
    <w:rsid w:val="380F4C93"/>
    <w:rsid w:val="3837515E"/>
    <w:rsid w:val="38D864AE"/>
    <w:rsid w:val="3971469F"/>
    <w:rsid w:val="3A7206CF"/>
    <w:rsid w:val="3B836B97"/>
    <w:rsid w:val="3BAA618E"/>
    <w:rsid w:val="3BBE51E1"/>
    <w:rsid w:val="3BF84CC8"/>
    <w:rsid w:val="3C0F4B64"/>
    <w:rsid w:val="3C991F43"/>
    <w:rsid w:val="3CD13DD3"/>
    <w:rsid w:val="3CFF6AA8"/>
    <w:rsid w:val="3D9D5A63"/>
    <w:rsid w:val="3E35227F"/>
    <w:rsid w:val="3E8B7B56"/>
    <w:rsid w:val="3E9055C8"/>
    <w:rsid w:val="3ECF689A"/>
    <w:rsid w:val="3F8F7048"/>
    <w:rsid w:val="40616C3C"/>
    <w:rsid w:val="418A72CE"/>
    <w:rsid w:val="42B45F96"/>
    <w:rsid w:val="43441F54"/>
    <w:rsid w:val="434F3A3B"/>
    <w:rsid w:val="43724D48"/>
    <w:rsid w:val="438A12B1"/>
    <w:rsid w:val="443133A9"/>
    <w:rsid w:val="44D6117E"/>
    <w:rsid w:val="46B745F3"/>
    <w:rsid w:val="478657BA"/>
    <w:rsid w:val="480E207F"/>
    <w:rsid w:val="48161BFD"/>
    <w:rsid w:val="4904153A"/>
    <w:rsid w:val="493A4AAE"/>
    <w:rsid w:val="4A2274F0"/>
    <w:rsid w:val="4A8C27E6"/>
    <w:rsid w:val="4B0A165A"/>
    <w:rsid w:val="4B4E4840"/>
    <w:rsid w:val="4B613603"/>
    <w:rsid w:val="4B8B2634"/>
    <w:rsid w:val="4B9339AE"/>
    <w:rsid w:val="4BB01057"/>
    <w:rsid w:val="4C2C4B82"/>
    <w:rsid w:val="4D6669BA"/>
    <w:rsid w:val="4D7B41F4"/>
    <w:rsid w:val="4E313C5B"/>
    <w:rsid w:val="4E834A01"/>
    <w:rsid w:val="4EB15EDF"/>
    <w:rsid w:val="50BF7F42"/>
    <w:rsid w:val="52F42668"/>
    <w:rsid w:val="53C46F0F"/>
    <w:rsid w:val="53C658BC"/>
    <w:rsid w:val="556E3239"/>
    <w:rsid w:val="55EA282D"/>
    <w:rsid w:val="56CB46C5"/>
    <w:rsid w:val="57435475"/>
    <w:rsid w:val="586E7E6D"/>
    <w:rsid w:val="58732563"/>
    <w:rsid w:val="59484FC5"/>
    <w:rsid w:val="594B63E4"/>
    <w:rsid w:val="5967100E"/>
    <w:rsid w:val="59A32604"/>
    <w:rsid w:val="5A31390D"/>
    <w:rsid w:val="5A8F3B4A"/>
    <w:rsid w:val="5AA5325E"/>
    <w:rsid w:val="5ABC3575"/>
    <w:rsid w:val="5AFD92F6"/>
    <w:rsid w:val="5B7D1B1F"/>
    <w:rsid w:val="5B8F2A37"/>
    <w:rsid w:val="5BC039BF"/>
    <w:rsid w:val="5BD55197"/>
    <w:rsid w:val="5C39792B"/>
    <w:rsid w:val="5C593045"/>
    <w:rsid w:val="5C7D1D44"/>
    <w:rsid w:val="5C7F6C9C"/>
    <w:rsid w:val="5C9E7E9B"/>
    <w:rsid w:val="5CC11316"/>
    <w:rsid w:val="5D052A68"/>
    <w:rsid w:val="5D51098C"/>
    <w:rsid w:val="5EF512D5"/>
    <w:rsid w:val="5F577052"/>
    <w:rsid w:val="5F9E356B"/>
    <w:rsid w:val="5FAA1B42"/>
    <w:rsid w:val="60DC6EF4"/>
    <w:rsid w:val="619A2136"/>
    <w:rsid w:val="61B23FD0"/>
    <w:rsid w:val="62462F15"/>
    <w:rsid w:val="635D341B"/>
    <w:rsid w:val="638F7952"/>
    <w:rsid w:val="63D56BD6"/>
    <w:rsid w:val="64103BB3"/>
    <w:rsid w:val="65536C8D"/>
    <w:rsid w:val="65EB7B5E"/>
    <w:rsid w:val="65F75C18"/>
    <w:rsid w:val="66C7125C"/>
    <w:rsid w:val="67612AD1"/>
    <w:rsid w:val="67892CC9"/>
    <w:rsid w:val="67DA7730"/>
    <w:rsid w:val="683E3800"/>
    <w:rsid w:val="6994390F"/>
    <w:rsid w:val="6B605768"/>
    <w:rsid w:val="6C08054A"/>
    <w:rsid w:val="6C8E40EF"/>
    <w:rsid w:val="6CEB5FA8"/>
    <w:rsid w:val="6DA7086D"/>
    <w:rsid w:val="6DEFB50B"/>
    <w:rsid w:val="6DFC4403"/>
    <w:rsid w:val="6E6E398A"/>
    <w:rsid w:val="6EEB8046"/>
    <w:rsid w:val="6F1E6154"/>
    <w:rsid w:val="6F2A1B1B"/>
    <w:rsid w:val="6FE249ED"/>
    <w:rsid w:val="702C2AF3"/>
    <w:rsid w:val="7233181C"/>
    <w:rsid w:val="72C30AAD"/>
    <w:rsid w:val="73C847B4"/>
    <w:rsid w:val="75026D58"/>
    <w:rsid w:val="757D31E6"/>
    <w:rsid w:val="759A1D62"/>
    <w:rsid w:val="75F5329D"/>
    <w:rsid w:val="779B82D9"/>
    <w:rsid w:val="77A85155"/>
    <w:rsid w:val="77EF00A7"/>
    <w:rsid w:val="7840538D"/>
    <w:rsid w:val="78D771A0"/>
    <w:rsid w:val="799D1CF3"/>
    <w:rsid w:val="79A91745"/>
    <w:rsid w:val="79BC0A44"/>
    <w:rsid w:val="79DF09E2"/>
    <w:rsid w:val="7A0D5743"/>
    <w:rsid w:val="7A4E0739"/>
    <w:rsid w:val="7AA17C96"/>
    <w:rsid w:val="7ADE300E"/>
    <w:rsid w:val="7BE40404"/>
    <w:rsid w:val="7BFF10BB"/>
    <w:rsid w:val="7C3E1B9F"/>
    <w:rsid w:val="7D1D3EEF"/>
    <w:rsid w:val="7E310025"/>
    <w:rsid w:val="7F3643DD"/>
    <w:rsid w:val="7F7F88F0"/>
    <w:rsid w:val="7F934A72"/>
    <w:rsid w:val="7FBA3C77"/>
    <w:rsid w:val="7FD73AD1"/>
    <w:rsid w:val="7FEE8EE2"/>
    <w:rsid w:val="99D8B6F5"/>
    <w:rsid w:val="99DDF4C1"/>
    <w:rsid w:val="DFECE1F1"/>
    <w:rsid w:val="EEBF469C"/>
    <w:rsid w:val="EF75DC32"/>
    <w:rsid w:val="F5EF88C5"/>
    <w:rsid w:val="FFBE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26"/>
    <w:qFormat/>
    <w:uiPriority w:val="0"/>
    <w:pPr>
      <w:keepNext/>
      <w:keepLines/>
      <w:spacing w:line="360" w:lineRule="auto"/>
      <w:ind w:firstLine="200" w:firstLineChars="200"/>
      <w:outlineLvl w:val="2"/>
    </w:pPr>
    <w:rPr>
      <w:b/>
      <w:bCs/>
      <w:szCs w:val="32"/>
    </w:rPr>
  </w:style>
  <w:style w:type="paragraph" w:styleId="5">
    <w:name w:val="heading 4"/>
    <w:basedOn w:val="1"/>
    <w:next w:val="6"/>
    <w:link w:val="27"/>
    <w:qFormat/>
    <w:uiPriority w:val="0"/>
    <w:pPr>
      <w:autoSpaceDE w:val="0"/>
      <w:autoSpaceDN w:val="0"/>
      <w:adjustRightInd w:val="0"/>
      <w:spacing w:line="240" w:lineRule="atLeast"/>
      <w:ind w:left="360"/>
      <w:jc w:val="left"/>
      <w:outlineLvl w:val="3"/>
    </w:pPr>
    <w:rPr>
      <w:rFonts w:ascii="宋体"/>
      <w:kern w:val="0"/>
      <w:sz w:val="36"/>
      <w:szCs w:val="36"/>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annotation text"/>
    <w:basedOn w:val="1"/>
    <w:link w:val="28"/>
    <w:qFormat/>
    <w:uiPriority w:val="0"/>
    <w:pPr>
      <w:jc w:val="left"/>
    </w:pPr>
  </w:style>
  <w:style w:type="paragraph" w:styleId="9">
    <w:name w:val="Body Text"/>
    <w:basedOn w:val="1"/>
    <w:link w:val="29"/>
    <w:qFormat/>
    <w:uiPriority w:val="1"/>
    <w:pPr>
      <w:ind w:left="102"/>
      <w:jc w:val="left"/>
    </w:pPr>
    <w:rPr>
      <w:rFonts w:ascii="宋体" w:hAnsi="宋体"/>
      <w:kern w:val="0"/>
      <w:sz w:val="24"/>
      <w:lang w:eastAsia="en-US"/>
    </w:rPr>
  </w:style>
  <w:style w:type="paragraph" w:styleId="10">
    <w:name w:val="toc 3"/>
    <w:basedOn w:val="1"/>
    <w:next w:val="1"/>
    <w:qFormat/>
    <w:uiPriority w:val="39"/>
    <w:pPr>
      <w:tabs>
        <w:tab w:val="right" w:leader="dot" w:pos="8891"/>
      </w:tabs>
      <w:ind w:left="420" w:leftChars="200"/>
    </w:p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4"/>
    <w:basedOn w:val="1"/>
    <w:next w:val="1"/>
    <w:semiHidden/>
    <w:qFormat/>
    <w:uiPriority w:val="0"/>
    <w:pPr>
      <w:ind w:left="1260" w:leftChars="600"/>
    </w:pPr>
  </w:style>
  <w:style w:type="paragraph" w:styleId="17">
    <w:name w:val="toc 2"/>
    <w:basedOn w:val="1"/>
    <w:next w:val="1"/>
    <w:qFormat/>
    <w:uiPriority w:val="39"/>
    <w:pPr>
      <w:tabs>
        <w:tab w:val="right" w:leader="dot" w:pos="8891"/>
      </w:tabs>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annotation subject"/>
    <w:basedOn w:val="8"/>
    <w:next w:val="8"/>
    <w:semiHidden/>
    <w:qFormat/>
    <w:uiPriority w:val="0"/>
    <w:rPr>
      <w:b/>
      <w:bCs/>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character" w:customStyle="1" w:styleId="26">
    <w:name w:val="标题 3 字符"/>
    <w:link w:val="4"/>
    <w:qFormat/>
    <w:uiPriority w:val="0"/>
    <w:rPr>
      <w:b/>
      <w:bCs/>
      <w:kern w:val="2"/>
      <w:sz w:val="21"/>
      <w:szCs w:val="32"/>
    </w:rPr>
  </w:style>
  <w:style w:type="character" w:customStyle="1" w:styleId="27">
    <w:name w:val="标题 4 字符"/>
    <w:link w:val="5"/>
    <w:qFormat/>
    <w:uiPriority w:val="0"/>
    <w:rPr>
      <w:rFonts w:ascii="宋体"/>
      <w:sz w:val="36"/>
      <w:szCs w:val="36"/>
    </w:rPr>
  </w:style>
  <w:style w:type="character" w:customStyle="1" w:styleId="28">
    <w:name w:val="批注文字 字符"/>
    <w:link w:val="8"/>
    <w:qFormat/>
    <w:uiPriority w:val="0"/>
    <w:rPr>
      <w:rFonts w:eastAsia="宋体"/>
      <w:kern w:val="2"/>
      <w:sz w:val="21"/>
      <w:szCs w:val="24"/>
      <w:lang w:val="en-US" w:eastAsia="zh-CN" w:bidi="ar-SA"/>
    </w:rPr>
  </w:style>
  <w:style w:type="character" w:customStyle="1" w:styleId="29">
    <w:name w:val="正文文本 字符"/>
    <w:link w:val="9"/>
    <w:qFormat/>
    <w:uiPriority w:val="1"/>
    <w:rPr>
      <w:rFonts w:ascii="宋体" w:hAnsi="宋体" w:cs="Times New Roman"/>
      <w:sz w:val="24"/>
      <w:szCs w:val="24"/>
      <w:lang w:eastAsia="en-US"/>
    </w:rPr>
  </w:style>
  <w:style w:type="character" w:customStyle="1" w:styleId="30">
    <w:name w:val="页脚 字符"/>
    <w:link w:val="13"/>
    <w:qFormat/>
    <w:uiPriority w:val="99"/>
    <w:rPr>
      <w:kern w:val="2"/>
      <w:sz w:val="18"/>
      <w:szCs w:val="18"/>
    </w:rPr>
  </w:style>
  <w:style w:type="character" w:customStyle="1" w:styleId="31">
    <w:name w:val="标题 4 Char_1_0"/>
    <w:link w:val="32"/>
    <w:qFormat/>
    <w:uiPriority w:val="0"/>
    <w:rPr>
      <w:rFonts w:ascii="Arial" w:hAnsi="Arial"/>
      <w:b/>
      <w:bCs/>
      <w:kern w:val="2"/>
      <w:sz w:val="21"/>
      <w:szCs w:val="28"/>
    </w:rPr>
  </w:style>
  <w:style w:type="paragraph" w:customStyle="1" w:styleId="32">
    <w:name w:val="标题 4_1_0"/>
    <w:basedOn w:val="33"/>
    <w:next w:val="33"/>
    <w:link w:val="31"/>
    <w:qFormat/>
    <w:uiPriority w:val="0"/>
    <w:pPr>
      <w:keepNext/>
      <w:keepLines/>
      <w:spacing w:line="360" w:lineRule="auto"/>
      <w:outlineLvl w:val="3"/>
    </w:pPr>
    <w:rPr>
      <w:rFonts w:ascii="Arial" w:hAnsi="Arial"/>
      <w:b/>
      <w:bCs/>
      <w:szCs w:val="28"/>
    </w:rPr>
  </w:style>
  <w:style w:type="paragraph" w:customStyle="1" w:styleId="33">
    <w:name w:val="正文_7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2 Char_6"/>
    <w:link w:val="35"/>
    <w:qFormat/>
    <w:uiPriority w:val="0"/>
    <w:rPr>
      <w:rFonts w:ascii="Cambria" w:hAnsi="Cambria"/>
      <w:b/>
      <w:bCs/>
      <w:kern w:val="2"/>
      <w:sz w:val="32"/>
      <w:szCs w:val="32"/>
    </w:rPr>
  </w:style>
  <w:style w:type="paragraph" w:customStyle="1" w:styleId="35">
    <w:name w:val="标题 2_6"/>
    <w:basedOn w:val="1"/>
    <w:next w:val="1"/>
    <w:link w:val="34"/>
    <w:qFormat/>
    <w:uiPriority w:val="0"/>
    <w:pPr>
      <w:keepNext/>
      <w:keepLines/>
      <w:spacing w:before="260" w:after="260" w:line="413" w:lineRule="auto"/>
      <w:outlineLvl w:val="1"/>
    </w:pPr>
    <w:rPr>
      <w:rFonts w:ascii="Cambria" w:hAnsi="Cambria"/>
      <w:b/>
      <w:bCs/>
      <w:sz w:val="32"/>
      <w:szCs w:val="32"/>
    </w:rPr>
  </w:style>
  <w:style w:type="character" w:customStyle="1" w:styleId="36">
    <w:name w:val="Char Char4"/>
    <w:qFormat/>
    <w:uiPriority w:val="0"/>
    <w:rPr>
      <w:kern w:val="2"/>
      <w:sz w:val="21"/>
      <w:szCs w:val="24"/>
    </w:rPr>
  </w:style>
  <w:style w:type="character" w:customStyle="1" w:styleId="37">
    <w:name w:val="p0 Char"/>
    <w:link w:val="38"/>
    <w:qFormat/>
    <w:uiPriority w:val="0"/>
    <w:rPr>
      <w:rFonts w:eastAsia="宋体"/>
      <w:kern w:val="2"/>
      <w:sz w:val="21"/>
      <w:szCs w:val="21"/>
      <w:lang w:val="en-US" w:eastAsia="zh-CN" w:bidi="ar-SA"/>
    </w:rPr>
  </w:style>
  <w:style w:type="paragraph" w:customStyle="1" w:styleId="38">
    <w:name w:val="p0"/>
    <w:basedOn w:val="1"/>
    <w:link w:val="37"/>
    <w:qFormat/>
    <w:uiPriority w:val="0"/>
    <w:pPr>
      <w:widowControl/>
    </w:pPr>
    <w:rPr>
      <w:szCs w:val="21"/>
    </w:rPr>
  </w:style>
  <w:style w:type="paragraph" w:customStyle="1" w:styleId="39">
    <w:name w:val="Default"/>
    <w:qFormat/>
    <w:uiPriority w:val="0"/>
    <w:pPr>
      <w:widowControl w:val="0"/>
      <w:autoSpaceDE w:val="0"/>
      <w:autoSpaceDN w:val="0"/>
      <w:adjustRightInd w:val="0"/>
    </w:pPr>
    <w:rPr>
      <w:rFonts w:ascii="黑体_x0008_...鍼." w:hAnsi="Times New Roman" w:eastAsia="黑体_x0008_...鍼." w:cs="黑体_x0008_...鍼."/>
      <w:color w:val="000000"/>
      <w:sz w:val="24"/>
      <w:szCs w:val="24"/>
      <w:lang w:val="en-US" w:eastAsia="zh-CN" w:bidi="ar-SA"/>
    </w:rPr>
  </w:style>
  <w:style w:type="paragraph" w:customStyle="1" w:styleId="40">
    <w:name w:val="标题 31"/>
    <w:basedOn w:val="1"/>
    <w:qFormat/>
    <w:uiPriority w:val="1"/>
    <w:pPr>
      <w:ind w:left="1018"/>
      <w:jc w:val="left"/>
      <w:outlineLvl w:val="3"/>
    </w:pPr>
    <w:rPr>
      <w:rFonts w:ascii="Hiragino Sans GB W6" w:hAnsi="Hiragino Sans GB W6" w:eastAsia="Hiragino Sans GB W6"/>
      <w:kern w:val="0"/>
      <w:sz w:val="30"/>
      <w:szCs w:val="30"/>
      <w:lang w:eastAsia="en-US"/>
    </w:rPr>
  </w:style>
  <w:style w:type="paragraph" w:customStyle="1" w:styleId="41">
    <w:name w:val="样式3"/>
    <w:basedOn w:val="14"/>
    <w:qFormat/>
    <w:uiPriority w:val="0"/>
    <w:pPr>
      <w:pBdr>
        <w:bottom w:val="none" w:color="auto" w:sz="0" w:space="0"/>
      </w:pBdr>
    </w:pPr>
  </w:style>
  <w:style w:type="paragraph" w:customStyle="1" w:styleId="4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44">
    <w:name w:val="样式2"/>
    <w:basedOn w:val="14"/>
    <w:qFormat/>
    <w:uiPriority w:val="0"/>
    <w:pPr>
      <w:pBdr>
        <w:bottom w:val="none" w:color="auto" w:sz="0" w:space="0"/>
      </w:pBdr>
    </w:pPr>
  </w:style>
  <w:style w:type="paragraph" w:customStyle="1" w:styleId="45">
    <w:name w:val="样式1"/>
    <w:basedOn w:val="14"/>
    <w:qFormat/>
    <w:uiPriority w:val="0"/>
    <w:pPr>
      <w:pBdr>
        <w:bottom w:val="none" w:color="auto" w:sz="0" w:space="0"/>
      </w:pBdr>
    </w:pPr>
  </w:style>
  <w:style w:type="paragraph" w:customStyle="1" w:styleId="4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7">
    <w:name w:val="标题 41"/>
    <w:basedOn w:val="1"/>
    <w:qFormat/>
    <w:uiPriority w:val="1"/>
    <w:pPr>
      <w:spacing w:before="18"/>
      <w:ind w:left="102"/>
      <w:jc w:val="left"/>
      <w:outlineLvl w:val="4"/>
    </w:pPr>
    <w:rPr>
      <w:rFonts w:ascii="宋体" w:hAnsi="宋体"/>
      <w:kern w:val="0"/>
      <w:sz w:val="28"/>
      <w:szCs w:val="28"/>
      <w:lang w:eastAsia="en-US"/>
    </w:rPr>
  </w:style>
  <w:style w:type="paragraph" w:styleId="48">
    <w:name w:val="List Paragraph"/>
    <w:basedOn w:val="1"/>
    <w:qFormat/>
    <w:uiPriority w:val="0"/>
    <w:pPr>
      <w:ind w:firstLine="420" w:firstLineChars="200"/>
    </w:pPr>
    <w:rPr>
      <w:rFonts w:ascii="Calibri" w:hAnsi="Calibri"/>
      <w:szCs w:val="22"/>
    </w:rPr>
  </w:style>
  <w:style w:type="paragraph" w:customStyle="1" w:styleId="49">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0">
    <w:name w:val="Table Normal"/>
    <w:unhideWhenUsed/>
    <w:qFormat/>
    <w:uiPriority w:val="2"/>
    <w:rPr>
      <w:rFonts w:ascii="Calibri" w:hAnsi="Calibri"/>
    </w:rPr>
    <w:tblPr>
      <w:tblCellMar>
        <w:top w:w="0" w:type="dxa"/>
        <w:left w:w="0" w:type="dxa"/>
        <w:bottom w:w="0" w:type="dxa"/>
        <w:right w:w="0" w:type="dxa"/>
      </w:tblCellMar>
    </w:tblPr>
  </w:style>
  <w:style w:type="paragraph" w:customStyle="1" w:styleId="5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5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805</Words>
  <Characters>823</Characters>
  <Lines>2004</Lines>
  <Paragraphs>1565</Paragraphs>
  <TotalTime>1</TotalTime>
  <ScaleCrop>false</ScaleCrop>
  <LinksUpToDate>false</LinksUpToDate>
  <CharactersWithSpaces>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2025-08-02T14:50:00Z</dcterms:created>
  <dc:creator>X</dc:creator>
  <cp:lastModifiedBy>李蓝天</cp:lastModifiedBy>
  <cp:lastPrinted>2024-05-10T19:16:00Z</cp:lastPrinted>
  <dcterms:modified xsi:type="dcterms:W3CDTF">2025-12-03T00:48:53Z</dcterms:modified>
  <dc:title>使用说明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4AC0AF963C624F329E880E30708C821F_13</vt:lpwstr>
  </property>
  <property fmtid="{D5CDD505-2E9C-101B-9397-08002B2CF9AE}" pid="4" name="KSOTemplateDocerSaveRecord">
    <vt:lpwstr>eyJoZGlkIjoiNjMxNmYxNzRmZmJmZWZlZGE5Mzk4NDEwYjI1MWY2NTEiLCJ1c2VySWQiOiIzODM0OTcxMzgifQ==</vt:lpwstr>
  </property>
</Properties>
</file>